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Table 2.</w:t>
      </w:r>
      <w:r w:rsidDel="00000000" w:rsidR="00000000" w:rsidRPr="00000000">
        <w:rPr>
          <w:rtl w:val="0"/>
        </w:rPr>
        <w:t xml:space="preserve"> Characteristics of the 500 bootstrap subsets (500 entries each) created according to the </w:t>
      </w:r>
      <w:r w:rsidDel="00000000" w:rsidR="00000000" w:rsidRPr="00000000">
        <w:rPr>
          <w:rtl w:val="0"/>
        </w:rPr>
        <w:t xml:space="preserve">AIS grade distributions present in the Sygen cohort including only complete cases for the variables of interest, and a balanced cohort, where all 4 grades are present in equal proportions.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3512"/>
        <w:gridCol w:w="3847"/>
        <w:gridCol w:w="3847"/>
        <w:tblGridChange w:id="0">
          <w:tblGrid>
            <w:gridCol w:w="4182"/>
            <w:gridCol w:w="3512"/>
            <w:gridCol w:w="3847"/>
            <w:gridCol w:w="38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Outcome at week 52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Sygen complete cases (subsets)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Balanced (subsets)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patients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male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396.8 (8.6)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385.5 (9.2)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 [years]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32.0 (13.3)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34.2 (14.0)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LEMS at week 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 (7.0)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8.5 (12.1)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 [95% CI]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LEMS at week 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11.9 (18.8)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25.6 (21.5)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 [95% CI]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[33-34]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NA,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24.9 (5.2)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22.8 (4.6)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LEMS at week 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(SD)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12.6 (19.3)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26.2 (21.7)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 [95% CI]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[0-0]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[35-36]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 of injury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cervical, </w:t>
            </w:r>
            <w:r w:rsidDel="00000000" w:rsidR="00000000" w:rsidRPr="00000000">
              <w:rPr>
                <w:rtl w:val="0"/>
              </w:rPr>
              <w:t xml:space="preserve">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372.3 (9.8)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412.7 (8.4)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thoracic, </w:t>
            </w:r>
            <w:r w:rsidDel="00000000" w:rsidR="00000000" w:rsidRPr="00000000">
              <w:rPr>
                <w:rtl w:val="0"/>
              </w:rPr>
              <w:t xml:space="preserve">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128.7 (9.8)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87.3 (8.4)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AIS grade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 (65.0)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 (25.0)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(11.0)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 (25.0)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(20.0)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 (25.0)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D, </w:t>
            </w:r>
            <w:r w:rsidDel="00000000" w:rsidR="00000000" w:rsidRPr="00000000">
              <w:rPr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(4.0)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 (25.0)</w:t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LEMS: lower extremity motor score, AIS: American Spinal Injury Association Impairment Scale, SD: standard deviation, CI: confidence interval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6D87"/>
    <w:rPr>
      <w:rFonts w:ascii="Times New Roman" w:cs="Times New Roman" w:eastAsia="Times New Roman" w:hAnsi="Times New Roman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86D8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MJFRX2U/Ri64fA5yWaNjZvcMA==">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2023-02-22T05:23:00Z</dcterms:created>
  <dc:creator>Bourguignon  Lucie</dc:creator>
</cp:coreProperties>
</file>