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B65" w:rsidRPr="005570C3" w:rsidRDefault="00CA5B65" w:rsidP="005570C3">
      <w:pPr>
        <w:pStyle w:val="PargrafodaLista"/>
        <w:numPr>
          <w:ilvl w:val="0"/>
          <w:numId w:val="2"/>
        </w:numPr>
        <w:spacing w:before="120" w:after="120" w:line="360" w:lineRule="auto"/>
        <w:ind w:left="1491" w:hanging="357"/>
        <w:jc w:val="both"/>
        <w:rPr>
          <w:rFonts w:ascii="Arial" w:hAnsi="Arial" w:cs="Arial"/>
          <w:b/>
          <w:sz w:val="24"/>
          <w:szCs w:val="24"/>
        </w:rPr>
      </w:pPr>
      <w:r w:rsidRPr="005570C3">
        <w:rPr>
          <w:rFonts w:ascii="Arial" w:hAnsi="Arial" w:cs="Arial"/>
          <w:b/>
          <w:sz w:val="24"/>
          <w:szCs w:val="24"/>
        </w:rPr>
        <w:t>Apresentação</w:t>
      </w:r>
      <w:r w:rsidR="00E51273">
        <w:rPr>
          <w:rFonts w:ascii="Arial" w:hAnsi="Arial" w:cs="Arial"/>
          <w:b/>
          <w:sz w:val="24"/>
          <w:szCs w:val="24"/>
        </w:rPr>
        <w:t xml:space="preserve"> e estrutura do curso</w:t>
      </w:r>
      <w:r w:rsidRPr="005570C3">
        <w:rPr>
          <w:rFonts w:ascii="Arial" w:hAnsi="Arial" w:cs="Arial"/>
          <w:b/>
          <w:sz w:val="24"/>
          <w:szCs w:val="24"/>
        </w:rPr>
        <w:t xml:space="preserve"> </w:t>
      </w:r>
    </w:p>
    <w:p w:rsidR="00CA5B65" w:rsidRDefault="00CA5B65" w:rsidP="00CA5B65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Olá, seja bem-vindo!</w:t>
      </w:r>
    </w:p>
    <w:p w:rsidR="00CA5B65" w:rsidRDefault="00CA5B65" w:rsidP="00CA5B65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Eu sou Abhner Youssif, também trabalho aqui no </w:t>
      </w:r>
      <w:r w:rsidRPr="009C6DE4">
        <w:rPr>
          <w:rFonts w:ascii="Arial" w:hAnsi="Arial" w:cs="Arial"/>
          <w:sz w:val="24"/>
          <w:szCs w:val="24"/>
        </w:rPr>
        <w:t>Supremo Tribunal Federal</w:t>
      </w:r>
      <w:r w:rsidR="00A67955">
        <w:rPr>
          <w:rFonts w:ascii="Arial" w:hAnsi="Arial" w:cs="Arial"/>
          <w:sz w:val="24"/>
          <w:szCs w:val="24"/>
        </w:rPr>
        <w:t xml:space="preserve"> (STF)</w:t>
      </w:r>
      <w:r>
        <w:rPr>
          <w:rFonts w:ascii="Arial" w:hAnsi="Arial" w:cs="Arial"/>
          <w:sz w:val="24"/>
          <w:szCs w:val="24"/>
        </w:rPr>
        <w:t xml:space="preserve"> como analista judiciário – área judiciária. Sou o conteudista deste curso, e para mim é um prazer poder trocar algumas ideias e informações com você! Tenho certeza que essa experiência será enriquecedora para todos nós! </w:t>
      </w:r>
    </w:p>
    <w:p w:rsidR="00CA5B65" w:rsidRDefault="00CA5B65" w:rsidP="00CA5B65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você possa conhecer um pouquinho mais de mim, deixo aqui o </w:t>
      </w:r>
      <w:r w:rsidRPr="00971366">
        <w:rPr>
          <w:rFonts w:ascii="Arial" w:hAnsi="Arial" w:cs="Arial"/>
          <w:i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 xml:space="preserve"> do meu </w:t>
      </w:r>
      <w:hyperlink r:id="rId6" w:history="1">
        <w:r w:rsidRPr="009C6DE4">
          <w:rPr>
            <w:rStyle w:val="Hyperlink"/>
            <w:rFonts w:ascii="Arial" w:hAnsi="Arial" w:cs="Arial"/>
            <w:sz w:val="24"/>
            <w:szCs w:val="24"/>
          </w:rPr>
          <w:t xml:space="preserve">currículo </w:t>
        </w:r>
        <w:r w:rsidRPr="009C6DE4">
          <w:rPr>
            <w:rStyle w:val="Hyperlink"/>
            <w:rFonts w:ascii="Arial" w:hAnsi="Arial" w:cs="Arial"/>
            <w:i/>
            <w:sz w:val="24"/>
            <w:szCs w:val="24"/>
          </w:rPr>
          <w:t>lattes</w:t>
        </w:r>
      </w:hyperlink>
      <w:r>
        <w:rPr>
          <w:rFonts w:ascii="Arial" w:hAnsi="Arial" w:cs="Arial"/>
          <w:sz w:val="24"/>
          <w:szCs w:val="24"/>
        </w:rPr>
        <w:t xml:space="preserve">. Lá estão informações como a minha trajetória pessoal, meus livros, algumas das minhas produções bibliográficas e os </w:t>
      </w:r>
      <w:r w:rsidRPr="00971366">
        <w:rPr>
          <w:rFonts w:ascii="Arial" w:hAnsi="Arial" w:cs="Arial"/>
          <w:i/>
          <w:sz w:val="24"/>
          <w:szCs w:val="24"/>
        </w:rPr>
        <w:t>links</w:t>
      </w:r>
      <w:r>
        <w:rPr>
          <w:rFonts w:ascii="Arial" w:hAnsi="Arial" w:cs="Arial"/>
          <w:sz w:val="24"/>
          <w:szCs w:val="24"/>
        </w:rPr>
        <w:t xml:space="preserve"> para alguns artigos que já escrevi. Aos que se interessarem, deixo à disposição de todos.</w:t>
      </w:r>
    </w:p>
    <w:p w:rsidR="00CA5B65" w:rsidRDefault="00CA5B65" w:rsidP="00CA5B65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você a essa altura já sabe, nosso curso tem por título </w:t>
      </w:r>
      <w:r w:rsidRPr="00971366">
        <w:rPr>
          <w:rFonts w:ascii="Arial" w:hAnsi="Arial" w:cs="Arial"/>
          <w:i/>
          <w:sz w:val="24"/>
          <w:szCs w:val="24"/>
        </w:rPr>
        <w:t xml:space="preserve">Repercussão </w:t>
      </w:r>
      <w:r w:rsidR="00F57FC5">
        <w:rPr>
          <w:rFonts w:ascii="Arial" w:hAnsi="Arial" w:cs="Arial"/>
          <w:i/>
          <w:sz w:val="24"/>
          <w:szCs w:val="24"/>
        </w:rPr>
        <w:t>g</w:t>
      </w:r>
      <w:r w:rsidRPr="00971366">
        <w:rPr>
          <w:rFonts w:ascii="Arial" w:hAnsi="Arial" w:cs="Arial"/>
          <w:i/>
          <w:sz w:val="24"/>
          <w:szCs w:val="24"/>
        </w:rPr>
        <w:t>eral: origens, inovações e sua aplicação ao Supremo Tribunal Federal</w:t>
      </w:r>
      <w:r>
        <w:rPr>
          <w:rFonts w:ascii="Arial" w:hAnsi="Arial" w:cs="Arial"/>
          <w:sz w:val="24"/>
          <w:szCs w:val="24"/>
        </w:rPr>
        <w:t>. Nosso foco principal, como fica claro, é entender melhor o instituto da repercussão geral, bem como</w:t>
      </w:r>
      <w:r w:rsidR="009012EA">
        <w:rPr>
          <w:rFonts w:ascii="Arial" w:hAnsi="Arial" w:cs="Arial"/>
          <w:sz w:val="24"/>
          <w:szCs w:val="24"/>
        </w:rPr>
        <w:t xml:space="preserve"> os</w:t>
      </w:r>
      <w:r>
        <w:rPr>
          <w:rFonts w:ascii="Arial" w:hAnsi="Arial" w:cs="Arial"/>
          <w:sz w:val="24"/>
          <w:szCs w:val="24"/>
        </w:rPr>
        <w:t xml:space="preserve"> seus desdobramentos para o desempenho de nossas funções institucionais aqui no Tribunal, ou mesmo para que conheçamos mais a fundo essa importante ferramenta. </w:t>
      </w:r>
    </w:p>
    <w:p w:rsidR="00CA5B65" w:rsidRDefault="00CA5B65" w:rsidP="00CA5B65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começarmos os estudos, vamos conhecer a proposta do curso e seus objetivos?</w:t>
      </w:r>
    </w:p>
    <w:p w:rsidR="005570C3" w:rsidRDefault="005570C3" w:rsidP="005570C3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A5B65" w:rsidRPr="005570C3" w:rsidRDefault="00CA5B65" w:rsidP="005570C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r w:rsidRPr="005570C3">
        <w:rPr>
          <w:rFonts w:ascii="Arial" w:hAnsi="Arial" w:cs="Arial"/>
          <w:sz w:val="24"/>
          <w:szCs w:val="24"/>
          <w:u w:val="single"/>
        </w:rPr>
        <w:t>1.1 Proposta do curso</w:t>
      </w:r>
    </w:p>
    <w:p w:rsidR="00CA5B65" w:rsidRDefault="00CA5B65" w:rsidP="00CA5B65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Inicialmente, a proposta do curso nasce a partir da análise de demandas colacionadas no </w:t>
      </w:r>
      <w:r w:rsidRPr="009C6DE4">
        <w:rPr>
          <w:rFonts w:ascii="Arial" w:hAnsi="Arial" w:cs="Arial"/>
          <w:sz w:val="24"/>
          <w:szCs w:val="24"/>
        </w:rPr>
        <w:t>Levantamento de Necessidades de Capacitação</w:t>
      </w:r>
      <w:r w:rsidR="009012EA">
        <w:rPr>
          <w:rFonts w:ascii="Arial" w:hAnsi="Arial" w:cs="Arial"/>
          <w:sz w:val="24"/>
          <w:szCs w:val="24"/>
        </w:rPr>
        <w:t xml:space="preserve"> </w:t>
      </w:r>
      <w:r w:rsidR="009012EA" w:rsidRPr="009C6DE4">
        <w:rPr>
          <w:rFonts w:ascii="Arial" w:hAnsi="Arial" w:cs="Arial"/>
          <w:sz w:val="24"/>
          <w:szCs w:val="24"/>
        </w:rPr>
        <w:t>2015/2016</w:t>
      </w:r>
      <w:r w:rsidRPr="009C6DE4">
        <w:rPr>
          <w:rFonts w:ascii="Arial" w:hAnsi="Arial" w:cs="Arial"/>
          <w:sz w:val="24"/>
          <w:szCs w:val="24"/>
        </w:rPr>
        <w:t xml:space="preserve"> </w:t>
      </w:r>
      <w:r w:rsidR="009012EA">
        <w:rPr>
          <w:rFonts w:ascii="Arial" w:hAnsi="Arial" w:cs="Arial"/>
          <w:sz w:val="24"/>
          <w:szCs w:val="24"/>
        </w:rPr>
        <w:t>(</w:t>
      </w:r>
      <w:r w:rsidRPr="009C6DE4">
        <w:rPr>
          <w:rFonts w:ascii="Arial" w:hAnsi="Arial" w:cs="Arial"/>
          <w:sz w:val="24"/>
          <w:szCs w:val="24"/>
        </w:rPr>
        <w:t>LNC 2015/2016</w:t>
      </w:r>
      <w:r w:rsidR="009012E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</w:t>
      </w:r>
      <w:r w:rsidR="0060167A">
        <w:rPr>
          <w:rFonts w:ascii="Arial" w:hAnsi="Arial" w:cs="Arial"/>
          <w:sz w:val="24"/>
          <w:szCs w:val="24"/>
        </w:rPr>
        <w:t>Em tal</w:t>
      </w:r>
      <w:r w:rsidR="00F57FC5">
        <w:rPr>
          <w:rFonts w:ascii="Arial" w:hAnsi="Arial" w:cs="Arial"/>
          <w:sz w:val="24"/>
          <w:szCs w:val="24"/>
        </w:rPr>
        <w:t xml:space="preserve"> verificação</w:t>
      </w:r>
      <w:r>
        <w:rPr>
          <w:rFonts w:ascii="Arial" w:hAnsi="Arial" w:cs="Arial"/>
          <w:sz w:val="24"/>
          <w:szCs w:val="24"/>
        </w:rPr>
        <w:t xml:space="preserve"> conduzid</w:t>
      </w:r>
      <w:r w:rsidR="0060167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pela Secretaria de Gestão de Pessoas do Tribunal, os próprios servidores indicaram a necessidade de produção de capacitação interna </w:t>
      </w:r>
      <w:r w:rsidR="00A67955">
        <w:rPr>
          <w:rFonts w:ascii="Arial" w:hAnsi="Arial" w:cs="Arial"/>
          <w:sz w:val="24"/>
          <w:szCs w:val="24"/>
        </w:rPr>
        <w:t>sobre a</w:t>
      </w:r>
      <w:r>
        <w:rPr>
          <w:rFonts w:ascii="Arial" w:hAnsi="Arial" w:cs="Arial"/>
          <w:sz w:val="24"/>
          <w:szCs w:val="24"/>
        </w:rPr>
        <w:t xml:space="preserve"> sistemática da </w:t>
      </w:r>
      <w:r w:rsidR="006F0429">
        <w:rPr>
          <w:rFonts w:ascii="Arial" w:hAnsi="Arial" w:cs="Arial"/>
          <w:sz w:val="24"/>
          <w:szCs w:val="24"/>
        </w:rPr>
        <w:t>repercussão geral</w:t>
      </w:r>
      <w:r>
        <w:rPr>
          <w:rFonts w:ascii="Arial" w:hAnsi="Arial" w:cs="Arial"/>
          <w:sz w:val="24"/>
          <w:szCs w:val="24"/>
        </w:rPr>
        <w:t>, tanto sob seu aspecto mais prático</w:t>
      </w:r>
      <w:r w:rsidR="00A67955">
        <w:rPr>
          <w:rFonts w:ascii="Arial" w:hAnsi="Arial" w:cs="Arial"/>
          <w:sz w:val="24"/>
          <w:szCs w:val="24"/>
        </w:rPr>
        <w:t>, relacionado</w:t>
      </w:r>
      <w:r>
        <w:rPr>
          <w:rFonts w:ascii="Arial" w:hAnsi="Arial" w:cs="Arial"/>
          <w:sz w:val="24"/>
          <w:szCs w:val="24"/>
        </w:rPr>
        <w:t xml:space="preserve"> às atribuições do </w:t>
      </w:r>
      <w:r w:rsidR="00A67955">
        <w:rPr>
          <w:rFonts w:ascii="Arial" w:hAnsi="Arial" w:cs="Arial"/>
          <w:sz w:val="24"/>
          <w:szCs w:val="24"/>
        </w:rPr>
        <w:t>STF</w:t>
      </w:r>
      <w:r>
        <w:rPr>
          <w:rFonts w:ascii="Arial" w:hAnsi="Arial" w:cs="Arial"/>
          <w:sz w:val="24"/>
          <w:szCs w:val="24"/>
        </w:rPr>
        <w:t xml:space="preserve">, quanto em relação às necessidades de atendimento de clientes externos para a solução de dúvidas, muitas das vezes formuladas por outros </w:t>
      </w:r>
      <w:r w:rsidR="006F0429">
        <w:rPr>
          <w:rFonts w:ascii="Arial" w:hAnsi="Arial" w:cs="Arial"/>
          <w:sz w:val="24"/>
          <w:szCs w:val="24"/>
        </w:rPr>
        <w:t>tribunais</w:t>
      </w:r>
      <w:r>
        <w:rPr>
          <w:rFonts w:ascii="Arial" w:hAnsi="Arial" w:cs="Arial"/>
          <w:sz w:val="24"/>
          <w:szCs w:val="24"/>
        </w:rPr>
        <w:t xml:space="preserve">. A partir de tais demandas, procuramos, em conjunto com a Seção de Educação a Distância, desenvolver o presente </w:t>
      </w:r>
      <w:r w:rsidR="00A67955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urso. </w:t>
      </w:r>
    </w:p>
    <w:p w:rsidR="00CA5B65" w:rsidRDefault="00CA5B65" w:rsidP="00CA5B65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 certeza, teremos a oportunidade de analisar algumas questões práticas </w:t>
      </w:r>
      <w:r w:rsidR="00A67955">
        <w:rPr>
          <w:rFonts w:ascii="Arial" w:hAnsi="Arial" w:cs="Arial"/>
          <w:sz w:val="24"/>
          <w:szCs w:val="24"/>
        </w:rPr>
        <w:t xml:space="preserve">concernentes </w:t>
      </w:r>
      <w:r>
        <w:rPr>
          <w:rFonts w:ascii="Arial" w:hAnsi="Arial" w:cs="Arial"/>
          <w:sz w:val="24"/>
          <w:szCs w:val="24"/>
        </w:rPr>
        <w:t>à aplicação</w:t>
      </w:r>
      <w:r w:rsidR="00A67955" w:rsidRPr="00A67955">
        <w:rPr>
          <w:rFonts w:ascii="Arial" w:hAnsi="Arial" w:cs="Arial"/>
          <w:sz w:val="24"/>
          <w:szCs w:val="24"/>
        </w:rPr>
        <w:t xml:space="preserve"> </w:t>
      </w:r>
      <w:r w:rsidR="00A67955">
        <w:rPr>
          <w:rFonts w:ascii="Arial" w:hAnsi="Arial" w:cs="Arial"/>
          <w:sz w:val="24"/>
          <w:szCs w:val="24"/>
        </w:rPr>
        <w:t>desse instituto jurídico</w:t>
      </w:r>
      <w:r>
        <w:rPr>
          <w:rFonts w:ascii="Arial" w:hAnsi="Arial" w:cs="Arial"/>
          <w:sz w:val="24"/>
          <w:szCs w:val="24"/>
        </w:rPr>
        <w:t xml:space="preserve">. Entretanto, para uma melhor e mais completa </w:t>
      </w:r>
      <w:r w:rsidRPr="00617FCA">
        <w:rPr>
          <w:rFonts w:ascii="Arial" w:hAnsi="Arial" w:cs="Arial"/>
          <w:sz w:val="24"/>
          <w:szCs w:val="24"/>
        </w:rPr>
        <w:t xml:space="preserve">compreensão </w:t>
      </w:r>
      <w:r w:rsidR="00A67955">
        <w:rPr>
          <w:rFonts w:ascii="Arial" w:hAnsi="Arial" w:cs="Arial"/>
          <w:sz w:val="24"/>
          <w:szCs w:val="24"/>
        </w:rPr>
        <w:t>do tema</w:t>
      </w:r>
      <w:r w:rsidR="0060167A">
        <w:rPr>
          <w:rFonts w:ascii="Arial" w:hAnsi="Arial" w:cs="Arial"/>
          <w:sz w:val="24"/>
          <w:szCs w:val="24"/>
        </w:rPr>
        <w:t>,</w:t>
      </w:r>
      <w:r w:rsidR="00A67955">
        <w:rPr>
          <w:rFonts w:ascii="Arial" w:hAnsi="Arial" w:cs="Arial"/>
          <w:sz w:val="24"/>
          <w:szCs w:val="24"/>
        </w:rPr>
        <w:t xml:space="preserve"> é importante </w:t>
      </w:r>
      <w:r w:rsidR="0060167A">
        <w:rPr>
          <w:rFonts w:ascii="Arial" w:hAnsi="Arial" w:cs="Arial"/>
          <w:sz w:val="24"/>
          <w:szCs w:val="24"/>
        </w:rPr>
        <w:t>perpassar por</w:t>
      </w:r>
      <w:r w:rsidR="00A6795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suas origens históricas, </w:t>
      </w:r>
      <w:r w:rsidR="008D62BD">
        <w:rPr>
          <w:rFonts w:ascii="Arial" w:hAnsi="Arial" w:cs="Arial"/>
          <w:sz w:val="24"/>
          <w:szCs w:val="24"/>
        </w:rPr>
        <w:t>verificar</w:t>
      </w:r>
      <w:r w:rsidR="00280B2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há e como são tratados institutos semelhantes no direito comparado</w:t>
      </w:r>
      <w:r w:rsidR="00280B29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>,</w:t>
      </w:r>
      <w:r w:rsidR="00280B29">
        <w:rPr>
          <w:rFonts w:ascii="Arial" w:hAnsi="Arial" w:cs="Arial"/>
          <w:sz w:val="24"/>
          <w:szCs w:val="24"/>
        </w:rPr>
        <w:t xml:space="preserve"> por fim, observar</w:t>
      </w:r>
      <w:r>
        <w:rPr>
          <w:rFonts w:ascii="Arial" w:hAnsi="Arial" w:cs="Arial"/>
          <w:sz w:val="24"/>
          <w:szCs w:val="24"/>
        </w:rPr>
        <w:t xml:space="preserve"> a evolução do tratamento legislativo de tal questão (e aqui nos caberá abrir um tópico específico sobre o Novo Código de Processo Civil – Lei nº 13.105/2015 –, cuja vigência se iniciou em 18 de março de 2016). </w:t>
      </w:r>
      <w:r w:rsidR="0084280F">
        <w:rPr>
          <w:rFonts w:ascii="Arial" w:hAnsi="Arial" w:cs="Arial"/>
          <w:sz w:val="24"/>
          <w:szCs w:val="24"/>
        </w:rPr>
        <w:t>A imersão teórica</w:t>
      </w:r>
      <w:r w:rsidR="00224F7D">
        <w:rPr>
          <w:rFonts w:ascii="Arial" w:hAnsi="Arial" w:cs="Arial"/>
          <w:sz w:val="24"/>
          <w:szCs w:val="24"/>
        </w:rPr>
        <w:t xml:space="preserve"> </w:t>
      </w:r>
      <w:r w:rsidR="0084280F">
        <w:rPr>
          <w:rFonts w:ascii="Arial" w:hAnsi="Arial" w:cs="Arial"/>
          <w:sz w:val="24"/>
          <w:szCs w:val="24"/>
        </w:rPr>
        <w:t>n</w:t>
      </w:r>
      <w:r w:rsidR="00224F7D">
        <w:rPr>
          <w:rFonts w:ascii="Arial" w:hAnsi="Arial" w:cs="Arial"/>
          <w:sz w:val="24"/>
          <w:szCs w:val="24"/>
        </w:rPr>
        <w:t xml:space="preserve">esses aspectos incrementará a nossa formação jurídica e nos ajudará a </w:t>
      </w:r>
      <w:r w:rsidR="00224F7D" w:rsidRPr="00CA5B65">
        <w:rPr>
          <w:rFonts w:ascii="Arial" w:hAnsi="Arial" w:cs="Arial"/>
          <w:sz w:val="24"/>
          <w:szCs w:val="24"/>
        </w:rPr>
        <w:t xml:space="preserve">enfrentar </w:t>
      </w:r>
      <w:r w:rsidR="00224F7D">
        <w:rPr>
          <w:rFonts w:ascii="Arial" w:hAnsi="Arial" w:cs="Arial"/>
          <w:sz w:val="24"/>
          <w:szCs w:val="24"/>
        </w:rPr>
        <w:t>os problemas que cotidianamente encaramos no exercício de nossas atribuições perante o Tribunal.</w:t>
      </w:r>
    </w:p>
    <w:p w:rsidR="00CA5B65" w:rsidRDefault="00CA5B65" w:rsidP="00CA5B65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Sempre que couber, procuraremos também criar campos de complementação de algum aspecto do conteúdo, ainda que não tenha exata vinculação com a repercussão geral em si, de modo a fomentar o aprofundamento de temas correlatos.</w:t>
      </w:r>
    </w:p>
    <w:p w:rsidR="00CA5B65" w:rsidRDefault="00CA5B65" w:rsidP="00CA5B65">
      <w:pPr>
        <w:tabs>
          <w:tab w:val="left" w:pos="1397"/>
        </w:tabs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intuito de aprofundarmos nossos conhecimentos sobre o instituto da repercussão geral, é importante que construamos ou </w:t>
      </w:r>
      <w:r w:rsidR="0060167A">
        <w:rPr>
          <w:rFonts w:ascii="Arial" w:hAnsi="Arial" w:cs="Arial"/>
          <w:sz w:val="24"/>
          <w:szCs w:val="24"/>
        </w:rPr>
        <w:t xml:space="preserve">revisemos </w:t>
      </w:r>
      <w:r>
        <w:rPr>
          <w:rFonts w:ascii="Arial" w:hAnsi="Arial" w:cs="Arial"/>
          <w:sz w:val="24"/>
          <w:szCs w:val="24"/>
        </w:rPr>
        <w:t xml:space="preserve">alguns conceitos e compreensões preliminares. É por essa razão que iniciaremos o nosso curso a partir de breve análise histórica </w:t>
      </w:r>
      <w:r w:rsidR="00F70F0E">
        <w:rPr>
          <w:rFonts w:ascii="Arial" w:hAnsi="Arial" w:cs="Arial"/>
          <w:sz w:val="24"/>
          <w:szCs w:val="24"/>
        </w:rPr>
        <w:t>do surgimento</w:t>
      </w:r>
      <w:r w:rsidR="00D8524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70F0E">
        <w:rPr>
          <w:rFonts w:ascii="Arial" w:hAnsi="Arial" w:cs="Arial"/>
          <w:sz w:val="24"/>
          <w:szCs w:val="24"/>
        </w:rPr>
        <w:t>d</w:t>
      </w:r>
      <w:r w:rsidR="0084280F">
        <w:rPr>
          <w:rFonts w:ascii="Arial" w:hAnsi="Arial" w:cs="Arial"/>
          <w:sz w:val="24"/>
          <w:szCs w:val="24"/>
        </w:rPr>
        <w:t>a</w:t>
      </w:r>
      <w:r w:rsidR="00B024C6">
        <w:rPr>
          <w:rFonts w:ascii="Arial" w:hAnsi="Arial" w:cs="Arial"/>
          <w:sz w:val="24"/>
          <w:szCs w:val="24"/>
        </w:rPr>
        <w:t xml:space="preserve">  sistemática</w:t>
      </w:r>
      <w:proofErr w:type="gramEnd"/>
      <w:r w:rsidR="00B024C6">
        <w:rPr>
          <w:rFonts w:ascii="Arial" w:hAnsi="Arial" w:cs="Arial"/>
          <w:sz w:val="24"/>
          <w:szCs w:val="24"/>
        </w:rPr>
        <w:t xml:space="preserve"> da</w:t>
      </w:r>
      <w:r w:rsidR="0084280F">
        <w:rPr>
          <w:rFonts w:ascii="Arial" w:hAnsi="Arial" w:cs="Arial"/>
          <w:sz w:val="24"/>
          <w:szCs w:val="24"/>
        </w:rPr>
        <w:t xml:space="preserve"> </w:t>
      </w:r>
      <w:r w:rsidR="00F70F0E">
        <w:rPr>
          <w:rFonts w:ascii="Arial" w:hAnsi="Arial" w:cs="Arial"/>
          <w:sz w:val="24"/>
          <w:szCs w:val="24"/>
        </w:rPr>
        <w:t>r</w:t>
      </w:r>
      <w:r w:rsidR="0084280F">
        <w:rPr>
          <w:rFonts w:ascii="Arial" w:hAnsi="Arial" w:cs="Arial"/>
          <w:sz w:val="24"/>
          <w:szCs w:val="24"/>
        </w:rPr>
        <w:t xml:space="preserve">epercussão </w:t>
      </w:r>
      <w:r w:rsidR="00F70F0E">
        <w:rPr>
          <w:rFonts w:ascii="Arial" w:hAnsi="Arial" w:cs="Arial"/>
          <w:sz w:val="24"/>
          <w:szCs w:val="24"/>
        </w:rPr>
        <w:t>g</w:t>
      </w:r>
      <w:r w:rsidR="0084280F">
        <w:rPr>
          <w:rFonts w:ascii="Arial" w:hAnsi="Arial" w:cs="Arial"/>
          <w:sz w:val="24"/>
          <w:szCs w:val="24"/>
        </w:rPr>
        <w:t>eral</w:t>
      </w:r>
      <w:r>
        <w:rPr>
          <w:rFonts w:ascii="Arial" w:hAnsi="Arial" w:cs="Arial"/>
          <w:sz w:val="24"/>
          <w:szCs w:val="24"/>
        </w:rPr>
        <w:t xml:space="preserve">, os seus fundamentos, </w:t>
      </w:r>
      <w:r w:rsidR="00F70F0E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antecedentes históricos e jurídicos, bem como o cenário que possibilitou</w:t>
      </w:r>
      <w:r w:rsidR="00F70F0E">
        <w:rPr>
          <w:rFonts w:ascii="Arial" w:hAnsi="Arial" w:cs="Arial"/>
          <w:sz w:val="24"/>
          <w:szCs w:val="24"/>
        </w:rPr>
        <w:t xml:space="preserve"> a sua origem</w:t>
      </w:r>
      <w:r>
        <w:rPr>
          <w:rFonts w:ascii="Arial" w:hAnsi="Arial" w:cs="Arial"/>
          <w:sz w:val="24"/>
          <w:szCs w:val="24"/>
        </w:rPr>
        <w:t>.</w:t>
      </w:r>
    </w:p>
    <w:p w:rsidR="00CA5B65" w:rsidRDefault="00CA5B65" w:rsidP="00CA5B65">
      <w:pPr>
        <w:tabs>
          <w:tab w:val="left" w:pos="1397"/>
        </w:tabs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sequência, procurar</w:t>
      </w:r>
      <w:r w:rsidR="00D85244">
        <w:rPr>
          <w:rFonts w:ascii="Arial" w:hAnsi="Arial" w:cs="Arial"/>
          <w:sz w:val="24"/>
          <w:szCs w:val="24"/>
        </w:rPr>
        <w:t>emos,</w:t>
      </w:r>
      <w:r>
        <w:rPr>
          <w:rFonts w:ascii="Arial" w:hAnsi="Arial" w:cs="Arial"/>
          <w:sz w:val="24"/>
          <w:szCs w:val="24"/>
        </w:rPr>
        <w:t xml:space="preserve"> no âmbito do direito comparado</w:t>
      </w:r>
      <w:r w:rsidR="00D8524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 existem institutos semelhantes, diferenciando os sistemas de </w:t>
      </w:r>
      <w:r w:rsidRPr="00937456">
        <w:rPr>
          <w:rFonts w:ascii="Arial" w:hAnsi="Arial" w:cs="Arial"/>
          <w:i/>
          <w:sz w:val="24"/>
          <w:szCs w:val="24"/>
        </w:rPr>
        <w:t xml:space="preserve">common </w:t>
      </w:r>
      <w:proofErr w:type="spellStart"/>
      <w:r w:rsidRPr="00937456">
        <w:rPr>
          <w:rFonts w:ascii="Arial" w:hAnsi="Arial" w:cs="Arial"/>
          <w:i/>
          <w:sz w:val="24"/>
          <w:szCs w:val="24"/>
        </w:rPr>
        <w:t>law</w:t>
      </w:r>
      <w:proofErr w:type="spellEnd"/>
      <w:r>
        <w:rPr>
          <w:rFonts w:ascii="Arial" w:hAnsi="Arial" w:cs="Arial"/>
          <w:sz w:val="24"/>
          <w:szCs w:val="24"/>
        </w:rPr>
        <w:t xml:space="preserve"> e os de </w:t>
      </w:r>
      <w:r w:rsidRPr="00937456">
        <w:rPr>
          <w:rFonts w:ascii="Arial" w:hAnsi="Arial" w:cs="Arial"/>
          <w:i/>
          <w:sz w:val="24"/>
          <w:szCs w:val="24"/>
        </w:rPr>
        <w:t xml:space="preserve">civil </w:t>
      </w:r>
      <w:proofErr w:type="spellStart"/>
      <w:r w:rsidRPr="00937456">
        <w:rPr>
          <w:rFonts w:ascii="Arial" w:hAnsi="Arial" w:cs="Arial"/>
          <w:i/>
          <w:sz w:val="24"/>
          <w:szCs w:val="24"/>
        </w:rPr>
        <w:t>law</w:t>
      </w:r>
      <w:proofErr w:type="spellEnd"/>
      <w:r>
        <w:rPr>
          <w:rFonts w:ascii="Arial" w:hAnsi="Arial" w:cs="Arial"/>
          <w:sz w:val="24"/>
          <w:szCs w:val="24"/>
        </w:rPr>
        <w:t>. Esse momento é importante para que, posteriormente, cada um de nós possa empreender uma análise crítica de como a repercussão geral se desenvolve no Brasil, buscando elementos de comparação para seu aprimoramento.</w:t>
      </w:r>
    </w:p>
    <w:p w:rsidR="00CA5B65" w:rsidRDefault="00CA5B65" w:rsidP="00CA5B65">
      <w:pPr>
        <w:tabs>
          <w:tab w:val="left" w:pos="1397"/>
        </w:tabs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Concluída a análise histórica </w:t>
      </w:r>
      <w:r w:rsidR="00D85244">
        <w:rPr>
          <w:rFonts w:ascii="Arial" w:hAnsi="Arial" w:cs="Arial"/>
          <w:sz w:val="24"/>
          <w:szCs w:val="24"/>
        </w:rPr>
        <w:t>e o exame do direito comparado</w:t>
      </w:r>
      <w:r w:rsidR="00B024C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que nos </w:t>
      </w:r>
      <w:r w:rsidR="00EA07F8">
        <w:rPr>
          <w:rFonts w:ascii="Arial" w:hAnsi="Arial" w:cs="Arial"/>
          <w:sz w:val="24"/>
          <w:szCs w:val="24"/>
        </w:rPr>
        <w:t xml:space="preserve">possibilitarão </w:t>
      </w:r>
      <w:r>
        <w:rPr>
          <w:rFonts w:ascii="Arial" w:hAnsi="Arial" w:cs="Arial"/>
          <w:sz w:val="24"/>
          <w:szCs w:val="24"/>
        </w:rPr>
        <w:t>entender as origens e os fundamentos estruturantes da repercussão geral, partiremos a uma análise mais detida de seu tratamento no direito brasileiro, principalmente em relação à evolução de sua disposição legislativa</w:t>
      </w:r>
      <w:r w:rsidR="006047B6">
        <w:rPr>
          <w:rFonts w:ascii="Arial" w:hAnsi="Arial" w:cs="Arial"/>
          <w:sz w:val="24"/>
          <w:szCs w:val="24"/>
        </w:rPr>
        <w:t>,</w:t>
      </w:r>
      <w:r w:rsidR="00C7349E">
        <w:rPr>
          <w:rFonts w:ascii="Arial" w:hAnsi="Arial" w:cs="Arial"/>
          <w:sz w:val="24"/>
          <w:szCs w:val="24"/>
        </w:rPr>
        <w:t xml:space="preserve"> abordando seu</w:t>
      </w:r>
      <w:r w:rsidR="002126F7">
        <w:rPr>
          <w:rFonts w:ascii="Arial" w:hAnsi="Arial" w:cs="Arial"/>
          <w:sz w:val="24"/>
          <w:szCs w:val="24"/>
        </w:rPr>
        <w:t xml:space="preserve"> surgimento, </w:t>
      </w:r>
      <w:r w:rsidR="00C7349E">
        <w:rPr>
          <w:rFonts w:ascii="Arial" w:hAnsi="Arial" w:cs="Arial"/>
          <w:sz w:val="24"/>
          <w:szCs w:val="24"/>
        </w:rPr>
        <w:t>seu</w:t>
      </w:r>
      <w:r w:rsidR="002126F7">
        <w:rPr>
          <w:rFonts w:ascii="Arial" w:hAnsi="Arial" w:cs="Arial"/>
          <w:sz w:val="24"/>
          <w:szCs w:val="24"/>
        </w:rPr>
        <w:t xml:space="preserve"> tratamento constitucional e </w:t>
      </w:r>
      <w:r w:rsidR="00C7349E">
        <w:rPr>
          <w:rFonts w:ascii="Arial" w:hAnsi="Arial" w:cs="Arial"/>
          <w:sz w:val="24"/>
          <w:szCs w:val="24"/>
        </w:rPr>
        <w:t>seus</w:t>
      </w:r>
      <w:r w:rsidR="002126F7">
        <w:rPr>
          <w:rFonts w:ascii="Arial" w:hAnsi="Arial" w:cs="Arial"/>
          <w:sz w:val="24"/>
          <w:szCs w:val="24"/>
        </w:rPr>
        <w:t xml:space="preserve"> contextos infraconstitucionais</w:t>
      </w:r>
      <w:r>
        <w:rPr>
          <w:rFonts w:ascii="Arial" w:hAnsi="Arial" w:cs="Arial"/>
          <w:sz w:val="24"/>
          <w:szCs w:val="24"/>
        </w:rPr>
        <w:t xml:space="preserve">. Claro que, sempre que possível, procuraremos apontar também os respectivos entendimentos jurisprudenciais do </w:t>
      </w:r>
      <w:r w:rsidR="00D85244">
        <w:rPr>
          <w:rFonts w:ascii="Arial" w:hAnsi="Arial" w:cs="Arial"/>
          <w:sz w:val="24"/>
          <w:szCs w:val="24"/>
        </w:rPr>
        <w:t>STF</w:t>
      </w:r>
      <w:r>
        <w:rPr>
          <w:rFonts w:ascii="Arial" w:hAnsi="Arial" w:cs="Arial"/>
          <w:sz w:val="24"/>
          <w:szCs w:val="24"/>
        </w:rPr>
        <w:t xml:space="preserve"> sobre os </w:t>
      </w:r>
      <w:r>
        <w:rPr>
          <w:rFonts w:ascii="Arial" w:hAnsi="Arial" w:cs="Arial"/>
          <w:sz w:val="24"/>
          <w:szCs w:val="24"/>
        </w:rPr>
        <w:lastRenderedPageBreak/>
        <w:t xml:space="preserve">pontos abordados. Na sequência, nos cumprirá tratar das inovações do Novo Código de Processo Civil (Lei nº 13.105/2015) sobre o tema, bem como traçar paralelos com o seu antecedente (o CPC de 1973). </w:t>
      </w:r>
      <w:r w:rsidR="00C7349E">
        <w:rPr>
          <w:rFonts w:ascii="Arial" w:hAnsi="Arial" w:cs="Arial"/>
          <w:sz w:val="24"/>
          <w:szCs w:val="24"/>
        </w:rPr>
        <w:t xml:space="preserve">Destaca-se </w:t>
      </w:r>
      <w:r>
        <w:rPr>
          <w:rFonts w:ascii="Arial" w:hAnsi="Arial" w:cs="Arial"/>
          <w:sz w:val="24"/>
          <w:szCs w:val="24"/>
        </w:rPr>
        <w:t xml:space="preserve">que já há bastante produção doutrinária em relação a esse novo diploma legal, apesar de os pontos controversos da nova legislação ainda não estarem resolvidos. Ademais, dado o seu pouco tempo de vigência, naturalmente ainda são poucos os pronunciamentos jurisprudenciais sobre o tema, mas sempre que houver serão destacados. De todo modo, há controvérsias que só o transcurso do tempo nos permitirá apreender quais as interpretações a se </w:t>
      </w:r>
      <w:r w:rsidR="007464B6" w:rsidRPr="00D31E63">
        <w:rPr>
          <w:rFonts w:ascii="Arial" w:hAnsi="Arial" w:cs="Arial"/>
          <w:sz w:val="24"/>
          <w:szCs w:val="24"/>
        </w:rPr>
        <w:t>atribuírem</w:t>
      </w:r>
      <w:r w:rsidR="007464B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determinadas disposições do Código de Processo Civil de 2015.</w:t>
      </w:r>
    </w:p>
    <w:p w:rsidR="00C63229" w:rsidRDefault="00CA5B65" w:rsidP="00C7349E">
      <w:pPr>
        <w:tabs>
          <w:tab w:val="left" w:pos="1397"/>
        </w:tabs>
        <w:spacing w:before="12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</w:t>
      </w:r>
      <w:r w:rsidR="00C23BD8">
        <w:rPr>
          <w:rFonts w:ascii="Arial" w:hAnsi="Arial" w:cs="Arial"/>
          <w:sz w:val="24"/>
          <w:szCs w:val="24"/>
        </w:rPr>
        <w:t xml:space="preserve">ressaltaremos </w:t>
      </w:r>
      <w:r>
        <w:rPr>
          <w:rFonts w:ascii="Arial" w:hAnsi="Arial" w:cs="Arial"/>
          <w:sz w:val="24"/>
          <w:szCs w:val="24"/>
        </w:rPr>
        <w:t xml:space="preserve">algumas questões práticas relativas à aplicação da repercussão geral no âmbito do </w:t>
      </w:r>
      <w:r w:rsidR="00C23BD8">
        <w:rPr>
          <w:rFonts w:ascii="Arial" w:hAnsi="Arial" w:cs="Arial"/>
          <w:sz w:val="24"/>
          <w:szCs w:val="24"/>
        </w:rPr>
        <w:t xml:space="preserve">STF: </w:t>
      </w:r>
    </w:p>
    <w:p w:rsidR="00C63229" w:rsidRPr="00C63229" w:rsidRDefault="00CA5B65" w:rsidP="00C63229">
      <w:pPr>
        <w:pStyle w:val="PargrafodaLista"/>
        <w:numPr>
          <w:ilvl w:val="0"/>
          <w:numId w:val="3"/>
        </w:numPr>
        <w:tabs>
          <w:tab w:val="left" w:pos="1397"/>
        </w:tabs>
        <w:spacing w:before="120" w:after="120" w:line="360" w:lineRule="auto"/>
        <w:ind w:left="851" w:hanging="425"/>
        <w:jc w:val="both"/>
        <w:rPr>
          <w:rFonts w:ascii="Arial" w:hAnsi="Arial" w:cs="Arial"/>
          <w:i/>
          <w:sz w:val="24"/>
          <w:szCs w:val="24"/>
        </w:rPr>
      </w:pPr>
      <w:r w:rsidRPr="00C63229">
        <w:rPr>
          <w:rFonts w:ascii="Arial" w:hAnsi="Arial" w:cs="Arial"/>
          <w:i/>
          <w:sz w:val="24"/>
          <w:szCs w:val="24"/>
        </w:rPr>
        <w:t xml:space="preserve">Quando os processos deverão ser enviados para este Tribunal? </w:t>
      </w:r>
    </w:p>
    <w:p w:rsidR="00C63229" w:rsidRPr="00C63229" w:rsidRDefault="00CA5B65" w:rsidP="00C63229">
      <w:pPr>
        <w:pStyle w:val="PargrafodaLista"/>
        <w:numPr>
          <w:ilvl w:val="0"/>
          <w:numId w:val="3"/>
        </w:numPr>
        <w:tabs>
          <w:tab w:val="left" w:pos="1397"/>
        </w:tabs>
        <w:spacing w:before="120" w:after="120" w:line="360" w:lineRule="auto"/>
        <w:ind w:left="851" w:hanging="425"/>
        <w:jc w:val="both"/>
        <w:rPr>
          <w:rFonts w:ascii="Arial" w:hAnsi="Arial" w:cs="Arial"/>
          <w:i/>
          <w:sz w:val="24"/>
          <w:szCs w:val="24"/>
        </w:rPr>
      </w:pPr>
      <w:r w:rsidRPr="00C63229">
        <w:rPr>
          <w:rFonts w:ascii="Arial" w:hAnsi="Arial" w:cs="Arial"/>
          <w:i/>
          <w:sz w:val="24"/>
          <w:szCs w:val="24"/>
        </w:rPr>
        <w:t xml:space="preserve">Quando deverão permanecer na instância de origem? </w:t>
      </w:r>
    </w:p>
    <w:p w:rsidR="00C63229" w:rsidRPr="00C63229" w:rsidRDefault="00CA5B65" w:rsidP="00C63229">
      <w:pPr>
        <w:pStyle w:val="PargrafodaLista"/>
        <w:numPr>
          <w:ilvl w:val="0"/>
          <w:numId w:val="3"/>
        </w:numPr>
        <w:tabs>
          <w:tab w:val="left" w:pos="1397"/>
        </w:tabs>
        <w:spacing w:before="120" w:after="120" w:line="360" w:lineRule="auto"/>
        <w:ind w:left="851" w:hanging="425"/>
        <w:jc w:val="both"/>
        <w:rPr>
          <w:rFonts w:ascii="Arial" w:hAnsi="Arial" w:cs="Arial"/>
          <w:i/>
          <w:sz w:val="24"/>
          <w:szCs w:val="24"/>
        </w:rPr>
      </w:pPr>
      <w:r w:rsidRPr="00C63229">
        <w:rPr>
          <w:rFonts w:ascii="Arial" w:hAnsi="Arial" w:cs="Arial"/>
          <w:i/>
          <w:sz w:val="24"/>
          <w:szCs w:val="24"/>
        </w:rPr>
        <w:t xml:space="preserve">A quem caberá a análise de eventual pedido de medida cautelar de atribuição de efeito suspensivo na pendência do recurso extraordinário? </w:t>
      </w:r>
    </w:p>
    <w:p w:rsidR="00C63229" w:rsidRPr="00E51273" w:rsidRDefault="00CA5B65" w:rsidP="00C63229">
      <w:pPr>
        <w:pStyle w:val="PargrafodaLista"/>
        <w:numPr>
          <w:ilvl w:val="0"/>
          <w:numId w:val="3"/>
        </w:numPr>
        <w:tabs>
          <w:tab w:val="left" w:pos="1397"/>
        </w:tabs>
        <w:spacing w:before="120" w:after="120" w:line="360" w:lineRule="auto"/>
        <w:ind w:left="851" w:hanging="425"/>
        <w:jc w:val="both"/>
        <w:rPr>
          <w:rFonts w:ascii="Arial" w:hAnsi="Arial" w:cs="Arial"/>
          <w:i/>
          <w:sz w:val="24"/>
          <w:szCs w:val="24"/>
        </w:rPr>
      </w:pPr>
      <w:r w:rsidRPr="00C63229">
        <w:rPr>
          <w:rFonts w:ascii="Arial" w:hAnsi="Arial" w:cs="Arial"/>
          <w:i/>
          <w:sz w:val="24"/>
          <w:szCs w:val="24"/>
        </w:rPr>
        <w:t xml:space="preserve">Como proceder nos casos de alegado </w:t>
      </w:r>
      <w:proofErr w:type="spellStart"/>
      <w:r w:rsidRPr="00E51273">
        <w:rPr>
          <w:rFonts w:ascii="Arial" w:hAnsi="Arial" w:cs="Arial"/>
          <w:sz w:val="24"/>
          <w:szCs w:val="24"/>
        </w:rPr>
        <w:t>distinguishing</w:t>
      </w:r>
      <w:proofErr w:type="spellEnd"/>
      <w:r w:rsidRPr="00E51273">
        <w:rPr>
          <w:rFonts w:ascii="Arial" w:hAnsi="Arial" w:cs="Arial"/>
          <w:i/>
          <w:sz w:val="24"/>
          <w:szCs w:val="24"/>
        </w:rPr>
        <w:t xml:space="preserve"> entre o caso concreto e o tema submetido à análise da Corte pela sistemática da repercussão geral? </w:t>
      </w:r>
    </w:p>
    <w:p w:rsidR="00C63229" w:rsidRPr="00E51273" w:rsidRDefault="00CA5B65" w:rsidP="00C63229">
      <w:pPr>
        <w:pStyle w:val="PargrafodaLista"/>
        <w:numPr>
          <w:ilvl w:val="0"/>
          <w:numId w:val="3"/>
        </w:numPr>
        <w:tabs>
          <w:tab w:val="left" w:pos="1397"/>
        </w:tabs>
        <w:spacing w:before="120" w:after="120" w:line="360" w:lineRule="auto"/>
        <w:ind w:left="851" w:hanging="425"/>
        <w:jc w:val="both"/>
        <w:rPr>
          <w:rFonts w:ascii="Arial" w:hAnsi="Arial" w:cs="Arial"/>
          <w:i/>
          <w:sz w:val="24"/>
          <w:szCs w:val="24"/>
        </w:rPr>
      </w:pPr>
      <w:r w:rsidRPr="00E51273">
        <w:rPr>
          <w:rFonts w:ascii="Arial" w:hAnsi="Arial" w:cs="Arial"/>
          <w:i/>
          <w:sz w:val="24"/>
          <w:szCs w:val="24"/>
        </w:rPr>
        <w:t>Quais são os recursos cabíveis em cada momento processual? Em que hipóteses poderão ser ele</w:t>
      </w:r>
      <w:r w:rsidR="00564D44">
        <w:rPr>
          <w:rFonts w:ascii="Arial" w:hAnsi="Arial" w:cs="Arial"/>
          <w:i/>
          <w:sz w:val="24"/>
          <w:szCs w:val="24"/>
        </w:rPr>
        <w:t>s</w:t>
      </w:r>
      <w:r w:rsidRPr="00E51273">
        <w:rPr>
          <w:rFonts w:ascii="Arial" w:hAnsi="Arial" w:cs="Arial"/>
          <w:i/>
          <w:sz w:val="24"/>
          <w:szCs w:val="24"/>
        </w:rPr>
        <w:t xml:space="preserve"> admitidos? </w:t>
      </w:r>
      <w:bookmarkStart w:id="0" w:name="_GoBack"/>
      <w:bookmarkEnd w:id="0"/>
    </w:p>
    <w:p w:rsidR="00C63229" w:rsidRPr="00E51273" w:rsidRDefault="00CA5B65" w:rsidP="00C63229">
      <w:pPr>
        <w:pStyle w:val="PargrafodaLista"/>
        <w:numPr>
          <w:ilvl w:val="0"/>
          <w:numId w:val="3"/>
        </w:numPr>
        <w:tabs>
          <w:tab w:val="left" w:pos="1397"/>
        </w:tabs>
        <w:spacing w:before="120" w:after="120" w:line="360" w:lineRule="auto"/>
        <w:ind w:left="851" w:hanging="425"/>
        <w:jc w:val="both"/>
        <w:rPr>
          <w:rFonts w:ascii="Arial" w:hAnsi="Arial" w:cs="Arial"/>
          <w:i/>
          <w:sz w:val="24"/>
          <w:szCs w:val="24"/>
        </w:rPr>
      </w:pPr>
      <w:r w:rsidRPr="00E51273">
        <w:rPr>
          <w:rFonts w:ascii="Arial" w:hAnsi="Arial" w:cs="Arial"/>
          <w:i/>
          <w:sz w:val="24"/>
          <w:szCs w:val="24"/>
        </w:rPr>
        <w:t xml:space="preserve">É possível a aplicação de multa e honorários sucumbenciais recursais? </w:t>
      </w:r>
    </w:p>
    <w:p w:rsidR="00CA5B65" w:rsidRPr="00C63229" w:rsidRDefault="00CA5B65" w:rsidP="00C63229">
      <w:pPr>
        <w:tabs>
          <w:tab w:val="left" w:pos="1397"/>
        </w:tabs>
        <w:spacing w:before="120" w:after="120" w:line="360" w:lineRule="auto"/>
        <w:ind w:left="66"/>
        <w:jc w:val="both"/>
        <w:rPr>
          <w:rFonts w:ascii="Arial" w:hAnsi="Arial" w:cs="Arial"/>
          <w:sz w:val="24"/>
          <w:szCs w:val="24"/>
        </w:rPr>
      </w:pPr>
      <w:r w:rsidRPr="00C63229">
        <w:rPr>
          <w:rFonts w:ascii="Arial" w:hAnsi="Arial" w:cs="Arial"/>
          <w:sz w:val="24"/>
          <w:szCs w:val="24"/>
        </w:rPr>
        <w:t>Essas são algumas questões que tentaremos solucionar ao longo do curso.</w:t>
      </w:r>
    </w:p>
    <w:p w:rsidR="00CA5B65" w:rsidRPr="00545F1F" w:rsidRDefault="00CA5B65" w:rsidP="00E51273">
      <w:pPr>
        <w:tabs>
          <w:tab w:val="left" w:pos="1397"/>
        </w:tabs>
        <w:spacing w:before="120" w:after="120" w:line="360" w:lineRule="auto"/>
        <w:ind w:left="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Diante disso, ao final do curso, esperamos que você seja capaz de:</w:t>
      </w:r>
    </w:p>
    <w:p w:rsidR="00CA5B65" w:rsidRPr="006E05D6" w:rsidRDefault="00A82E68" w:rsidP="00CA5B65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868" w:firstLine="0"/>
        <w:jc w:val="both"/>
        <w:rPr>
          <w:rFonts w:ascii="Arial" w:hAnsi="Arial" w:cs="Arial"/>
          <w:sz w:val="24"/>
          <w:szCs w:val="24"/>
        </w:rPr>
      </w:pPr>
      <w:proofErr w:type="gramStart"/>
      <w:r w:rsidRPr="006E05D6">
        <w:rPr>
          <w:rFonts w:ascii="Arial" w:hAnsi="Arial" w:cs="Arial"/>
          <w:sz w:val="24"/>
          <w:szCs w:val="24"/>
        </w:rPr>
        <w:t>explicar</w:t>
      </w:r>
      <w:proofErr w:type="gramEnd"/>
      <w:r w:rsidRPr="006E05D6">
        <w:rPr>
          <w:rFonts w:ascii="Arial" w:hAnsi="Arial" w:cs="Arial"/>
          <w:sz w:val="24"/>
          <w:szCs w:val="24"/>
        </w:rPr>
        <w:t xml:space="preserve"> </w:t>
      </w:r>
      <w:r w:rsidR="00CA5B65" w:rsidRPr="006E05D6">
        <w:rPr>
          <w:rFonts w:ascii="Arial" w:hAnsi="Arial" w:cs="Arial"/>
          <w:sz w:val="24"/>
          <w:szCs w:val="24"/>
        </w:rPr>
        <w:t>as origens históricas da repercussão geral e a sua importância para o ordenamento jurídico brasileiro</w:t>
      </w:r>
      <w:r>
        <w:rPr>
          <w:rFonts w:ascii="Arial" w:hAnsi="Arial" w:cs="Arial"/>
          <w:sz w:val="24"/>
          <w:szCs w:val="24"/>
        </w:rPr>
        <w:t>;</w:t>
      </w:r>
    </w:p>
    <w:p w:rsidR="00CA5B65" w:rsidRPr="006E05D6" w:rsidRDefault="00A82E68" w:rsidP="00CA5B65">
      <w:pPr>
        <w:numPr>
          <w:ilvl w:val="0"/>
          <w:numId w:val="1"/>
        </w:numPr>
        <w:tabs>
          <w:tab w:val="left" w:pos="1134"/>
          <w:tab w:val="left" w:pos="8364"/>
        </w:tabs>
        <w:spacing w:after="0" w:line="360" w:lineRule="auto"/>
        <w:ind w:left="868" w:firstLine="0"/>
        <w:jc w:val="both"/>
        <w:rPr>
          <w:rFonts w:ascii="Arial" w:hAnsi="Arial" w:cs="Arial"/>
          <w:sz w:val="24"/>
          <w:szCs w:val="24"/>
        </w:rPr>
      </w:pPr>
      <w:proofErr w:type="gramStart"/>
      <w:r w:rsidRPr="006E05D6">
        <w:rPr>
          <w:rFonts w:ascii="Arial" w:hAnsi="Arial" w:cs="Arial"/>
          <w:sz w:val="24"/>
          <w:szCs w:val="24"/>
        </w:rPr>
        <w:t>reconhecer</w:t>
      </w:r>
      <w:proofErr w:type="gramEnd"/>
      <w:r w:rsidRPr="006E05D6">
        <w:rPr>
          <w:rFonts w:ascii="Arial" w:hAnsi="Arial" w:cs="Arial"/>
          <w:sz w:val="24"/>
          <w:szCs w:val="24"/>
        </w:rPr>
        <w:t xml:space="preserve"> </w:t>
      </w:r>
      <w:r w:rsidR="00CA5B65" w:rsidRPr="006E05D6">
        <w:rPr>
          <w:rFonts w:ascii="Arial" w:hAnsi="Arial" w:cs="Arial"/>
          <w:sz w:val="24"/>
          <w:szCs w:val="24"/>
        </w:rPr>
        <w:t>o tratamento da repercussão geral no direito comparado</w:t>
      </w:r>
      <w:r>
        <w:rPr>
          <w:rFonts w:ascii="Arial" w:hAnsi="Arial" w:cs="Arial"/>
          <w:sz w:val="24"/>
          <w:szCs w:val="24"/>
        </w:rPr>
        <w:t>;</w:t>
      </w:r>
    </w:p>
    <w:p w:rsidR="00CA5B65" w:rsidRPr="006E05D6" w:rsidRDefault="00A82E68" w:rsidP="00CA5B65">
      <w:pPr>
        <w:numPr>
          <w:ilvl w:val="0"/>
          <w:numId w:val="1"/>
        </w:numPr>
        <w:tabs>
          <w:tab w:val="left" w:pos="1134"/>
          <w:tab w:val="left" w:pos="8364"/>
        </w:tabs>
        <w:spacing w:after="0" w:line="360" w:lineRule="auto"/>
        <w:ind w:left="1225"/>
        <w:jc w:val="both"/>
        <w:rPr>
          <w:rFonts w:ascii="Arial" w:hAnsi="Arial" w:cs="Arial"/>
          <w:sz w:val="24"/>
          <w:szCs w:val="24"/>
        </w:rPr>
      </w:pPr>
      <w:proofErr w:type="gramStart"/>
      <w:r w:rsidRPr="006E05D6">
        <w:rPr>
          <w:rFonts w:ascii="Arial" w:hAnsi="Arial" w:cs="Arial"/>
          <w:sz w:val="24"/>
          <w:szCs w:val="24"/>
        </w:rPr>
        <w:t>especificar</w:t>
      </w:r>
      <w:proofErr w:type="gramEnd"/>
      <w:r w:rsidRPr="006E05D6">
        <w:rPr>
          <w:rFonts w:ascii="Arial" w:hAnsi="Arial" w:cs="Arial"/>
          <w:sz w:val="24"/>
          <w:szCs w:val="24"/>
        </w:rPr>
        <w:t xml:space="preserve"> </w:t>
      </w:r>
      <w:r w:rsidR="00CA5B65" w:rsidRPr="006E05D6">
        <w:rPr>
          <w:rFonts w:ascii="Arial" w:hAnsi="Arial" w:cs="Arial"/>
          <w:sz w:val="24"/>
          <w:szCs w:val="24"/>
        </w:rPr>
        <w:t>a evolução do tratamento legislativo da questão</w:t>
      </w:r>
      <w:r>
        <w:rPr>
          <w:rFonts w:ascii="Arial" w:hAnsi="Arial" w:cs="Arial"/>
          <w:sz w:val="24"/>
          <w:szCs w:val="24"/>
        </w:rPr>
        <w:t>;</w:t>
      </w:r>
    </w:p>
    <w:p w:rsidR="00CA5B65" w:rsidRPr="006E05D6" w:rsidRDefault="00A82E68" w:rsidP="00CA5B65">
      <w:pPr>
        <w:numPr>
          <w:ilvl w:val="0"/>
          <w:numId w:val="1"/>
        </w:numPr>
        <w:tabs>
          <w:tab w:val="left" w:pos="1134"/>
          <w:tab w:val="left" w:pos="8364"/>
        </w:tabs>
        <w:spacing w:after="0" w:line="360" w:lineRule="auto"/>
        <w:ind w:left="1225"/>
        <w:jc w:val="both"/>
        <w:rPr>
          <w:rFonts w:ascii="Arial" w:hAnsi="Arial" w:cs="Arial"/>
          <w:sz w:val="24"/>
          <w:szCs w:val="24"/>
        </w:rPr>
      </w:pPr>
      <w:proofErr w:type="gramStart"/>
      <w:r w:rsidRPr="006E05D6">
        <w:rPr>
          <w:rFonts w:ascii="Arial" w:hAnsi="Arial" w:cs="Arial"/>
          <w:sz w:val="24"/>
          <w:szCs w:val="24"/>
        </w:rPr>
        <w:t>identificar</w:t>
      </w:r>
      <w:proofErr w:type="gramEnd"/>
      <w:r w:rsidRPr="006E05D6">
        <w:rPr>
          <w:rFonts w:ascii="Arial" w:hAnsi="Arial" w:cs="Arial"/>
          <w:sz w:val="24"/>
          <w:szCs w:val="24"/>
        </w:rPr>
        <w:t xml:space="preserve"> </w:t>
      </w:r>
      <w:r w:rsidR="00CA5B65" w:rsidRPr="006E05D6">
        <w:rPr>
          <w:rFonts w:ascii="Arial" w:hAnsi="Arial" w:cs="Arial"/>
          <w:sz w:val="24"/>
          <w:szCs w:val="24"/>
        </w:rPr>
        <w:t>as principais inovações do Código de Processo Civil de 2015</w:t>
      </w:r>
      <w:r>
        <w:rPr>
          <w:rFonts w:ascii="Arial" w:hAnsi="Arial" w:cs="Arial"/>
          <w:sz w:val="24"/>
          <w:szCs w:val="24"/>
        </w:rPr>
        <w:t>; e</w:t>
      </w:r>
    </w:p>
    <w:p w:rsidR="00CA5B65" w:rsidRPr="006E05D6" w:rsidRDefault="00A82E68" w:rsidP="00CA5B65">
      <w:pPr>
        <w:numPr>
          <w:ilvl w:val="0"/>
          <w:numId w:val="1"/>
        </w:numPr>
        <w:tabs>
          <w:tab w:val="left" w:pos="1134"/>
          <w:tab w:val="left" w:pos="8364"/>
        </w:tabs>
        <w:spacing w:after="0" w:line="360" w:lineRule="auto"/>
        <w:ind w:left="868" w:firstLine="0"/>
        <w:jc w:val="both"/>
        <w:rPr>
          <w:rFonts w:ascii="Arial" w:hAnsi="Arial" w:cs="Arial"/>
          <w:sz w:val="24"/>
          <w:szCs w:val="24"/>
        </w:rPr>
      </w:pPr>
      <w:proofErr w:type="gramStart"/>
      <w:r w:rsidRPr="006E05D6">
        <w:rPr>
          <w:rFonts w:ascii="Arial" w:hAnsi="Arial" w:cs="Arial"/>
          <w:sz w:val="24"/>
          <w:szCs w:val="24"/>
        </w:rPr>
        <w:t>analisar</w:t>
      </w:r>
      <w:proofErr w:type="gramEnd"/>
      <w:r w:rsidRPr="006E05D6">
        <w:rPr>
          <w:rFonts w:ascii="Arial" w:hAnsi="Arial" w:cs="Arial"/>
          <w:sz w:val="24"/>
          <w:szCs w:val="24"/>
        </w:rPr>
        <w:t xml:space="preserve"> </w:t>
      </w:r>
      <w:r w:rsidR="00CA5B65" w:rsidRPr="006E05D6">
        <w:rPr>
          <w:rFonts w:ascii="Arial" w:hAnsi="Arial" w:cs="Arial"/>
          <w:sz w:val="24"/>
          <w:szCs w:val="24"/>
        </w:rPr>
        <w:t>aspectos práticos de sua aplicação ao Supremo Tribunal Federal.</w:t>
      </w:r>
    </w:p>
    <w:p w:rsidR="005570C3" w:rsidRDefault="005570C3" w:rsidP="00C63229">
      <w:pPr>
        <w:tabs>
          <w:tab w:val="left" w:pos="1276"/>
          <w:tab w:val="left" w:pos="1418"/>
          <w:tab w:val="left" w:pos="8364"/>
          <w:tab w:val="left" w:pos="8789"/>
        </w:tabs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C63229" w:rsidRDefault="00C63229" w:rsidP="00C63229">
      <w:pPr>
        <w:tabs>
          <w:tab w:val="left" w:pos="1276"/>
          <w:tab w:val="left" w:pos="1418"/>
          <w:tab w:val="left" w:pos="8364"/>
          <w:tab w:val="left" w:pos="8789"/>
        </w:tabs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proposta do treinamento ficou clara para você?</w:t>
      </w:r>
    </w:p>
    <w:p w:rsidR="00C63229" w:rsidRDefault="00C63229" w:rsidP="00C63229">
      <w:pPr>
        <w:tabs>
          <w:tab w:val="left" w:pos="1276"/>
          <w:tab w:val="left" w:pos="1418"/>
          <w:tab w:val="left" w:pos="8364"/>
          <w:tab w:val="left" w:pos="8789"/>
        </w:tabs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seguir, mencionaremos pontos específicos da organização do nosso material.</w:t>
      </w:r>
    </w:p>
    <w:p w:rsidR="00C63229" w:rsidRDefault="00C63229" w:rsidP="00C63229">
      <w:pPr>
        <w:tabs>
          <w:tab w:val="left" w:pos="1276"/>
          <w:tab w:val="left" w:pos="1418"/>
          <w:tab w:val="left" w:pos="8364"/>
          <w:tab w:val="left" w:pos="8789"/>
        </w:tabs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CA5B65" w:rsidRPr="005570C3" w:rsidRDefault="00CA5B65" w:rsidP="005570C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r w:rsidRPr="005570C3">
        <w:rPr>
          <w:rFonts w:ascii="Arial" w:hAnsi="Arial" w:cs="Arial"/>
          <w:sz w:val="24"/>
          <w:szCs w:val="24"/>
          <w:u w:val="single"/>
        </w:rPr>
        <w:t>1.2 Leituras complementares</w:t>
      </w:r>
    </w:p>
    <w:p w:rsidR="00CA5B65" w:rsidRDefault="00CA5B65" w:rsidP="00CA5B65">
      <w:pPr>
        <w:tabs>
          <w:tab w:val="left" w:pos="1397"/>
        </w:tabs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longo do conteúdo, colocaremos chamadas para a leitura de alguns textos complementares, que poderão fortalecer a construção de determinada habilidade. Sempre que possível e pertinente, serão apontadas citações doutrinárias de alguns aspectos abordados, bem como as respectivas manifestações jurisprudenciais.</w:t>
      </w:r>
    </w:p>
    <w:p w:rsidR="005570C3" w:rsidRDefault="00CA5B65" w:rsidP="00CA5B65">
      <w:pPr>
        <w:tabs>
          <w:tab w:val="left" w:pos="1397"/>
        </w:tabs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A5B65" w:rsidRPr="005570C3" w:rsidRDefault="00CA5B65" w:rsidP="005570C3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r w:rsidRPr="005570C3">
        <w:rPr>
          <w:rFonts w:ascii="Arial" w:hAnsi="Arial" w:cs="Arial"/>
          <w:sz w:val="24"/>
          <w:szCs w:val="24"/>
          <w:u w:val="single"/>
        </w:rPr>
        <w:t>1.4 Indicações bibliográficas</w:t>
      </w:r>
    </w:p>
    <w:p w:rsidR="00CA5B65" w:rsidRDefault="00CA5B65" w:rsidP="00CA5B65">
      <w:pPr>
        <w:tabs>
          <w:tab w:val="left" w:pos="1397"/>
        </w:tabs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acompanhamento do curso</w:t>
      </w:r>
      <w:r w:rsidR="00C6322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C7349E">
        <w:rPr>
          <w:rFonts w:ascii="Arial" w:hAnsi="Arial" w:cs="Arial"/>
          <w:sz w:val="24"/>
          <w:szCs w:val="24"/>
        </w:rPr>
        <w:t xml:space="preserve">entende-se </w:t>
      </w:r>
      <w:r>
        <w:rPr>
          <w:rFonts w:ascii="Arial" w:hAnsi="Arial" w:cs="Arial"/>
          <w:sz w:val="24"/>
          <w:szCs w:val="24"/>
        </w:rPr>
        <w:t xml:space="preserve">que o </w:t>
      </w:r>
      <w:proofErr w:type="gramStart"/>
      <w:r>
        <w:rPr>
          <w:rFonts w:ascii="Arial" w:hAnsi="Arial" w:cs="Arial"/>
          <w:sz w:val="24"/>
          <w:szCs w:val="24"/>
        </w:rPr>
        <w:t xml:space="preserve">conteúdo </w:t>
      </w:r>
      <w:r w:rsidR="00C63229">
        <w:rPr>
          <w:rFonts w:ascii="Arial" w:hAnsi="Arial" w:cs="Arial"/>
          <w:sz w:val="24"/>
          <w:szCs w:val="24"/>
        </w:rPr>
        <w:t xml:space="preserve"> apresentado</w:t>
      </w:r>
      <w:proofErr w:type="gramEnd"/>
      <w:r>
        <w:rPr>
          <w:rFonts w:ascii="Arial" w:hAnsi="Arial" w:cs="Arial"/>
          <w:sz w:val="24"/>
          <w:szCs w:val="24"/>
        </w:rPr>
        <w:t xml:space="preserve"> para cada uma das aulas será suficiente. Entretanto, para aqueles que desejarem se especializar no tema ou aprofundar determinados pontos específicos, há algumas obras interessantes a serem consultadas.</w:t>
      </w:r>
    </w:p>
    <w:p w:rsidR="00CA5B65" w:rsidRDefault="00CA5B65" w:rsidP="00CA5B65">
      <w:pPr>
        <w:tabs>
          <w:tab w:val="left" w:pos="1397"/>
        </w:tabs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regra, o tema da repercussão geral já é abordado pelos </w:t>
      </w:r>
      <w:r w:rsidR="00907A13">
        <w:rPr>
          <w:rFonts w:ascii="Arial" w:hAnsi="Arial" w:cs="Arial"/>
          <w:sz w:val="24"/>
          <w:szCs w:val="24"/>
        </w:rPr>
        <w:t xml:space="preserve">cursos e manuais de direito processual civil </w:t>
      </w:r>
      <w:r>
        <w:rPr>
          <w:rFonts w:ascii="Arial" w:hAnsi="Arial" w:cs="Arial"/>
          <w:sz w:val="24"/>
          <w:szCs w:val="24"/>
        </w:rPr>
        <w:t xml:space="preserve">ou, quantos às suas disposições previstas na Constituição, </w:t>
      </w:r>
      <w:r w:rsidR="00907A13">
        <w:rPr>
          <w:rFonts w:ascii="Arial" w:hAnsi="Arial" w:cs="Arial"/>
          <w:sz w:val="24"/>
          <w:szCs w:val="24"/>
        </w:rPr>
        <w:t>nos cursos de direito constitucional</w:t>
      </w:r>
      <w:r>
        <w:rPr>
          <w:rFonts w:ascii="Arial" w:hAnsi="Arial" w:cs="Arial"/>
          <w:sz w:val="24"/>
          <w:szCs w:val="24"/>
        </w:rPr>
        <w:t>. Entretanto, como indicação de um livro específico sobre o tema, tem-se a obra “</w:t>
      </w:r>
      <w:r w:rsidRPr="003D2702">
        <w:rPr>
          <w:rFonts w:ascii="Arial" w:hAnsi="Arial" w:cs="Arial"/>
          <w:b/>
          <w:i/>
          <w:sz w:val="24"/>
          <w:szCs w:val="24"/>
        </w:rPr>
        <w:t>Repercussão Geral: perspectivas histórica, dogmática e de direito comparado. Questões processuais</w:t>
      </w:r>
      <w:r>
        <w:rPr>
          <w:rFonts w:ascii="Arial" w:hAnsi="Arial" w:cs="Arial"/>
          <w:sz w:val="24"/>
          <w:szCs w:val="24"/>
        </w:rPr>
        <w:t xml:space="preserve">”, de autoria de Bruno Dantas Nascimento, da Editora Revista dos Tribunais. Bruno Dantas é Ministro do Tribunal de Contas da União e foi um dos membros da </w:t>
      </w:r>
      <w:r w:rsidR="00907A13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omissão </w:t>
      </w:r>
      <w:r w:rsidRPr="00813BF5">
        <w:rPr>
          <w:rFonts w:ascii="Arial" w:hAnsi="Arial" w:cs="Arial"/>
          <w:sz w:val="24"/>
          <w:szCs w:val="24"/>
        </w:rPr>
        <w:t>de juristas designada pelo Senado Federal para elaborar o anteprojeto do novo Código de Processo Civil</w:t>
      </w:r>
      <w:r>
        <w:rPr>
          <w:rFonts w:ascii="Arial" w:hAnsi="Arial" w:cs="Arial"/>
          <w:sz w:val="24"/>
          <w:szCs w:val="24"/>
        </w:rPr>
        <w:t>. A última edição do livro de que se tem notícia é de 2014 e, portanto, ainda não está atualizada em relação às novidades do Novo Código de Processo Civil (Lei nº 13.105/2015). Entretanto, o livro é bastante proveitoso para a compreensão das primeiras partes de nosso curso, bem como para o profundo entendimento das disposições da Constituição sobre a repercussão geral e</w:t>
      </w:r>
      <w:r w:rsidR="00745ED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assim também</w:t>
      </w:r>
      <w:r w:rsidR="00745ED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 seu tratamento sob a égide do </w:t>
      </w:r>
      <w:r>
        <w:rPr>
          <w:rFonts w:ascii="Arial" w:hAnsi="Arial" w:cs="Arial"/>
          <w:sz w:val="24"/>
          <w:szCs w:val="24"/>
        </w:rPr>
        <w:lastRenderedPageBreak/>
        <w:t>Código de Processo Civil de 1973, o que</w:t>
      </w:r>
      <w:r w:rsidR="00B2670C">
        <w:rPr>
          <w:rFonts w:ascii="Arial" w:hAnsi="Arial" w:cs="Arial"/>
          <w:sz w:val="24"/>
          <w:szCs w:val="24"/>
        </w:rPr>
        <w:t xml:space="preserve"> é</w:t>
      </w:r>
      <w:r>
        <w:rPr>
          <w:rFonts w:ascii="Arial" w:hAnsi="Arial" w:cs="Arial"/>
          <w:sz w:val="24"/>
          <w:szCs w:val="24"/>
        </w:rPr>
        <w:t xml:space="preserve"> importante para traçar as comparações e identificar as inovações no CPC/2015.</w:t>
      </w:r>
    </w:p>
    <w:p w:rsidR="00CA5B65" w:rsidRDefault="00CA5B65" w:rsidP="00CA5B65">
      <w:pPr>
        <w:tabs>
          <w:tab w:val="left" w:pos="1397"/>
        </w:tabs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Especificamente sobre o Novo Código de Processo Civil (Lei nº 13.105/2015), há obra de autoria coletiva específica sobre o tema e bastante recomendável</w:t>
      </w:r>
      <w:r w:rsidR="00B2670C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b/>
          <w:i/>
          <w:sz w:val="24"/>
          <w:szCs w:val="24"/>
        </w:rPr>
        <w:t xml:space="preserve">Repercussão </w:t>
      </w:r>
      <w:r w:rsidR="004608CE">
        <w:rPr>
          <w:rFonts w:ascii="Arial" w:hAnsi="Arial" w:cs="Arial"/>
          <w:b/>
          <w:i/>
          <w:sz w:val="24"/>
          <w:szCs w:val="24"/>
        </w:rPr>
        <w:t>geral da questão constitucional</w:t>
      </w:r>
      <w:r>
        <w:rPr>
          <w:rFonts w:ascii="Arial" w:hAnsi="Arial" w:cs="Arial"/>
          <w:b/>
          <w:sz w:val="24"/>
          <w:szCs w:val="24"/>
        </w:rPr>
        <w:t>”</w:t>
      </w:r>
      <w:r w:rsidRPr="00813BF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coordenada pelo Ministro Luiz </w:t>
      </w:r>
      <w:proofErr w:type="spellStart"/>
      <w:r>
        <w:rPr>
          <w:rFonts w:ascii="Arial" w:hAnsi="Arial" w:cs="Arial"/>
          <w:sz w:val="24"/>
          <w:szCs w:val="24"/>
        </w:rPr>
        <w:t>Fux</w:t>
      </w:r>
      <w:proofErr w:type="spellEnd"/>
      <w:r>
        <w:rPr>
          <w:rFonts w:ascii="Arial" w:hAnsi="Arial" w:cs="Arial"/>
          <w:sz w:val="24"/>
          <w:szCs w:val="24"/>
        </w:rPr>
        <w:t xml:space="preserve">, por Alexandre Freire e por Bruno Dantas, da Editora Forense. Como se sabe, o Ministro </w:t>
      </w:r>
      <w:proofErr w:type="spellStart"/>
      <w:r>
        <w:rPr>
          <w:rFonts w:ascii="Arial" w:hAnsi="Arial" w:cs="Arial"/>
          <w:sz w:val="24"/>
          <w:szCs w:val="24"/>
        </w:rPr>
        <w:t>Fux</w:t>
      </w:r>
      <w:proofErr w:type="spellEnd"/>
      <w:r>
        <w:rPr>
          <w:rFonts w:ascii="Arial" w:hAnsi="Arial" w:cs="Arial"/>
          <w:sz w:val="24"/>
          <w:szCs w:val="24"/>
        </w:rPr>
        <w:t xml:space="preserve"> foi o presidente da c</w:t>
      </w:r>
      <w:r w:rsidRPr="00813BF5">
        <w:rPr>
          <w:rFonts w:ascii="Arial" w:hAnsi="Arial" w:cs="Arial"/>
          <w:sz w:val="24"/>
          <w:szCs w:val="24"/>
        </w:rPr>
        <w:t>omissão de juristas designada pelo Senado Federal para elaborar o anteprojeto do novo Código de Processo Civil</w:t>
      </w:r>
      <w:r>
        <w:rPr>
          <w:rFonts w:ascii="Arial" w:hAnsi="Arial" w:cs="Arial"/>
          <w:sz w:val="24"/>
          <w:szCs w:val="24"/>
        </w:rPr>
        <w:t xml:space="preserve">, pelo que possui grandes conhecimentos sobre tal importante e novo diploma legislativo. A obra conta com artigos de vários juristas consagrados (tais como Arruda Alvim, Cassio </w:t>
      </w:r>
      <w:proofErr w:type="spellStart"/>
      <w:r>
        <w:rPr>
          <w:rFonts w:ascii="Arial" w:hAnsi="Arial" w:cs="Arial"/>
          <w:sz w:val="24"/>
          <w:szCs w:val="24"/>
        </w:rPr>
        <w:t>Scarpinella</w:t>
      </w:r>
      <w:proofErr w:type="spellEnd"/>
      <w:r>
        <w:rPr>
          <w:rFonts w:ascii="Arial" w:hAnsi="Arial" w:cs="Arial"/>
          <w:sz w:val="24"/>
          <w:szCs w:val="24"/>
        </w:rPr>
        <w:t xml:space="preserve"> Bueno, Fernando da Fonseca </w:t>
      </w:r>
      <w:proofErr w:type="spellStart"/>
      <w:r>
        <w:rPr>
          <w:rFonts w:ascii="Arial" w:hAnsi="Arial" w:cs="Arial"/>
          <w:sz w:val="24"/>
          <w:szCs w:val="24"/>
        </w:rPr>
        <w:t>Gajardoni</w:t>
      </w:r>
      <w:proofErr w:type="spellEnd"/>
      <w:r>
        <w:rPr>
          <w:rFonts w:ascii="Arial" w:hAnsi="Arial" w:cs="Arial"/>
          <w:sz w:val="24"/>
          <w:szCs w:val="24"/>
        </w:rPr>
        <w:t xml:space="preserve">, Humberto Theodoro Júnior, Isabel </w:t>
      </w:r>
      <w:proofErr w:type="spellStart"/>
      <w:r>
        <w:rPr>
          <w:rFonts w:ascii="Arial" w:hAnsi="Arial" w:cs="Arial"/>
          <w:sz w:val="24"/>
          <w:szCs w:val="24"/>
        </w:rPr>
        <w:t>Gallotti</w:t>
      </w:r>
      <w:proofErr w:type="spellEnd"/>
      <w:r>
        <w:rPr>
          <w:rFonts w:ascii="Arial" w:hAnsi="Arial" w:cs="Arial"/>
          <w:sz w:val="24"/>
          <w:szCs w:val="24"/>
        </w:rPr>
        <w:t xml:space="preserve">, José Miguel Garcia Medina, Luiz Guilherme </w:t>
      </w:r>
      <w:proofErr w:type="spellStart"/>
      <w:r>
        <w:rPr>
          <w:rFonts w:ascii="Arial" w:hAnsi="Arial" w:cs="Arial"/>
          <w:sz w:val="24"/>
          <w:szCs w:val="24"/>
        </w:rPr>
        <w:t>Marinoni</w:t>
      </w:r>
      <w:proofErr w:type="spellEnd"/>
      <w:r>
        <w:rPr>
          <w:rFonts w:ascii="Arial" w:hAnsi="Arial" w:cs="Arial"/>
          <w:sz w:val="24"/>
          <w:szCs w:val="24"/>
        </w:rPr>
        <w:t xml:space="preserve">, Luiz Rodrigues </w:t>
      </w:r>
      <w:proofErr w:type="spellStart"/>
      <w:r>
        <w:rPr>
          <w:rFonts w:ascii="Arial" w:hAnsi="Arial" w:cs="Arial"/>
          <w:sz w:val="24"/>
          <w:szCs w:val="24"/>
        </w:rPr>
        <w:t>Wambier</w:t>
      </w:r>
      <w:proofErr w:type="spellEnd"/>
      <w:r>
        <w:rPr>
          <w:rFonts w:ascii="Arial" w:hAnsi="Arial" w:cs="Arial"/>
          <w:sz w:val="24"/>
          <w:szCs w:val="24"/>
        </w:rPr>
        <w:t xml:space="preserve">, Rodolfo de Camargo Mancuso, Teresa Arruda Alvim </w:t>
      </w:r>
      <w:proofErr w:type="spellStart"/>
      <w:r>
        <w:rPr>
          <w:rFonts w:ascii="Arial" w:hAnsi="Arial" w:cs="Arial"/>
          <w:sz w:val="24"/>
          <w:szCs w:val="24"/>
        </w:rPr>
        <w:t>Wambier</w:t>
      </w:r>
      <w:proofErr w:type="spellEnd"/>
      <w:r>
        <w:rPr>
          <w:rFonts w:ascii="Arial" w:hAnsi="Arial" w:cs="Arial"/>
          <w:sz w:val="24"/>
          <w:szCs w:val="24"/>
        </w:rPr>
        <w:t>, dentre outros), todos tratando especificamente sobre aspectos da repercussão geral.</w:t>
      </w:r>
    </w:p>
    <w:p w:rsidR="00745EDD" w:rsidRDefault="00CA5B65" w:rsidP="00CA5B65">
      <w:pPr>
        <w:tabs>
          <w:tab w:val="left" w:pos="1397"/>
        </w:tabs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Há, ainda, um terceiro livro de dimensão mais ampla, mas que possui partes bastante significativas no tratamento do </w:t>
      </w:r>
      <w:r w:rsidR="00745EDD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ecurso </w:t>
      </w:r>
      <w:r w:rsidR="00745ED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xtraordinário e da repercussão geral em si</w:t>
      </w:r>
      <w:r w:rsidR="00B2670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“</w:t>
      </w:r>
      <w:r>
        <w:rPr>
          <w:rFonts w:ascii="Arial" w:hAnsi="Arial" w:cs="Arial"/>
          <w:b/>
          <w:i/>
          <w:sz w:val="24"/>
          <w:szCs w:val="24"/>
        </w:rPr>
        <w:t xml:space="preserve">Recurso </w:t>
      </w:r>
      <w:r w:rsidR="00745EDD">
        <w:rPr>
          <w:rFonts w:ascii="Arial" w:hAnsi="Arial" w:cs="Arial"/>
          <w:b/>
          <w:i/>
          <w:sz w:val="24"/>
          <w:szCs w:val="24"/>
        </w:rPr>
        <w:t>especial, recurso extraordinário e a nova função dos tribunais superiores n</w:t>
      </w:r>
      <w:r>
        <w:rPr>
          <w:rFonts w:ascii="Arial" w:hAnsi="Arial" w:cs="Arial"/>
          <w:b/>
          <w:i/>
          <w:sz w:val="24"/>
          <w:szCs w:val="24"/>
        </w:rPr>
        <w:t>o direito brasileiro (de acordo com o CPC de 2015 e a Lei 13.256/16</w:t>
      </w:r>
      <w:r>
        <w:rPr>
          <w:rFonts w:ascii="Arial" w:hAnsi="Arial" w:cs="Arial"/>
          <w:sz w:val="24"/>
          <w:szCs w:val="24"/>
        </w:rPr>
        <w:t>” (3ª edição, revista, atualizada e ampliada)</w:t>
      </w:r>
      <w:r w:rsidR="00B2670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 autoria de Teresa Arruda Alvim </w:t>
      </w:r>
      <w:proofErr w:type="spellStart"/>
      <w:r>
        <w:rPr>
          <w:rFonts w:ascii="Arial" w:hAnsi="Arial" w:cs="Arial"/>
          <w:sz w:val="24"/>
          <w:szCs w:val="24"/>
        </w:rPr>
        <w:t>Wambier</w:t>
      </w:r>
      <w:proofErr w:type="spellEnd"/>
      <w:r>
        <w:rPr>
          <w:rFonts w:ascii="Arial" w:hAnsi="Arial" w:cs="Arial"/>
          <w:sz w:val="24"/>
          <w:szCs w:val="24"/>
        </w:rPr>
        <w:t xml:space="preserve"> e de Bruno Dantas, publicad</w:t>
      </w:r>
      <w:r w:rsidR="00745EDD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em 2016 pela Editora Revistas dos Tribunais. Conforme descrição da própria obra, </w:t>
      </w:r>
    </w:p>
    <w:p w:rsidR="00745EDD" w:rsidRDefault="00745EDD" w:rsidP="00CA5B65">
      <w:pPr>
        <w:tabs>
          <w:tab w:val="left" w:pos="1397"/>
        </w:tabs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745EDD" w:rsidRPr="00971366" w:rsidRDefault="00CA5B65" w:rsidP="00971366">
      <w:pPr>
        <w:tabs>
          <w:tab w:val="left" w:pos="1397"/>
        </w:tabs>
        <w:spacing w:after="0" w:line="240" w:lineRule="auto"/>
        <w:ind w:left="2268" w:firstLine="284"/>
        <w:jc w:val="both"/>
        <w:rPr>
          <w:rFonts w:ascii="Arial" w:hAnsi="Arial" w:cs="Arial"/>
        </w:rPr>
      </w:pPr>
      <w:r w:rsidRPr="00971366">
        <w:rPr>
          <w:rFonts w:ascii="Arial" w:hAnsi="Arial" w:cs="Arial"/>
        </w:rPr>
        <w:t xml:space="preserve">depois de um passeio por temas fascinantes, como, por exemplo, a criação do direito, o papel dos juízes na construção das novas normas (evolução do direito), a necessidade de que o direito seja estável e que gere segurança, passando-se por uma análise comparativa dos sistemas de </w:t>
      </w:r>
      <w:r w:rsidRPr="00971366">
        <w:rPr>
          <w:rFonts w:ascii="Arial" w:hAnsi="Arial" w:cs="Arial"/>
          <w:i/>
        </w:rPr>
        <w:t xml:space="preserve">common </w:t>
      </w:r>
      <w:proofErr w:type="spellStart"/>
      <w:r w:rsidRPr="00971366">
        <w:rPr>
          <w:rFonts w:ascii="Arial" w:hAnsi="Arial" w:cs="Arial"/>
          <w:i/>
        </w:rPr>
        <w:t>law</w:t>
      </w:r>
      <w:proofErr w:type="spellEnd"/>
      <w:r w:rsidRPr="00971366">
        <w:rPr>
          <w:rFonts w:ascii="Arial" w:hAnsi="Arial" w:cs="Arial"/>
        </w:rPr>
        <w:t xml:space="preserve"> e de </w:t>
      </w:r>
      <w:r w:rsidRPr="00971366">
        <w:rPr>
          <w:rFonts w:ascii="Arial" w:hAnsi="Arial" w:cs="Arial"/>
          <w:i/>
        </w:rPr>
        <w:t xml:space="preserve">civil </w:t>
      </w:r>
      <w:proofErr w:type="spellStart"/>
      <w:r w:rsidRPr="00971366">
        <w:rPr>
          <w:rFonts w:ascii="Arial" w:hAnsi="Arial" w:cs="Arial"/>
          <w:i/>
        </w:rPr>
        <w:t>law</w:t>
      </w:r>
      <w:proofErr w:type="spellEnd"/>
      <w:r w:rsidRPr="00971366">
        <w:rPr>
          <w:rFonts w:ascii="Arial" w:hAnsi="Arial" w:cs="Arial"/>
        </w:rPr>
        <w:t xml:space="preserve">, comparados, o livro passa a se ocupar da análise, agora sob o ponto de vista dogmático, dos recursos especial, extraordinário (individuais e repetitivos) e dos embargos de divergência, como ferramentas do sistema brasileiro para concretizar as necessidades emergentes do novo papel dos Tribunais Superiores no Brasil. </w:t>
      </w:r>
    </w:p>
    <w:p w:rsidR="00745EDD" w:rsidRDefault="00745EDD" w:rsidP="00CA5B65">
      <w:pPr>
        <w:tabs>
          <w:tab w:val="left" w:pos="1397"/>
        </w:tabs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CA5B65" w:rsidRDefault="00CA5B65" w:rsidP="00CA5B65">
      <w:pPr>
        <w:tabs>
          <w:tab w:val="left" w:pos="1397"/>
        </w:tabs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Por fim, vale ressaltar que nessa obra foram apropriadas muitas das disposições do primeiro livro aqui indicado, que ainda não foi objeto de atualização específica. Recomenda-se a consulta!</w:t>
      </w:r>
    </w:p>
    <w:p w:rsidR="00CA5B65" w:rsidRDefault="00CA5B65" w:rsidP="00CA5B65">
      <w:pPr>
        <w:tabs>
          <w:tab w:val="left" w:pos="1397"/>
        </w:tabs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Concluindo, é essa a proposta do nosso curso. Já vimos os nossos objetivos, quais serão os principais pontos do nosso conteúdo programático, quais os passos que pretendemos cumprir e qual a bibliografia indicada. Agora, é só colocar a mão na massa. Vamos começar os estudos?</w:t>
      </w:r>
    </w:p>
    <w:p w:rsidR="00CA5B65" w:rsidRDefault="00CA5B65" w:rsidP="00CA5B65">
      <w:pPr>
        <w:tabs>
          <w:tab w:val="left" w:pos="1397"/>
        </w:tabs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CA5B65" w:rsidRPr="003464F6" w:rsidRDefault="00CA5B65" w:rsidP="00CA5B65">
      <w:pPr>
        <w:tabs>
          <w:tab w:val="left" w:pos="1397"/>
        </w:tabs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Vemo-nos na primeira aula!</w:t>
      </w:r>
    </w:p>
    <w:p w:rsidR="00CA5B65" w:rsidRDefault="00CA5B65" w:rsidP="00CA5B65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CA5B65" w:rsidRDefault="00CA5B65" w:rsidP="00CA5B65"/>
    <w:p w:rsidR="00CB1E90" w:rsidRDefault="00CB1E90"/>
    <w:sectPr w:rsidR="00CB1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66E47"/>
    <w:multiLevelType w:val="hybridMultilevel"/>
    <w:tmpl w:val="D09A2BF2"/>
    <w:lvl w:ilvl="0" w:tplc="0416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 w15:restartNumberingAfterBreak="0">
    <w:nsid w:val="155818B3"/>
    <w:multiLevelType w:val="hybridMultilevel"/>
    <w:tmpl w:val="FC76C368"/>
    <w:lvl w:ilvl="0" w:tplc="C5D86C9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43E85164"/>
    <w:multiLevelType w:val="hybridMultilevel"/>
    <w:tmpl w:val="42E0DB3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65"/>
    <w:rsid w:val="001067C0"/>
    <w:rsid w:val="002126F7"/>
    <w:rsid w:val="00224F7D"/>
    <w:rsid w:val="00280B29"/>
    <w:rsid w:val="002933A1"/>
    <w:rsid w:val="002B3EFA"/>
    <w:rsid w:val="0034662C"/>
    <w:rsid w:val="003F502B"/>
    <w:rsid w:val="00440D3F"/>
    <w:rsid w:val="00450374"/>
    <w:rsid w:val="004608CE"/>
    <w:rsid w:val="005570C3"/>
    <w:rsid w:val="00564D44"/>
    <w:rsid w:val="005B370A"/>
    <w:rsid w:val="0060167A"/>
    <w:rsid w:val="006047B6"/>
    <w:rsid w:val="006F0429"/>
    <w:rsid w:val="00745EDD"/>
    <w:rsid w:val="007464B6"/>
    <w:rsid w:val="007A5E9D"/>
    <w:rsid w:val="0084280F"/>
    <w:rsid w:val="00856619"/>
    <w:rsid w:val="008C24FF"/>
    <w:rsid w:val="008D62BD"/>
    <w:rsid w:val="009012EA"/>
    <w:rsid w:val="00907A13"/>
    <w:rsid w:val="00923F58"/>
    <w:rsid w:val="00943E27"/>
    <w:rsid w:val="00971366"/>
    <w:rsid w:val="009E33F9"/>
    <w:rsid w:val="00A31EEB"/>
    <w:rsid w:val="00A67955"/>
    <w:rsid w:val="00A82E68"/>
    <w:rsid w:val="00B024C6"/>
    <w:rsid w:val="00B2670C"/>
    <w:rsid w:val="00B535EC"/>
    <w:rsid w:val="00C03705"/>
    <w:rsid w:val="00C23BD8"/>
    <w:rsid w:val="00C63229"/>
    <w:rsid w:val="00C7349E"/>
    <w:rsid w:val="00CA5B65"/>
    <w:rsid w:val="00CB1E90"/>
    <w:rsid w:val="00D31E63"/>
    <w:rsid w:val="00D85244"/>
    <w:rsid w:val="00E51273"/>
    <w:rsid w:val="00EA07F8"/>
    <w:rsid w:val="00F57FC5"/>
    <w:rsid w:val="00F7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98922E-56F3-45DD-9EC7-C40461DF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B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A5B65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CA5B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A5B6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A5B65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5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5B6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70C3"/>
    <w:pPr>
      <w:ind w:left="720"/>
      <w:contextualSpacing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679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67955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F50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uscatextual.cnpq.br/buscatextual/visualizacv.do?id=K4350956D8&amp;tipo=completo&amp;idiomaExibicao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FB96304D-5A9B-4050-86A5-E98D0B4F3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1682</Words>
  <Characters>9083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Supremo Tribunal Federal</Company>
  <LinksUpToDate>false</LinksUpToDate>
  <CharactersWithSpaces>10744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Abhner Youssif Mota Arabi</dc:creator>
  <cp:lastModifiedBy>Cristiana Sales Marques da Cruz Oliveira</cp:lastModifiedBy>
  <cp:revision>3</cp:revision>
  <dcterms:created xsi:type="dcterms:W3CDTF">2017-05-05T19:12:00Z</dcterms:created>
  <dcterms:modified xsi:type="dcterms:W3CDTF">2017-07-31T16:29:00Z</dcterms:modified>
</cp:coreProperties>
</file>