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A5BA4" w14:textId="77777777" w:rsidR="00434495" w:rsidRDefault="00134563" w:rsidP="00A46BA0">
      <w:pPr>
        <w:spacing w:before="120" w:after="120" w:line="360" w:lineRule="auto"/>
        <w:jc w:val="center"/>
        <w:rPr>
          <w:rFonts w:ascii="Arial" w:hAnsi="Arial" w:cs="Arial"/>
          <w:b/>
          <w:sz w:val="24"/>
          <w:szCs w:val="24"/>
        </w:rPr>
      </w:pPr>
      <w:r>
        <w:rPr>
          <w:rFonts w:ascii="Arial" w:hAnsi="Arial" w:cs="Arial"/>
          <w:b/>
          <w:sz w:val="24"/>
          <w:szCs w:val="24"/>
        </w:rPr>
        <w:t xml:space="preserve">Aula </w:t>
      </w:r>
      <w:r w:rsidR="008432EA">
        <w:rPr>
          <w:rFonts w:ascii="Arial" w:hAnsi="Arial" w:cs="Arial"/>
          <w:b/>
          <w:sz w:val="24"/>
          <w:szCs w:val="24"/>
        </w:rPr>
        <w:t>0</w:t>
      </w:r>
      <w:r>
        <w:rPr>
          <w:rFonts w:ascii="Arial" w:hAnsi="Arial" w:cs="Arial"/>
          <w:b/>
          <w:sz w:val="24"/>
          <w:szCs w:val="24"/>
        </w:rPr>
        <w:t>1</w:t>
      </w:r>
    </w:p>
    <w:p w14:paraId="692A6537" w14:textId="77777777" w:rsidR="00707A53" w:rsidRDefault="00707A53" w:rsidP="00DD166D">
      <w:pPr>
        <w:spacing w:before="120" w:after="120" w:line="360" w:lineRule="auto"/>
        <w:ind w:firstLine="1134"/>
        <w:jc w:val="both"/>
        <w:rPr>
          <w:rFonts w:ascii="Arial" w:hAnsi="Arial" w:cs="Arial"/>
          <w:sz w:val="24"/>
          <w:szCs w:val="24"/>
        </w:rPr>
      </w:pPr>
    </w:p>
    <w:p w14:paraId="394E2B21" w14:textId="332534DC" w:rsidR="00134563" w:rsidRDefault="00134563" w:rsidP="00134563">
      <w:pPr>
        <w:pStyle w:val="PargrafodaLista"/>
        <w:numPr>
          <w:ilvl w:val="0"/>
          <w:numId w:val="3"/>
        </w:numPr>
        <w:spacing w:before="120" w:after="120" w:line="360" w:lineRule="auto"/>
        <w:jc w:val="both"/>
        <w:rPr>
          <w:rFonts w:ascii="Arial" w:hAnsi="Arial" w:cs="Arial"/>
          <w:b/>
          <w:sz w:val="24"/>
          <w:szCs w:val="24"/>
        </w:rPr>
      </w:pPr>
      <w:r w:rsidRPr="00134563">
        <w:rPr>
          <w:rFonts w:ascii="Arial" w:hAnsi="Arial" w:cs="Arial"/>
          <w:b/>
          <w:sz w:val="24"/>
          <w:szCs w:val="24"/>
        </w:rPr>
        <w:t>Introdução</w:t>
      </w:r>
    </w:p>
    <w:p w14:paraId="06D96177" w14:textId="77777777" w:rsidR="009107FF" w:rsidRDefault="009107FF" w:rsidP="00225F13">
      <w:pPr>
        <w:spacing w:before="120" w:after="120" w:line="360" w:lineRule="auto"/>
        <w:ind w:firstLine="708"/>
        <w:jc w:val="both"/>
        <w:rPr>
          <w:rFonts w:ascii="Arial" w:hAnsi="Arial" w:cs="Arial"/>
          <w:sz w:val="24"/>
          <w:szCs w:val="24"/>
        </w:rPr>
      </w:pPr>
      <w:r>
        <w:rPr>
          <w:rFonts w:ascii="Arial" w:hAnsi="Arial" w:cs="Arial"/>
          <w:sz w:val="24"/>
          <w:szCs w:val="24"/>
        </w:rPr>
        <w:t>Olá!</w:t>
      </w:r>
    </w:p>
    <w:p w14:paraId="5C7CC8DA" w14:textId="46C2EC4D" w:rsidR="000E7F67" w:rsidRDefault="000E7F67" w:rsidP="00225F13">
      <w:pPr>
        <w:spacing w:before="120" w:after="120" w:line="360" w:lineRule="auto"/>
        <w:ind w:firstLine="708"/>
        <w:jc w:val="both"/>
        <w:rPr>
          <w:rFonts w:ascii="Arial" w:hAnsi="Arial" w:cs="Arial"/>
          <w:sz w:val="24"/>
          <w:szCs w:val="24"/>
        </w:rPr>
      </w:pPr>
      <w:r>
        <w:rPr>
          <w:rFonts w:ascii="Arial" w:hAnsi="Arial" w:cs="Arial"/>
          <w:sz w:val="24"/>
          <w:szCs w:val="24"/>
        </w:rPr>
        <w:t xml:space="preserve">Na apresentação do </w:t>
      </w:r>
      <w:r w:rsidRPr="00A46BA0">
        <w:rPr>
          <w:rFonts w:ascii="Arial" w:hAnsi="Arial" w:cs="Arial"/>
          <w:sz w:val="24"/>
          <w:szCs w:val="24"/>
        </w:rPr>
        <w:t>curso</w:t>
      </w:r>
      <w:r>
        <w:rPr>
          <w:rFonts w:ascii="Arial" w:hAnsi="Arial" w:cs="Arial"/>
          <w:sz w:val="24"/>
          <w:szCs w:val="24"/>
        </w:rPr>
        <w:t xml:space="preserve">, </w:t>
      </w:r>
      <w:r w:rsidR="00722441">
        <w:rPr>
          <w:rFonts w:ascii="Arial" w:hAnsi="Arial" w:cs="Arial"/>
          <w:sz w:val="24"/>
          <w:szCs w:val="24"/>
        </w:rPr>
        <w:t>exp</w:t>
      </w:r>
      <w:r w:rsidR="009922B2">
        <w:rPr>
          <w:rFonts w:ascii="Arial" w:hAnsi="Arial" w:cs="Arial"/>
          <w:sz w:val="24"/>
          <w:szCs w:val="24"/>
        </w:rPr>
        <w:t>usemos a proposta do</w:t>
      </w:r>
      <w:r w:rsidR="005B5B6F">
        <w:rPr>
          <w:rFonts w:ascii="Arial" w:hAnsi="Arial" w:cs="Arial"/>
          <w:sz w:val="24"/>
          <w:szCs w:val="24"/>
        </w:rPr>
        <w:t xml:space="preserve"> nosso estudo</w:t>
      </w:r>
      <w:r w:rsidR="009922B2">
        <w:rPr>
          <w:rFonts w:ascii="Arial" w:hAnsi="Arial" w:cs="Arial"/>
          <w:sz w:val="24"/>
          <w:szCs w:val="24"/>
        </w:rPr>
        <w:t>,</w:t>
      </w:r>
      <w:r w:rsidR="00B32A6D" w:rsidRPr="00B32A6D">
        <w:rPr>
          <w:rFonts w:ascii="Arial" w:hAnsi="Arial" w:cs="Arial"/>
          <w:sz w:val="24"/>
          <w:szCs w:val="24"/>
        </w:rPr>
        <w:t xml:space="preserve"> os passos</w:t>
      </w:r>
      <w:r w:rsidR="005B5B6F">
        <w:rPr>
          <w:rFonts w:ascii="Arial" w:hAnsi="Arial" w:cs="Arial"/>
          <w:sz w:val="24"/>
          <w:szCs w:val="24"/>
        </w:rPr>
        <w:t xml:space="preserve"> que</w:t>
      </w:r>
      <w:r w:rsidR="00B32A6D" w:rsidRPr="00B32A6D">
        <w:rPr>
          <w:rFonts w:ascii="Arial" w:hAnsi="Arial" w:cs="Arial"/>
          <w:sz w:val="24"/>
          <w:szCs w:val="24"/>
        </w:rPr>
        <w:t xml:space="preserve"> pretendemos </w:t>
      </w:r>
      <w:r w:rsidR="009922B2">
        <w:rPr>
          <w:rFonts w:ascii="Arial" w:hAnsi="Arial" w:cs="Arial"/>
          <w:sz w:val="24"/>
          <w:szCs w:val="24"/>
        </w:rPr>
        <w:t>seguir</w:t>
      </w:r>
      <w:r w:rsidR="009922B2" w:rsidRPr="00B32A6D">
        <w:rPr>
          <w:rFonts w:ascii="Arial" w:hAnsi="Arial" w:cs="Arial"/>
          <w:sz w:val="24"/>
          <w:szCs w:val="24"/>
        </w:rPr>
        <w:t xml:space="preserve"> </w:t>
      </w:r>
      <w:r w:rsidR="00B32A6D" w:rsidRPr="00B32A6D">
        <w:rPr>
          <w:rFonts w:ascii="Arial" w:hAnsi="Arial" w:cs="Arial"/>
          <w:sz w:val="24"/>
          <w:szCs w:val="24"/>
        </w:rPr>
        <w:t>e a bibliografia indicada</w:t>
      </w:r>
      <w:r w:rsidR="009922B2">
        <w:rPr>
          <w:rFonts w:ascii="Arial" w:hAnsi="Arial" w:cs="Arial"/>
          <w:sz w:val="24"/>
          <w:szCs w:val="24"/>
        </w:rPr>
        <w:t xml:space="preserve"> para enriquecer</w:t>
      </w:r>
      <w:r w:rsidR="005B5B6F">
        <w:rPr>
          <w:rFonts w:ascii="Arial" w:hAnsi="Arial" w:cs="Arial"/>
          <w:sz w:val="24"/>
          <w:szCs w:val="24"/>
        </w:rPr>
        <w:t xml:space="preserve"> as lições</w:t>
      </w:r>
      <w:r w:rsidR="009922B2">
        <w:rPr>
          <w:rFonts w:ascii="Arial" w:hAnsi="Arial" w:cs="Arial"/>
          <w:sz w:val="24"/>
          <w:szCs w:val="24"/>
        </w:rPr>
        <w:t>, e</w:t>
      </w:r>
      <w:r w:rsidR="00B32A6D">
        <w:rPr>
          <w:rFonts w:ascii="Arial" w:hAnsi="Arial" w:cs="Arial"/>
          <w:sz w:val="24"/>
          <w:szCs w:val="24"/>
        </w:rPr>
        <w:t>stá lembrado?</w:t>
      </w:r>
    </w:p>
    <w:p w14:paraId="3A323CFF" w14:textId="1AA87B44" w:rsidR="0076499B" w:rsidRDefault="00B32A6D" w:rsidP="00225F13">
      <w:pPr>
        <w:spacing w:before="120" w:after="120" w:line="360" w:lineRule="auto"/>
        <w:ind w:firstLine="708"/>
        <w:jc w:val="both"/>
        <w:rPr>
          <w:rFonts w:ascii="Arial" w:hAnsi="Arial" w:cs="Arial"/>
          <w:sz w:val="24"/>
          <w:szCs w:val="24"/>
        </w:rPr>
      </w:pPr>
      <w:r>
        <w:rPr>
          <w:rFonts w:ascii="Arial" w:hAnsi="Arial" w:cs="Arial"/>
          <w:sz w:val="24"/>
          <w:szCs w:val="24"/>
        </w:rPr>
        <w:t>N</w:t>
      </w:r>
      <w:r w:rsidR="00503CD1">
        <w:rPr>
          <w:rFonts w:ascii="Arial" w:hAnsi="Arial" w:cs="Arial"/>
          <w:sz w:val="24"/>
          <w:szCs w:val="24"/>
        </w:rPr>
        <w:t>esta primeira</w:t>
      </w:r>
      <w:r>
        <w:rPr>
          <w:rFonts w:ascii="Arial" w:hAnsi="Arial" w:cs="Arial"/>
          <w:sz w:val="24"/>
          <w:szCs w:val="24"/>
        </w:rPr>
        <w:t xml:space="preserve"> aula, em abordagem ainda introdutória, iniciaremos</w:t>
      </w:r>
      <w:r w:rsidR="0076499B">
        <w:rPr>
          <w:rFonts w:ascii="Arial" w:hAnsi="Arial" w:cs="Arial"/>
          <w:sz w:val="24"/>
          <w:szCs w:val="24"/>
        </w:rPr>
        <w:t xml:space="preserve"> </w:t>
      </w:r>
      <w:r>
        <w:rPr>
          <w:rFonts w:ascii="Arial" w:hAnsi="Arial" w:cs="Arial"/>
          <w:sz w:val="24"/>
          <w:szCs w:val="24"/>
        </w:rPr>
        <w:t>o conteúdo</w:t>
      </w:r>
      <w:r w:rsidR="0076499B">
        <w:rPr>
          <w:rFonts w:ascii="Arial" w:hAnsi="Arial" w:cs="Arial"/>
          <w:sz w:val="24"/>
          <w:szCs w:val="24"/>
        </w:rPr>
        <w:t xml:space="preserve"> do curso</w:t>
      </w:r>
      <w:r>
        <w:rPr>
          <w:rFonts w:ascii="Arial" w:hAnsi="Arial" w:cs="Arial"/>
          <w:sz w:val="24"/>
          <w:szCs w:val="24"/>
        </w:rPr>
        <w:t xml:space="preserve"> propriamente dito. Para tanto, nosso objetivo principal é introduzir o tema</w:t>
      </w:r>
      <w:r w:rsidR="00927E30">
        <w:rPr>
          <w:rFonts w:ascii="Arial" w:hAnsi="Arial" w:cs="Arial"/>
          <w:sz w:val="24"/>
          <w:szCs w:val="24"/>
        </w:rPr>
        <w:t xml:space="preserve"> da repercussão geral, tratando de temas</w:t>
      </w:r>
      <w:r>
        <w:rPr>
          <w:rFonts w:ascii="Arial" w:hAnsi="Arial" w:cs="Arial"/>
          <w:sz w:val="24"/>
          <w:szCs w:val="24"/>
        </w:rPr>
        <w:t xml:space="preserve"> adicionais </w:t>
      </w:r>
      <w:r w:rsidR="00927E30">
        <w:rPr>
          <w:rFonts w:ascii="Arial" w:hAnsi="Arial" w:cs="Arial"/>
          <w:sz w:val="24"/>
          <w:szCs w:val="24"/>
        </w:rPr>
        <w:t xml:space="preserve">que lhe dizem respeito, tais </w:t>
      </w:r>
      <w:r>
        <w:rPr>
          <w:rFonts w:ascii="Arial" w:hAnsi="Arial" w:cs="Arial"/>
          <w:sz w:val="24"/>
          <w:szCs w:val="24"/>
        </w:rPr>
        <w:t xml:space="preserve">como os casos de competência originária e recursal do </w:t>
      </w:r>
      <w:r w:rsidRPr="003464F6">
        <w:rPr>
          <w:rFonts w:ascii="Arial" w:hAnsi="Arial" w:cs="Arial"/>
          <w:sz w:val="24"/>
          <w:szCs w:val="24"/>
        </w:rPr>
        <w:t>Supremo Tribunal Federal</w:t>
      </w:r>
      <w:r w:rsidR="00551F16">
        <w:rPr>
          <w:rFonts w:ascii="Arial" w:hAnsi="Arial" w:cs="Arial"/>
          <w:sz w:val="24"/>
          <w:szCs w:val="24"/>
        </w:rPr>
        <w:t xml:space="preserve"> (STF)</w:t>
      </w:r>
      <w:r w:rsidR="00927E30">
        <w:rPr>
          <w:rFonts w:ascii="Arial" w:hAnsi="Arial" w:cs="Arial"/>
          <w:sz w:val="24"/>
          <w:szCs w:val="24"/>
        </w:rPr>
        <w:t xml:space="preserve">, </w:t>
      </w:r>
      <w:r>
        <w:rPr>
          <w:rFonts w:ascii="Arial" w:hAnsi="Arial" w:cs="Arial"/>
          <w:sz w:val="24"/>
          <w:szCs w:val="24"/>
        </w:rPr>
        <w:t xml:space="preserve">bem como as distinções entre os sistemas de </w:t>
      </w:r>
      <w:r>
        <w:rPr>
          <w:rFonts w:ascii="Arial" w:hAnsi="Arial" w:cs="Arial"/>
          <w:i/>
          <w:sz w:val="24"/>
          <w:szCs w:val="24"/>
        </w:rPr>
        <w:t xml:space="preserve">common </w:t>
      </w:r>
      <w:proofErr w:type="spellStart"/>
      <w:r>
        <w:rPr>
          <w:rFonts w:ascii="Arial" w:hAnsi="Arial" w:cs="Arial"/>
          <w:i/>
          <w:sz w:val="24"/>
          <w:szCs w:val="24"/>
        </w:rPr>
        <w:t>law</w:t>
      </w:r>
      <w:proofErr w:type="spellEnd"/>
      <w:r>
        <w:rPr>
          <w:rFonts w:ascii="Arial" w:hAnsi="Arial" w:cs="Arial"/>
          <w:sz w:val="24"/>
          <w:szCs w:val="24"/>
        </w:rPr>
        <w:t xml:space="preserve"> e de </w:t>
      </w:r>
      <w:r>
        <w:rPr>
          <w:rFonts w:ascii="Arial" w:hAnsi="Arial" w:cs="Arial"/>
          <w:i/>
          <w:sz w:val="24"/>
          <w:szCs w:val="24"/>
        </w:rPr>
        <w:t xml:space="preserve">civil </w:t>
      </w:r>
      <w:proofErr w:type="spellStart"/>
      <w:r>
        <w:rPr>
          <w:rFonts w:ascii="Arial" w:hAnsi="Arial" w:cs="Arial"/>
          <w:i/>
          <w:sz w:val="24"/>
          <w:szCs w:val="24"/>
        </w:rPr>
        <w:t>law</w:t>
      </w:r>
      <w:proofErr w:type="spellEnd"/>
      <w:r>
        <w:rPr>
          <w:rFonts w:ascii="Arial" w:hAnsi="Arial" w:cs="Arial"/>
          <w:sz w:val="24"/>
          <w:szCs w:val="24"/>
        </w:rPr>
        <w:t xml:space="preserve">. </w:t>
      </w:r>
    </w:p>
    <w:p w14:paraId="345AC865" w14:textId="7FF74AE4" w:rsidR="007236FA" w:rsidRDefault="00270656" w:rsidP="00225F13">
      <w:pPr>
        <w:spacing w:before="120" w:after="120" w:line="360" w:lineRule="auto"/>
        <w:ind w:firstLine="708"/>
        <w:jc w:val="both"/>
        <w:rPr>
          <w:rFonts w:ascii="Arial" w:hAnsi="Arial" w:cs="Arial"/>
          <w:sz w:val="24"/>
          <w:szCs w:val="24"/>
        </w:rPr>
      </w:pPr>
      <w:r>
        <w:rPr>
          <w:rFonts w:ascii="Arial" w:hAnsi="Arial" w:cs="Arial"/>
          <w:sz w:val="24"/>
          <w:szCs w:val="24"/>
        </w:rPr>
        <w:t>Como se sabe, a</w:t>
      </w:r>
      <w:r w:rsidRPr="00270656">
        <w:rPr>
          <w:rFonts w:ascii="Arial" w:hAnsi="Arial" w:cs="Arial"/>
          <w:sz w:val="24"/>
          <w:szCs w:val="24"/>
        </w:rPr>
        <w:t xml:space="preserve"> </w:t>
      </w:r>
      <w:r w:rsidR="00AD42C0">
        <w:rPr>
          <w:rFonts w:ascii="Arial" w:hAnsi="Arial" w:cs="Arial"/>
          <w:sz w:val="24"/>
          <w:szCs w:val="24"/>
        </w:rPr>
        <w:t>r</w:t>
      </w:r>
      <w:r w:rsidRPr="00270656">
        <w:rPr>
          <w:rFonts w:ascii="Arial" w:hAnsi="Arial" w:cs="Arial"/>
          <w:sz w:val="24"/>
          <w:szCs w:val="24"/>
        </w:rPr>
        <w:t xml:space="preserve">epercussão </w:t>
      </w:r>
      <w:r w:rsidR="00AD42C0">
        <w:rPr>
          <w:rFonts w:ascii="Arial" w:hAnsi="Arial" w:cs="Arial"/>
          <w:sz w:val="24"/>
          <w:szCs w:val="24"/>
        </w:rPr>
        <w:t>g</w:t>
      </w:r>
      <w:r w:rsidRPr="00270656">
        <w:rPr>
          <w:rFonts w:ascii="Arial" w:hAnsi="Arial" w:cs="Arial"/>
          <w:sz w:val="24"/>
          <w:szCs w:val="24"/>
        </w:rPr>
        <w:t>eral é instituto jurídico dos mais importantes à atuaç</w:t>
      </w:r>
      <w:r>
        <w:rPr>
          <w:rFonts w:ascii="Arial" w:hAnsi="Arial" w:cs="Arial"/>
          <w:sz w:val="24"/>
          <w:szCs w:val="24"/>
        </w:rPr>
        <w:t xml:space="preserve">ão </w:t>
      </w:r>
      <w:proofErr w:type="gramStart"/>
      <w:r>
        <w:rPr>
          <w:rFonts w:ascii="Arial" w:hAnsi="Arial" w:cs="Arial"/>
          <w:sz w:val="24"/>
          <w:szCs w:val="24"/>
        </w:rPr>
        <w:t xml:space="preserve">do </w:t>
      </w:r>
      <w:r w:rsidR="0076499B">
        <w:rPr>
          <w:rFonts w:ascii="Arial" w:hAnsi="Arial" w:cs="Arial"/>
          <w:sz w:val="24"/>
          <w:szCs w:val="24"/>
        </w:rPr>
        <w:t xml:space="preserve"> STF</w:t>
      </w:r>
      <w:proofErr w:type="gramEnd"/>
      <w:r>
        <w:rPr>
          <w:rFonts w:ascii="Arial" w:hAnsi="Arial" w:cs="Arial"/>
          <w:sz w:val="24"/>
          <w:szCs w:val="24"/>
        </w:rPr>
        <w:t>, já que o</w:t>
      </w:r>
      <w:r w:rsidRPr="00270656">
        <w:rPr>
          <w:rFonts w:ascii="Arial" w:hAnsi="Arial" w:cs="Arial"/>
          <w:sz w:val="24"/>
          <w:szCs w:val="24"/>
        </w:rPr>
        <w:t xml:space="preserve"> julgamento de </w:t>
      </w:r>
      <w:r w:rsidR="00AD42C0">
        <w:rPr>
          <w:rFonts w:ascii="Arial" w:hAnsi="Arial" w:cs="Arial"/>
          <w:sz w:val="24"/>
          <w:szCs w:val="24"/>
        </w:rPr>
        <w:t>r</w:t>
      </w:r>
      <w:r w:rsidRPr="00270656">
        <w:rPr>
          <w:rFonts w:ascii="Arial" w:hAnsi="Arial" w:cs="Arial"/>
          <w:sz w:val="24"/>
          <w:szCs w:val="24"/>
        </w:rPr>
        <w:t xml:space="preserve">ecursos </w:t>
      </w:r>
      <w:r w:rsidR="00AD42C0">
        <w:rPr>
          <w:rFonts w:ascii="Arial" w:hAnsi="Arial" w:cs="Arial"/>
          <w:sz w:val="24"/>
          <w:szCs w:val="24"/>
        </w:rPr>
        <w:t>e</w:t>
      </w:r>
      <w:r w:rsidRPr="00270656">
        <w:rPr>
          <w:rFonts w:ascii="Arial" w:hAnsi="Arial" w:cs="Arial"/>
          <w:sz w:val="24"/>
          <w:szCs w:val="24"/>
        </w:rPr>
        <w:t>xtraordinários sob a sistemática de tal instituto é a</w:t>
      </w:r>
      <w:r w:rsidR="003D3212">
        <w:rPr>
          <w:rFonts w:ascii="Arial" w:hAnsi="Arial" w:cs="Arial"/>
          <w:sz w:val="24"/>
          <w:szCs w:val="24"/>
        </w:rPr>
        <w:t>tribuição das mais relevantes dessa Corte</w:t>
      </w:r>
      <w:r>
        <w:rPr>
          <w:rFonts w:ascii="Arial" w:hAnsi="Arial" w:cs="Arial"/>
          <w:sz w:val="24"/>
          <w:szCs w:val="24"/>
        </w:rPr>
        <w:t>, apesar de, claro, não ser a única</w:t>
      </w:r>
      <w:r w:rsidRPr="00270656">
        <w:rPr>
          <w:rFonts w:ascii="Arial" w:hAnsi="Arial" w:cs="Arial"/>
          <w:sz w:val="24"/>
          <w:szCs w:val="24"/>
        </w:rPr>
        <w:t xml:space="preserve">. </w:t>
      </w:r>
      <w:r>
        <w:rPr>
          <w:rFonts w:ascii="Arial" w:hAnsi="Arial" w:cs="Arial"/>
          <w:sz w:val="24"/>
          <w:szCs w:val="24"/>
        </w:rPr>
        <w:t>Como mencionado</w:t>
      </w:r>
      <w:r w:rsidR="008043AA">
        <w:rPr>
          <w:rFonts w:ascii="Arial" w:hAnsi="Arial" w:cs="Arial"/>
          <w:sz w:val="24"/>
          <w:szCs w:val="24"/>
        </w:rPr>
        <w:t xml:space="preserve"> na apresentação do curso</w:t>
      </w:r>
      <w:r>
        <w:rPr>
          <w:rFonts w:ascii="Arial" w:hAnsi="Arial" w:cs="Arial"/>
          <w:sz w:val="24"/>
          <w:szCs w:val="24"/>
        </w:rPr>
        <w:t xml:space="preserve">, </w:t>
      </w:r>
      <w:r w:rsidRPr="00270656">
        <w:rPr>
          <w:rFonts w:ascii="Arial" w:hAnsi="Arial" w:cs="Arial"/>
          <w:sz w:val="24"/>
          <w:szCs w:val="24"/>
        </w:rPr>
        <w:t xml:space="preserve">sobreleva-se </w:t>
      </w:r>
      <w:r w:rsidR="00551F16">
        <w:rPr>
          <w:rFonts w:ascii="Arial" w:hAnsi="Arial" w:cs="Arial"/>
          <w:sz w:val="24"/>
          <w:szCs w:val="24"/>
        </w:rPr>
        <w:t>a</w:t>
      </w:r>
      <w:r w:rsidR="00551F16" w:rsidRPr="00270656">
        <w:rPr>
          <w:rFonts w:ascii="Arial" w:hAnsi="Arial" w:cs="Arial"/>
          <w:sz w:val="24"/>
          <w:szCs w:val="24"/>
        </w:rPr>
        <w:t xml:space="preserve"> importância do tema</w:t>
      </w:r>
      <w:r w:rsidR="009C2477">
        <w:rPr>
          <w:rFonts w:ascii="Arial" w:hAnsi="Arial" w:cs="Arial"/>
          <w:sz w:val="24"/>
          <w:szCs w:val="24"/>
        </w:rPr>
        <w:t>,</w:t>
      </w:r>
      <w:r w:rsidRPr="00270656">
        <w:rPr>
          <w:rFonts w:ascii="Arial" w:hAnsi="Arial" w:cs="Arial"/>
          <w:sz w:val="24"/>
          <w:szCs w:val="24"/>
        </w:rPr>
        <w:t xml:space="preserve"> tendo em vista a recente entrada em vigor do Novo Código de Processo Civil (</w:t>
      </w:r>
      <w:r w:rsidR="00AD42C0">
        <w:rPr>
          <w:rFonts w:ascii="Arial" w:hAnsi="Arial" w:cs="Arial"/>
          <w:sz w:val="24"/>
          <w:szCs w:val="24"/>
        </w:rPr>
        <w:t>L</w:t>
      </w:r>
      <w:r w:rsidRPr="00270656">
        <w:rPr>
          <w:rFonts w:ascii="Arial" w:hAnsi="Arial" w:cs="Arial"/>
          <w:sz w:val="24"/>
          <w:szCs w:val="24"/>
        </w:rPr>
        <w:t>ei nº 13.105/2015). Nesse sentido, mostra-se essencial que</w:t>
      </w:r>
      <w:r w:rsidR="009C2477">
        <w:rPr>
          <w:rFonts w:ascii="Arial" w:hAnsi="Arial" w:cs="Arial"/>
          <w:sz w:val="24"/>
          <w:szCs w:val="24"/>
        </w:rPr>
        <w:t xml:space="preserve"> você, servidor do </w:t>
      </w:r>
      <w:r w:rsidR="00ED6067">
        <w:rPr>
          <w:rFonts w:ascii="Arial" w:hAnsi="Arial" w:cs="Arial"/>
          <w:sz w:val="24"/>
          <w:szCs w:val="24"/>
        </w:rPr>
        <w:t>STF</w:t>
      </w:r>
      <w:r w:rsidR="009C2477">
        <w:rPr>
          <w:rFonts w:ascii="Arial" w:hAnsi="Arial" w:cs="Arial"/>
          <w:sz w:val="24"/>
          <w:szCs w:val="24"/>
        </w:rPr>
        <w:t xml:space="preserve">, </w:t>
      </w:r>
      <w:r w:rsidRPr="00270656">
        <w:rPr>
          <w:rFonts w:ascii="Arial" w:hAnsi="Arial" w:cs="Arial"/>
          <w:sz w:val="24"/>
          <w:szCs w:val="24"/>
        </w:rPr>
        <w:t xml:space="preserve">tenha profundo conhecimento desse instituto jurídico, desde </w:t>
      </w:r>
      <w:r w:rsidR="009C2477">
        <w:rPr>
          <w:rFonts w:ascii="Arial" w:hAnsi="Arial" w:cs="Arial"/>
          <w:sz w:val="24"/>
          <w:szCs w:val="24"/>
        </w:rPr>
        <w:t xml:space="preserve">as </w:t>
      </w:r>
      <w:r w:rsidRPr="00270656">
        <w:rPr>
          <w:rFonts w:ascii="Arial" w:hAnsi="Arial" w:cs="Arial"/>
          <w:sz w:val="24"/>
          <w:szCs w:val="24"/>
        </w:rPr>
        <w:t xml:space="preserve">suas origens históricas até sua aplicação prática </w:t>
      </w:r>
      <w:r w:rsidR="009C2477">
        <w:rPr>
          <w:rFonts w:ascii="Arial" w:hAnsi="Arial" w:cs="Arial"/>
          <w:sz w:val="24"/>
          <w:szCs w:val="24"/>
        </w:rPr>
        <w:t>nest</w:t>
      </w:r>
      <w:r w:rsidR="00F70FBC">
        <w:rPr>
          <w:rFonts w:ascii="Arial" w:hAnsi="Arial" w:cs="Arial"/>
          <w:sz w:val="24"/>
          <w:szCs w:val="24"/>
        </w:rPr>
        <w:t>e</w:t>
      </w:r>
      <w:r w:rsidR="009C2477">
        <w:rPr>
          <w:rFonts w:ascii="Arial" w:hAnsi="Arial" w:cs="Arial"/>
          <w:sz w:val="24"/>
          <w:szCs w:val="24"/>
        </w:rPr>
        <w:t xml:space="preserve"> </w:t>
      </w:r>
      <w:r w:rsidR="00F70FBC">
        <w:rPr>
          <w:rFonts w:ascii="Arial" w:hAnsi="Arial" w:cs="Arial"/>
          <w:sz w:val="24"/>
          <w:szCs w:val="24"/>
        </w:rPr>
        <w:t>Tribunal</w:t>
      </w:r>
      <w:r w:rsidRPr="00270656">
        <w:rPr>
          <w:rFonts w:ascii="Arial" w:hAnsi="Arial" w:cs="Arial"/>
          <w:sz w:val="24"/>
          <w:szCs w:val="24"/>
        </w:rPr>
        <w:t>, passando também pela evolução do tratamento legislativo da questão.</w:t>
      </w:r>
    </w:p>
    <w:p w14:paraId="19C6A8A7" w14:textId="634050D2" w:rsidR="001F61E4" w:rsidRDefault="001F61E4" w:rsidP="00225F13">
      <w:pPr>
        <w:spacing w:before="120" w:after="120" w:line="360" w:lineRule="auto"/>
        <w:ind w:firstLine="708"/>
        <w:jc w:val="both"/>
        <w:rPr>
          <w:rFonts w:ascii="Arial" w:hAnsi="Arial" w:cs="Arial"/>
          <w:sz w:val="24"/>
          <w:szCs w:val="24"/>
        </w:rPr>
      </w:pPr>
      <w:r>
        <w:rPr>
          <w:rFonts w:ascii="Arial" w:hAnsi="Arial" w:cs="Arial"/>
          <w:sz w:val="24"/>
          <w:szCs w:val="24"/>
        </w:rPr>
        <w:t xml:space="preserve">Para tanto, abordaremos a seguir dois aspectos introdutórios mais gerais que nos ajudam a apreender a colocação da repercussão em nosso ordenamento jurídico. Inicialmente, propor-se-á uma análise geral sobre as competências constitucionais do Supremo Tribunal Federal. Na sequência, apresentar-se-á a problematização entre </w:t>
      </w:r>
      <w:r>
        <w:rPr>
          <w:rFonts w:ascii="Arial" w:hAnsi="Arial" w:cs="Arial"/>
          <w:i/>
          <w:sz w:val="24"/>
          <w:szCs w:val="24"/>
        </w:rPr>
        <w:t xml:space="preserve">civil </w:t>
      </w:r>
      <w:proofErr w:type="spellStart"/>
      <w:r>
        <w:rPr>
          <w:rFonts w:ascii="Arial" w:hAnsi="Arial" w:cs="Arial"/>
          <w:i/>
          <w:sz w:val="24"/>
          <w:szCs w:val="24"/>
        </w:rPr>
        <w:t>law</w:t>
      </w:r>
      <w:proofErr w:type="spellEnd"/>
      <w:r>
        <w:rPr>
          <w:rFonts w:ascii="Arial" w:hAnsi="Arial" w:cs="Arial"/>
          <w:i/>
          <w:sz w:val="24"/>
          <w:szCs w:val="24"/>
        </w:rPr>
        <w:t xml:space="preserve"> </w:t>
      </w:r>
      <w:r>
        <w:rPr>
          <w:rFonts w:ascii="Arial" w:hAnsi="Arial" w:cs="Arial"/>
          <w:sz w:val="24"/>
          <w:szCs w:val="24"/>
        </w:rPr>
        <w:t xml:space="preserve">– tradição jurídica à qual o Brasil historicamente se filia – e </w:t>
      </w:r>
      <w:r>
        <w:rPr>
          <w:rFonts w:ascii="Arial" w:hAnsi="Arial" w:cs="Arial"/>
          <w:i/>
          <w:sz w:val="24"/>
          <w:szCs w:val="24"/>
        </w:rPr>
        <w:t xml:space="preserve">common </w:t>
      </w:r>
      <w:proofErr w:type="spellStart"/>
      <w:r>
        <w:rPr>
          <w:rFonts w:ascii="Arial" w:hAnsi="Arial" w:cs="Arial"/>
          <w:i/>
          <w:sz w:val="24"/>
          <w:szCs w:val="24"/>
        </w:rPr>
        <w:t>law</w:t>
      </w:r>
      <w:proofErr w:type="spellEnd"/>
      <w:r>
        <w:rPr>
          <w:rFonts w:ascii="Arial" w:hAnsi="Arial" w:cs="Arial"/>
          <w:sz w:val="24"/>
          <w:szCs w:val="24"/>
        </w:rPr>
        <w:t xml:space="preserve"> – da qual originariamente derivada a ideia de respeito aos precedentes. Essa distinção se faz importante no contexto </w:t>
      </w:r>
      <w:r w:rsidR="00134563">
        <w:rPr>
          <w:rFonts w:ascii="Arial" w:hAnsi="Arial" w:cs="Arial"/>
          <w:sz w:val="24"/>
          <w:szCs w:val="24"/>
        </w:rPr>
        <w:t>de análise sobre em que medida</w:t>
      </w:r>
      <w:r>
        <w:rPr>
          <w:rFonts w:ascii="Arial" w:hAnsi="Arial" w:cs="Arial"/>
          <w:sz w:val="24"/>
          <w:szCs w:val="24"/>
        </w:rPr>
        <w:t xml:space="preserve"> a </w:t>
      </w:r>
      <w:proofErr w:type="spellStart"/>
      <w:r>
        <w:rPr>
          <w:rFonts w:ascii="Arial" w:hAnsi="Arial" w:cs="Arial"/>
          <w:sz w:val="24"/>
          <w:szCs w:val="24"/>
        </w:rPr>
        <w:t>vinculatividade</w:t>
      </w:r>
      <w:proofErr w:type="spellEnd"/>
      <w:r>
        <w:rPr>
          <w:rFonts w:ascii="Arial" w:hAnsi="Arial" w:cs="Arial"/>
          <w:sz w:val="24"/>
          <w:szCs w:val="24"/>
        </w:rPr>
        <w:t xml:space="preserve"> da jurisprudência e dos precedentes </w:t>
      </w:r>
      <w:r w:rsidR="002365A0">
        <w:rPr>
          <w:rFonts w:ascii="Arial" w:hAnsi="Arial" w:cs="Arial"/>
          <w:sz w:val="24"/>
          <w:szCs w:val="24"/>
        </w:rPr>
        <w:t xml:space="preserve">prevista </w:t>
      </w:r>
      <w:r>
        <w:rPr>
          <w:rFonts w:ascii="Arial" w:hAnsi="Arial" w:cs="Arial"/>
          <w:sz w:val="24"/>
          <w:szCs w:val="24"/>
        </w:rPr>
        <w:t xml:space="preserve">pelo Novo Código de Processo Civil </w:t>
      </w:r>
      <w:r w:rsidR="00134563">
        <w:rPr>
          <w:rFonts w:ascii="Arial" w:hAnsi="Arial" w:cs="Arial"/>
          <w:sz w:val="24"/>
          <w:szCs w:val="24"/>
        </w:rPr>
        <w:t xml:space="preserve">representa ou não um afastamento da tradição do </w:t>
      </w:r>
      <w:r w:rsidR="00134563">
        <w:rPr>
          <w:rFonts w:ascii="Arial" w:hAnsi="Arial" w:cs="Arial"/>
          <w:i/>
          <w:sz w:val="24"/>
          <w:szCs w:val="24"/>
        </w:rPr>
        <w:t xml:space="preserve">civil </w:t>
      </w:r>
      <w:proofErr w:type="spellStart"/>
      <w:r w:rsidR="00134563">
        <w:rPr>
          <w:rFonts w:ascii="Arial" w:hAnsi="Arial" w:cs="Arial"/>
          <w:i/>
          <w:sz w:val="24"/>
          <w:szCs w:val="24"/>
        </w:rPr>
        <w:t>law</w:t>
      </w:r>
      <w:proofErr w:type="spellEnd"/>
      <w:r w:rsidR="00134563">
        <w:rPr>
          <w:rFonts w:ascii="Arial" w:hAnsi="Arial" w:cs="Arial"/>
          <w:sz w:val="24"/>
          <w:szCs w:val="24"/>
        </w:rPr>
        <w:t>.</w:t>
      </w:r>
    </w:p>
    <w:p w14:paraId="7540DFF6" w14:textId="3569772F" w:rsidR="003435A2" w:rsidRDefault="003435A2" w:rsidP="00225F13">
      <w:pPr>
        <w:spacing w:before="120" w:after="120" w:line="360" w:lineRule="auto"/>
        <w:ind w:firstLine="708"/>
        <w:jc w:val="both"/>
        <w:rPr>
          <w:rFonts w:ascii="Arial" w:hAnsi="Arial" w:cs="Arial"/>
          <w:sz w:val="24"/>
          <w:szCs w:val="24"/>
        </w:rPr>
      </w:pPr>
      <w:r>
        <w:rPr>
          <w:rFonts w:ascii="Arial" w:hAnsi="Arial" w:cs="Arial"/>
          <w:sz w:val="24"/>
          <w:szCs w:val="24"/>
        </w:rPr>
        <w:t xml:space="preserve">Antes, porém, para uma visão rápida sobre a importância da repercussão geral e alguns pontos de reformas propostas, veja a seguinte entrevista dos Ministros Gilmar Mendes e Roberto Barroso: </w:t>
      </w:r>
      <w:r w:rsidR="00386A65">
        <w:rPr>
          <w:rFonts w:ascii="Arial" w:hAnsi="Arial" w:cs="Arial"/>
          <w:sz w:val="24"/>
          <w:szCs w:val="24"/>
        </w:rPr>
        <w:t>&lt;</w:t>
      </w:r>
      <w:hyperlink r:id="rId8" w:history="1">
        <w:r w:rsidRPr="00A866E0">
          <w:rPr>
            <w:rStyle w:val="Hyperlink"/>
            <w:rFonts w:ascii="Arial" w:hAnsi="Arial" w:cs="Arial"/>
            <w:sz w:val="24"/>
            <w:szCs w:val="24"/>
          </w:rPr>
          <w:t>https://www.youtube.com/watch?v=DxwjYmDNH_8</w:t>
        </w:r>
      </w:hyperlink>
      <w:r w:rsidR="00386A65">
        <w:rPr>
          <w:rFonts w:ascii="Arial" w:hAnsi="Arial" w:cs="Arial"/>
          <w:sz w:val="24"/>
          <w:szCs w:val="24"/>
        </w:rPr>
        <w:t>&gt;.</w:t>
      </w:r>
    </w:p>
    <w:p w14:paraId="54DCE3A4" w14:textId="77777777" w:rsidR="00134563" w:rsidRDefault="00134563" w:rsidP="00134563">
      <w:pPr>
        <w:tabs>
          <w:tab w:val="left" w:pos="1397"/>
        </w:tabs>
        <w:spacing w:before="120" w:after="120" w:line="360" w:lineRule="auto"/>
        <w:jc w:val="both"/>
        <w:rPr>
          <w:rFonts w:ascii="Arial" w:hAnsi="Arial" w:cs="Arial"/>
          <w:sz w:val="24"/>
          <w:szCs w:val="24"/>
        </w:rPr>
      </w:pPr>
    </w:p>
    <w:p w14:paraId="3915ED69" w14:textId="77777777" w:rsidR="00B95C1A" w:rsidRPr="00C76E7D" w:rsidRDefault="008043AA" w:rsidP="00C76E7D">
      <w:pPr>
        <w:pStyle w:val="PargrafodaLista"/>
        <w:numPr>
          <w:ilvl w:val="0"/>
          <w:numId w:val="3"/>
        </w:numPr>
        <w:tabs>
          <w:tab w:val="left" w:pos="1397"/>
        </w:tabs>
        <w:spacing w:before="120" w:after="120" w:line="360" w:lineRule="auto"/>
        <w:jc w:val="both"/>
        <w:rPr>
          <w:rFonts w:ascii="Arial" w:hAnsi="Arial" w:cs="Arial"/>
          <w:b/>
          <w:sz w:val="24"/>
          <w:szCs w:val="24"/>
        </w:rPr>
      </w:pPr>
      <w:r w:rsidRPr="00C76E7D">
        <w:rPr>
          <w:rFonts w:ascii="Arial" w:hAnsi="Arial" w:cs="Arial"/>
          <w:b/>
          <w:sz w:val="24"/>
          <w:szCs w:val="24"/>
        </w:rPr>
        <w:t>Visão geral sobre a competência do Supremo Tribunal Federal</w:t>
      </w:r>
      <w:r w:rsidR="00134563" w:rsidRPr="00C76E7D">
        <w:rPr>
          <w:rFonts w:ascii="Arial" w:hAnsi="Arial" w:cs="Arial"/>
          <w:b/>
          <w:sz w:val="24"/>
          <w:szCs w:val="24"/>
        </w:rPr>
        <w:t xml:space="preserve"> </w:t>
      </w:r>
    </w:p>
    <w:p w14:paraId="19419F07" w14:textId="77777777" w:rsidR="003E3A64" w:rsidRDefault="00270656"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3E3A64">
        <w:rPr>
          <w:rFonts w:ascii="Arial" w:hAnsi="Arial" w:cs="Arial"/>
          <w:sz w:val="24"/>
          <w:szCs w:val="24"/>
        </w:rPr>
        <w:t xml:space="preserve">As informações que enfatizaremos neste tópico são de seu total domínio, </w:t>
      </w:r>
      <w:r w:rsidR="00BB65CC">
        <w:rPr>
          <w:rFonts w:ascii="Arial" w:hAnsi="Arial" w:cs="Arial"/>
          <w:sz w:val="24"/>
          <w:szCs w:val="24"/>
        </w:rPr>
        <w:t>com certeza</w:t>
      </w:r>
      <w:r w:rsidR="003E3A64">
        <w:rPr>
          <w:rFonts w:ascii="Arial" w:hAnsi="Arial" w:cs="Arial"/>
          <w:sz w:val="24"/>
          <w:szCs w:val="24"/>
        </w:rPr>
        <w:t xml:space="preserve">. A intenção é rememorar as características </w:t>
      </w:r>
      <w:r w:rsidR="00BB65CC">
        <w:rPr>
          <w:rFonts w:ascii="Arial" w:hAnsi="Arial" w:cs="Arial"/>
          <w:sz w:val="24"/>
          <w:szCs w:val="24"/>
        </w:rPr>
        <w:t xml:space="preserve">peculiares </w:t>
      </w:r>
      <w:r w:rsidR="00E849ED">
        <w:rPr>
          <w:rFonts w:ascii="Arial" w:hAnsi="Arial" w:cs="Arial"/>
          <w:sz w:val="24"/>
          <w:szCs w:val="24"/>
        </w:rPr>
        <w:t xml:space="preserve">e as competências </w:t>
      </w:r>
      <w:r w:rsidR="003E3A64">
        <w:rPr>
          <w:rFonts w:ascii="Arial" w:hAnsi="Arial" w:cs="Arial"/>
          <w:sz w:val="24"/>
          <w:szCs w:val="24"/>
        </w:rPr>
        <w:t>desta Suprema Corte</w:t>
      </w:r>
      <w:r w:rsidR="00E849ED">
        <w:rPr>
          <w:rFonts w:ascii="Arial" w:hAnsi="Arial" w:cs="Arial"/>
          <w:sz w:val="24"/>
          <w:szCs w:val="24"/>
        </w:rPr>
        <w:t>.</w:t>
      </w:r>
      <w:r w:rsidR="003E3A64">
        <w:rPr>
          <w:rFonts w:ascii="Arial" w:hAnsi="Arial" w:cs="Arial"/>
          <w:sz w:val="24"/>
          <w:szCs w:val="24"/>
        </w:rPr>
        <w:t xml:space="preserve"> Vamos juntos?</w:t>
      </w:r>
    </w:p>
    <w:p w14:paraId="057E86C5" w14:textId="41DCF739" w:rsidR="00225F13" w:rsidRDefault="003E3A64"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commentRangeStart w:id="0"/>
      <w:r w:rsidR="003D3212">
        <w:rPr>
          <w:rFonts w:ascii="Arial" w:hAnsi="Arial" w:cs="Arial"/>
          <w:sz w:val="24"/>
          <w:szCs w:val="24"/>
        </w:rPr>
        <w:t xml:space="preserve">O </w:t>
      </w:r>
      <w:r w:rsidR="00270656" w:rsidRPr="00270656">
        <w:rPr>
          <w:rFonts w:ascii="Arial" w:hAnsi="Arial" w:cs="Arial"/>
          <w:sz w:val="24"/>
          <w:szCs w:val="24"/>
        </w:rPr>
        <w:t>Supremo Tribunal Federal</w:t>
      </w:r>
      <w:r w:rsidR="00270656">
        <w:rPr>
          <w:rFonts w:ascii="Arial" w:hAnsi="Arial" w:cs="Arial"/>
          <w:sz w:val="24"/>
          <w:szCs w:val="24"/>
        </w:rPr>
        <w:t xml:space="preserve"> </w:t>
      </w:r>
      <w:commentRangeEnd w:id="0"/>
      <w:r w:rsidR="00E849ED">
        <w:rPr>
          <w:rStyle w:val="Refdecomentrio"/>
        </w:rPr>
        <w:commentReference w:id="0"/>
      </w:r>
      <w:r w:rsidR="003D3212">
        <w:rPr>
          <w:rFonts w:ascii="Arial" w:hAnsi="Arial" w:cs="Arial"/>
          <w:sz w:val="24"/>
          <w:szCs w:val="24"/>
        </w:rPr>
        <w:t>é um dos órgãos integrantes do Poder Judiciário (art. 92, I, da Constituição de 1988), possuindo seu desenho institucional fixado no texto constitucional (</w:t>
      </w:r>
      <w:commentRangeStart w:id="1"/>
      <w:r w:rsidR="003D3212">
        <w:rPr>
          <w:rFonts w:ascii="Arial" w:hAnsi="Arial" w:cs="Arial"/>
          <w:sz w:val="24"/>
          <w:szCs w:val="24"/>
        </w:rPr>
        <w:t>art. 101 e seguintes</w:t>
      </w:r>
      <w:commentRangeEnd w:id="1"/>
      <w:r w:rsidR="00820BBD">
        <w:rPr>
          <w:rStyle w:val="Refdecomentrio"/>
        </w:rPr>
        <w:commentReference w:id="1"/>
      </w:r>
      <w:r w:rsidR="003D3212">
        <w:rPr>
          <w:rFonts w:ascii="Arial" w:hAnsi="Arial" w:cs="Arial"/>
          <w:sz w:val="24"/>
          <w:szCs w:val="24"/>
        </w:rPr>
        <w:t>).</w:t>
      </w:r>
      <w:r w:rsidR="0019257F">
        <w:rPr>
          <w:rFonts w:ascii="Arial" w:hAnsi="Arial" w:cs="Arial"/>
          <w:sz w:val="24"/>
          <w:szCs w:val="24"/>
        </w:rPr>
        <w:t xml:space="preserve"> O</w:t>
      </w:r>
      <w:r w:rsidR="003D3212">
        <w:rPr>
          <w:rFonts w:ascii="Arial" w:hAnsi="Arial" w:cs="Arial"/>
          <w:sz w:val="24"/>
          <w:szCs w:val="24"/>
        </w:rPr>
        <w:t xml:space="preserve"> Tribunal é composto de </w:t>
      </w:r>
      <w:r w:rsidR="00CB3790">
        <w:rPr>
          <w:rFonts w:ascii="Arial" w:hAnsi="Arial" w:cs="Arial"/>
          <w:sz w:val="24"/>
          <w:szCs w:val="24"/>
        </w:rPr>
        <w:t xml:space="preserve">11 </w:t>
      </w:r>
      <w:commentRangeStart w:id="2"/>
      <w:r w:rsidR="003D3212">
        <w:rPr>
          <w:rFonts w:ascii="Arial" w:hAnsi="Arial" w:cs="Arial"/>
          <w:sz w:val="24"/>
          <w:szCs w:val="24"/>
        </w:rPr>
        <w:t>Ministros</w:t>
      </w:r>
      <w:commentRangeEnd w:id="2"/>
      <w:r w:rsidR="00176727">
        <w:rPr>
          <w:rStyle w:val="Refdecomentrio"/>
        </w:rPr>
        <w:commentReference w:id="2"/>
      </w:r>
      <w:r w:rsidR="003D3212">
        <w:rPr>
          <w:rFonts w:ascii="Arial" w:hAnsi="Arial" w:cs="Arial"/>
          <w:sz w:val="24"/>
          <w:szCs w:val="24"/>
        </w:rPr>
        <w:t xml:space="preserve">, escolhidos </w:t>
      </w:r>
      <w:r w:rsidR="003D3212" w:rsidRPr="003D3212">
        <w:rPr>
          <w:rFonts w:ascii="Arial" w:hAnsi="Arial" w:cs="Arial"/>
          <w:sz w:val="24"/>
          <w:szCs w:val="24"/>
        </w:rPr>
        <w:t xml:space="preserve">dentre cidadãos com mais de </w:t>
      </w:r>
      <w:r w:rsidR="00B73677">
        <w:rPr>
          <w:rFonts w:ascii="Arial" w:hAnsi="Arial" w:cs="Arial"/>
          <w:sz w:val="24"/>
          <w:szCs w:val="24"/>
        </w:rPr>
        <w:t>35</w:t>
      </w:r>
      <w:r w:rsidR="003D3212" w:rsidRPr="003D3212">
        <w:rPr>
          <w:rFonts w:ascii="Arial" w:hAnsi="Arial" w:cs="Arial"/>
          <w:sz w:val="24"/>
          <w:szCs w:val="24"/>
        </w:rPr>
        <w:t xml:space="preserve"> e menos de </w:t>
      </w:r>
      <w:r w:rsidR="00B73677">
        <w:rPr>
          <w:rFonts w:ascii="Arial" w:hAnsi="Arial" w:cs="Arial"/>
          <w:sz w:val="24"/>
          <w:szCs w:val="24"/>
        </w:rPr>
        <w:t>65</w:t>
      </w:r>
      <w:r w:rsidR="003D3212" w:rsidRPr="003D3212">
        <w:rPr>
          <w:rFonts w:ascii="Arial" w:hAnsi="Arial" w:cs="Arial"/>
          <w:sz w:val="24"/>
          <w:szCs w:val="24"/>
        </w:rPr>
        <w:t xml:space="preserve"> anos de idade, de notável sab</w:t>
      </w:r>
      <w:r w:rsidR="003D3212">
        <w:rPr>
          <w:rFonts w:ascii="Arial" w:hAnsi="Arial" w:cs="Arial"/>
          <w:sz w:val="24"/>
          <w:szCs w:val="24"/>
        </w:rPr>
        <w:t xml:space="preserve">er jurídico e reputação ilibada. Os Ministros são </w:t>
      </w:r>
      <w:r w:rsidR="003D3212" w:rsidRPr="003D3212">
        <w:rPr>
          <w:rFonts w:ascii="Arial" w:hAnsi="Arial" w:cs="Arial"/>
          <w:sz w:val="24"/>
          <w:szCs w:val="24"/>
        </w:rPr>
        <w:t>nomeados pelo Presidente da República, depois de aprovada a escolha pela maioria absoluta do Senado Federal.</w:t>
      </w:r>
    </w:p>
    <w:p w14:paraId="6204E205" w14:textId="77777777" w:rsidR="00270656" w:rsidRDefault="00225F13"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3D3212">
        <w:rPr>
          <w:rFonts w:ascii="Arial" w:hAnsi="Arial" w:cs="Arial"/>
          <w:sz w:val="24"/>
          <w:szCs w:val="24"/>
        </w:rPr>
        <w:t xml:space="preserve">Suas competências jurisdicionais </w:t>
      </w:r>
      <w:r w:rsidR="00270656">
        <w:rPr>
          <w:rFonts w:ascii="Arial" w:hAnsi="Arial" w:cs="Arial"/>
          <w:sz w:val="24"/>
          <w:szCs w:val="24"/>
        </w:rPr>
        <w:t>são previstas no art. 102 da Constituição Federal. Vamos analisar esse dispositivo? Ele é assim disposto:</w:t>
      </w:r>
    </w:p>
    <w:p w14:paraId="0C171DCE" w14:textId="77777777" w:rsidR="00386A65" w:rsidRDefault="00386A65" w:rsidP="00DD166D">
      <w:pPr>
        <w:tabs>
          <w:tab w:val="left" w:pos="1397"/>
        </w:tabs>
        <w:spacing w:before="120" w:after="120"/>
        <w:ind w:left="1134"/>
        <w:jc w:val="both"/>
        <w:rPr>
          <w:rFonts w:ascii="Arial" w:hAnsi="Arial" w:cs="Arial"/>
          <w:sz w:val="20"/>
          <w:szCs w:val="20"/>
        </w:rPr>
      </w:pPr>
    </w:p>
    <w:p w14:paraId="705FCB55" w14:textId="77777777" w:rsidR="00270656" w:rsidRPr="004F0CDC" w:rsidRDefault="00270656" w:rsidP="00A46BA0">
      <w:pPr>
        <w:spacing w:before="120" w:after="120" w:line="240" w:lineRule="auto"/>
        <w:ind w:left="2268"/>
        <w:jc w:val="both"/>
        <w:rPr>
          <w:rFonts w:ascii="Arial" w:hAnsi="Arial" w:cs="Arial"/>
          <w:sz w:val="20"/>
          <w:szCs w:val="20"/>
        </w:rPr>
      </w:pPr>
      <w:commentRangeStart w:id="3"/>
      <w:r w:rsidRPr="004F0CDC">
        <w:rPr>
          <w:rFonts w:ascii="Arial" w:hAnsi="Arial" w:cs="Arial"/>
          <w:sz w:val="20"/>
          <w:szCs w:val="20"/>
        </w:rPr>
        <w:t>Art</w:t>
      </w:r>
      <w:commentRangeEnd w:id="3"/>
      <w:r w:rsidR="00820BBD" w:rsidRPr="00A46BA0">
        <w:rPr>
          <w:rStyle w:val="Refdecomentrio"/>
          <w:rFonts w:ascii="Arial" w:hAnsi="Arial" w:cs="Arial"/>
          <w:sz w:val="20"/>
          <w:szCs w:val="20"/>
        </w:rPr>
        <w:commentReference w:id="3"/>
      </w:r>
      <w:r w:rsidRPr="004F0CDC">
        <w:rPr>
          <w:rFonts w:ascii="Arial" w:hAnsi="Arial" w:cs="Arial"/>
          <w:sz w:val="20"/>
          <w:szCs w:val="20"/>
        </w:rPr>
        <w:t>. 102. Compete ao Supremo Tribunal Federal, precipuamente, a guarda da Constituição, cabendo-lhe:</w:t>
      </w:r>
    </w:p>
    <w:p w14:paraId="26085CD7" w14:textId="55051967" w:rsidR="00270656" w:rsidRPr="004F0CDC" w:rsidRDefault="00270656" w:rsidP="00A46BA0">
      <w:pPr>
        <w:spacing w:before="120" w:after="120" w:line="240" w:lineRule="auto"/>
        <w:ind w:left="2268"/>
        <w:jc w:val="both"/>
        <w:rPr>
          <w:rFonts w:ascii="Arial" w:hAnsi="Arial" w:cs="Arial"/>
          <w:sz w:val="20"/>
          <w:szCs w:val="20"/>
        </w:rPr>
      </w:pPr>
      <w:bookmarkStart w:id="4" w:name="art102i"/>
      <w:bookmarkEnd w:id="4"/>
      <w:r w:rsidRPr="004F0CDC">
        <w:rPr>
          <w:rFonts w:ascii="Arial" w:hAnsi="Arial" w:cs="Arial"/>
          <w:sz w:val="20"/>
          <w:szCs w:val="20"/>
        </w:rPr>
        <w:t xml:space="preserve">I </w:t>
      </w:r>
      <w:r w:rsidR="00386A65"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processar e julgar</w:t>
      </w:r>
      <w:proofErr w:type="gramEnd"/>
      <w:r w:rsidRPr="004F0CDC">
        <w:rPr>
          <w:rFonts w:ascii="Arial" w:hAnsi="Arial" w:cs="Arial"/>
          <w:sz w:val="20"/>
          <w:szCs w:val="20"/>
        </w:rPr>
        <w:t>, originariamente:</w:t>
      </w:r>
    </w:p>
    <w:p w14:paraId="29DE5962" w14:textId="77777777" w:rsidR="00270656" w:rsidRPr="004F0CDC" w:rsidRDefault="00270656" w:rsidP="00A46BA0">
      <w:pPr>
        <w:spacing w:before="120" w:after="120" w:line="240" w:lineRule="auto"/>
        <w:ind w:left="2268"/>
        <w:jc w:val="both"/>
        <w:rPr>
          <w:rFonts w:ascii="Arial" w:hAnsi="Arial" w:cs="Arial"/>
          <w:sz w:val="20"/>
          <w:szCs w:val="20"/>
        </w:rPr>
      </w:pPr>
      <w:bookmarkStart w:id="5" w:name="art102ia."/>
      <w:bookmarkStart w:id="6" w:name="art102ia"/>
      <w:bookmarkEnd w:id="5"/>
      <w:bookmarkEnd w:id="6"/>
      <w:r w:rsidRPr="004F0CDC">
        <w:rPr>
          <w:rFonts w:ascii="Arial" w:hAnsi="Arial" w:cs="Arial"/>
          <w:sz w:val="20"/>
          <w:szCs w:val="20"/>
        </w:rPr>
        <w:t>a) a ação direta de inconstitucionalidade de lei ou ato normativo federal ou estadual e a ação declaratória de constitucionalidade de lei ou ato normativo federal; </w:t>
      </w:r>
      <w:hyperlink r:id="rId11" w:anchor="art1" w:history="1">
        <w:r w:rsidRPr="004F0CDC">
          <w:rPr>
            <w:rFonts w:ascii="Arial" w:hAnsi="Arial" w:cs="Arial"/>
            <w:sz w:val="20"/>
            <w:szCs w:val="20"/>
          </w:rPr>
          <w:t>(Redação dada pela Emenda Constitucional nº 3, de 1993)</w:t>
        </w:r>
      </w:hyperlink>
    </w:p>
    <w:p w14:paraId="5217BDB2" w14:textId="77777777" w:rsidR="00270656" w:rsidRPr="004F0CDC" w:rsidRDefault="00270656" w:rsidP="00A46BA0">
      <w:pPr>
        <w:spacing w:before="120" w:after="120" w:line="240" w:lineRule="auto"/>
        <w:ind w:left="2268"/>
        <w:jc w:val="both"/>
        <w:rPr>
          <w:rFonts w:ascii="Arial" w:hAnsi="Arial" w:cs="Arial"/>
          <w:sz w:val="20"/>
          <w:szCs w:val="20"/>
        </w:rPr>
      </w:pPr>
      <w:bookmarkStart w:id="7" w:name="art102ib"/>
      <w:bookmarkEnd w:id="7"/>
      <w:r w:rsidRPr="004F0CDC">
        <w:rPr>
          <w:rFonts w:ascii="Arial" w:hAnsi="Arial" w:cs="Arial"/>
          <w:sz w:val="20"/>
          <w:szCs w:val="20"/>
        </w:rPr>
        <w:t>b) nas infrações penais comuns, o Presidente da República, o Vice-Presidente, os membros do Congresso Nacional, seus próprios Ministros e o Procurador-Geral da República;</w:t>
      </w:r>
    </w:p>
    <w:p w14:paraId="73D53F3C" w14:textId="77777777" w:rsidR="00270656" w:rsidRPr="004F0CDC" w:rsidRDefault="00270656" w:rsidP="00A46BA0">
      <w:pPr>
        <w:spacing w:before="120" w:after="120" w:line="240" w:lineRule="auto"/>
        <w:ind w:left="2268"/>
        <w:jc w:val="both"/>
        <w:rPr>
          <w:rFonts w:ascii="Arial" w:hAnsi="Arial" w:cs="Arial"/>
          <w:sz w:val="20"/>
          <w:szCs w:val="20"/>
        </w:rPr>
      </w:pPr>
      <w:bookmarkStart w:id="8" w:name="art102ic."/>
      <w:bookmarkStart w:id="9" w:name="art102ic"/>
      <w:bookmarkEnd w:id="8"/>
      <w:bookmarkEnd w:id="9"/>
      <w:r w:rsidRPr="004F0CDC">
        <w:rPr>
          <w:rFonts w:ascii="Arial" w:hAnsi="Arial" w:cs="Arial"/>
          <w:sz w:val="20"/>
          <w:szCs w:val="20"/>
        </w:rPr>
        <w:t xml:space="preserve">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w:t>
      </w:r>
      <w:proofErr w:type="gramStart"/>
      <w:r w:rsidRPr="004F0CDC">
        <w:rPr>
          <w:rFonts w:ascii="Arial" w:hAnsi="Arial" w:cs="Arial"/>
          <w:sz w:val="20"/>
          <w:szCs w:val="20"/>
        </w:rPr>
        <w:t>permanente;</w:t>
      </w:r>
      <w:hyperlink r:id="rId12" w:anchor="art1" w:history="1">
        <w:r w:rsidRPr="004F0CDC">
          <w:rPr>
            <w:rFonts w:ascii="Arial" w:hAnsi="Arial" w:cs="Arial"/>
            <w:sz w:val="20"/>
            <w:szCs w:val="20"/>
          </w:rPr>
          <w:t>(</w:t>
        </w:r>
        <w:proofErr w:type="gramEnd"/>
        <w:r w:rsidRPr="004F0CDC">
          <w:rPr>
            <w:rFonts w:ascii="Arial" w:hAnsi="Arial" w:cs="Arial"/>
            <w:sz w:val="20"/>
            <w:szCs w:val="20"/>
          </w:rPr>
          <w:t>Redação dada pela Emenda Constitucional nº 23, de 1999)</w:t>
        </w:r>
      </w:hyperlink>
    </w:p>
    <w:p w14:paraId="56E7DE60" w14:textId="77777777" w:rsidR="00270656" w:rsidRPr="004F0CDC" w:rsidRDefault="00270656" w:rsidP="00A46BA0">
      <w:pPr>
        <w:spacing w:before="120" w:after="120" w:line="240" w:lineRule="auto"/>
        <w:ind w:left="2268"/>
        <w:jc w:val="both"/>
        <w:rPr>
          <w:rFonts w:ascii="Arial" w:hAnsi="Arial" w:cs="Arial"/>
          <w:sz w:val="20"/>
          <w:szCs w:val="20"/>
        </w:rPr>
      </w:pPr>
      <w:bookmarkStart w:id="10" w:name="art102id"/>
      <w:bookmarkEnd w:id="10"/>
      <w:r w:rsidRPr="004F0CDC">
        <w:rPr>
          <w:rFonts w:ascii="Arial" w:hAnsi="Arial" w:cs="Arial"/>
          <w:sz w:val="20"/>
          <w:szCs w:val="20"/>
        </w:rPr>
        <w:t>d) o habeas corpus, sendo paciente qualquer das pessoas referidas nas alíneas anteriores; o mandado de segurança e o habeas data contra atos do Presidente da República, das Mesas da Câmara dos Deputados e do Senado Federal, do Tribunal de Contas da União, do Procurador-Geral da República e do próprio Supremo Tribunal Federal;</w:t>
      </w:r>
    </w:p>
    <w:p w14:paraId="184AF333" w14:textId="77777777" w:rsidR="00270656" w:rsidRPr="004F0CDC" w:rsidRDefault="00270656" w:rsidP="00A46BA0">
      <w:pPr>
        <w:spacing w:before="120" w:after="120" w:line="240" w:lineRule="auto"/>
        <w:ind w:left="2268"/>
        <w:jc w:val="both"/>
        <w:rPr>
          <w:rFonts w:ascii="Arial" w:hAnsi="Arial" w:cs="Arial"/>
          <w:sz w:val="20"/>
          <w:szCs w:val="20"/>
        </w:rPr>
      </w:pPr>
      <w:bookmarkStart w:id="11" w:name="art102ie"/>
      <w:bookmarkEnd w:id="11"/>
      <w:r w:rsidRPr="004F0CDC">
        <w:rPr>
          <w:rFonts w:ascii="Arial" w:hAnsi="Arial" w:cs="Arial"/>
          <w:sz w:val="20"/>
          <w:szCs w:val="20"/>
        </w:rPr>
        <w:t>e) o litígio entre Estado estrangeiro ou organismo internacional e a União, o Estado, o Distrito Federal ou o Território;</w:t>
      </w:r>
    </w:p>
    <w:p w14:paraId="0E60BBB4" w14:textId="77777777" w:rsidR="00270656" w:rsidRPr="004F0CDC" w:rsidRDefault="00270656" w:rsidP="00A46BA0">
      <w:pPr>
        <w:spacing w:before="120" w:after="120" w:line="240" w:lineRule="auto"/>
        <w:ind w:left="2268"/>
        <w:jc w:val="both"/>
        <w:rPr>
          <w:rFonts w:ascii="Arial" w:hAnsi="Arial" w:cs="Arial"/>
          <w:sz w:val="20"/>
          <w:szCs w:val="20"/>
        </w:rPr>
      </w:pPr>
      <w:bookmarkStart w:id="12" w:name="art102if"/>
      <w:bookmarkEnd w:id="12"/>
      <w:r w:rsidRPr="004F0CDC">
        <w:rPr>
          <w:rFonts w:ascii="Arial" w:hAnsi="Arial" w:cs="Arial"/>
          <w:sz w:val="20"/>
          <w:szCs w:val="20"/>
        </w:rPr>
        <w:t>f) as causas e os conflitos entre a União e os Estados, a União e o Distrito Federal, ou entre uns e outros, inclusive as respectivas entidades da administração indireta;</w:t>
      </w:r>
    </w:p>
    <w:p w14:paraId="300DA981" w14:textId="77777777" w:rsidR="00270656" w:rsidRPr="004F0CDC" w:rsidRDefault="00270656" w:rsidP="00A46BA0">
      <w:pPr>
        <w:spacing w:before="120" w:after="120" w:line="240" w:lineRule="auto"/>
        <w:ind w:left="2268"/>
        <w:jc w:val="both"/>
        <w:rPr>
          <w:rFonts w:ascii="Arial" w:hAnsi="Arial" w:cs="Arial"/>
          <w:sz w:val="20"/>
          <w:szCs w:val="20"/>
        </w:rPr>
      </w:pPr>
      <w:bookmarkStart w:id="13" w:name="art102ig"/>
      <w:bookmarkEnd w:id="13"/>
      <w:r w:rsidRPr="004F0CDC">
        <w:rPr>
          <w:rFonts w:ascii="Arial" w:hAnsi="Arial" w:cs="Arial"/>
          <w:sz w:val="20"/>
          <w:szCs w:val="20"/>
        </w:rPr>
        <w:t>g) a extradição solicitada por Estado estrangeiro;</w:t>
      </w:r>
    </w:p>
    <w:p w14:paraId="172C8DC9" w14:textId="77777777" w:rsidR="00270656" w:rsidRPr="004F0CDC" w:rsidRDefault="00270656" w:rsidP="00A46BA0">
      <w:pPr>
        <w:spacing w:before="120" w:after="120" w:line="240" w:lineRule="auto"/>
        <w:ind w:left="2268"/>
        <w:jc w:val="both"/>
        <w:rPr>
          <w:rFonts w:ascii="Arial" w:hAnsi="Arial" w:cs="Arial"/>
          <w:sz w:val="20"/>
          <w:szCs w:val="20"/>
        </w:rPr>
      </w:pPr>
      <w:bookmarkStart w:id="14" w:name="art102ih"/>
      <w:bookmarkStart w:id="15" w:name="art102i.i"/>
      <w:bookmarkEnd w:id="14"/>
      <w:bookmarkEnd w:id="15"/>
      <w:r w:rsidRPr="004F0CDC">
        <w:rPr>
          <w:rFonts w:ascii="Arial" w:hAnsi="Arial" w:cs="Arial"/>
          <w:sz w:val="20"/>
          <w:szCs w:val="20"/>
        </w:rPr>
        <w:t>i) o </w:t>
      </w:r>
      <w:r w:rsidRPr="004F0CDC">
        <w:rPr>
          <w:rFonts w:ascii="Arial" w:hAnsi="Arial" w:cs="Arial"/>
          <w:bCs/>
          <w:i/>
          <w:sz w:val="20"/>
          <w:szCs w:val="20"/>
        </w:rPr>
        <w:t>habeas corpus</w:t>
      </w:r>
      <w:r w:rsidRPr="004F0CDC">
        <w:rPr>
          <w:rFonts w:ascii="Arial" w:hAnsi="Arial" w:cs="Arial"/>
          <w:sz w:val="20"/>
          <w:szCs w:val="20"/>
        </w:rPr>
        <w:t xml:space="preserve">, quando o coator for Tribunal Superior ou quando o coator ou o paciente for autoridade ou funcionário cujos atos estejam sujeitos diretamente à jurisdição do Supremo Tribunal Federal, ou se trate de crime sujeito à mesma jurisdição em uma única </w:t>
      </w:r>
      <w:proofErr w:type="gramStart"/>
      <w:r w:rsidRPr="004F0CDC">
        <w:rPr>
          <w:rFonts w:ascii="Arial" w:hAnsi="Arial" w:cs="Arial"/>
          <w:sz w:val="20"/>
          <w:szCs w:val="20"/>
        </w:rPr>
        <w:t>instância;</w:t>
      </w:r>
      <w:hyperlink r:id="rId13" w:anchor="art2" w:history="1">
        <w:r w:rsidRPr="004F0CDC">
          <w:rPr>
            <w:rFonts w:ascii="Arial" w:hAnsi="Arial" w:cs="Arial"/>
            <w:sz w:val="20"/>
            <w:szCs w:val="20"/>
          </w:rPr>
          <w:t>(</w:t>
        </w:r>
        <w:proofErr w:type="gramEnd"/>
        <w:r w:rsidRPr="004F0CDC">
          <w:rPr>
            <w:rFonts w:ascii="Arial" w:hAnsi="Arial" w:cs="Arial"/>
            <w:sz w:val="20"/>
            <w:szCs w:val="20"/>
          </w:rPr>
          <w:t>Redação dada pela Emenda Constitucional nº 22, de 1999)</w:t>
        </w:r>
      </w:hyperlink>
    </w:p>
    <w:p w14:paraId="23481C48" w14:textId="77777777" w:rsidR="00270656" w:rsidRPr="004F0CDC" w:rsidRDefault="00270656" w:rsidP="00A46BA0">
      <w:pPr>
        <w:spacing w:before="120" w:after="120" w:line="240" w:lineRule="auto"/>
        <w:ind w:left="2268"/>
        <w:jc w:val="both"/>
        <w:rPr>
          <w:rFonts w:ascii="Arial" w:hAnsi="Arial" w:cs="Arial"/>
          <w:sz w:val="20"/>
          <w:szCs w:val="20"/>
        </w:rPr>
      </w:pPr>
      <w:bookmarkStart w:id="16" w:name="art102ij"/>
      <w:bookmarkStart w:id="17" w:name="102IJ"/>
      <w:bookmarkEnd w:id="16"/>
      <w:bookmarkEnd w:id="17"/>
      <w:r w:rsidRPr="004F0CDC">
        <w:rPr>
          <w:rFonts w:ascii="Arial" w:hAnsi="Arial" w:cs="Arial"/>
          <w:sz w:val="20"/>
          <w:szCs w:val="20"/>
        </w:rPr>
        <w:lastRenderedPageBreak/>
        <w:t>j) a revisão criminal e a ação rescisória de seus julgados;</w:t>
      </w:r>
    </w:p>
    <w:p w14:paraId="2071BBD8" w14:textId="77777777" w:rsidR="00270656" w:rsidRPr="004F0CDC" w:rsidRDefault="00270656" w:rsidP="00A46BA0">
      <w:pPr>
        <w:spacing w:before="120" w:after="120" w:line="240" w:lineRule="auto"/>
        <w:ind w:left="2268"/>
        <w:jc w:val="both"/>
        <w:rPr>
          <w:rFonts w:ascii="Arial" w:hAnsi="Arial" w:cs="Arial"/>
          <w:sz w:val="20"/>
          <w:szCs w:val="20"/>
        </w:rPr>
      </w:pPr>
      <w:bookmarkStart w:id="18" w:name="art102il"/>
      <w:bookmarkEnd w:id="18"/>
      <w:r w:rsidRPr="004F0CDC">
        <w:rPr>
          <w:rFonts w:ascii="Arial" w:hAnsi="Arial" w:cs="Arial"/>
          <w:sz w:val="20"/>
          <w:szCs w:val="20"/>
        </w:rPr>
        <w:t>l) a reclamação para a preservação de sua competência e garantia da autoridade de suas decisões;</w:t>
      </w:r>
    </w:p>
    <w:p w14:paraId="463FFE19" w14:textId="77777777" w:rsidR="00270656" w:rsidRPr="004F0CDC" w:rsidRDefault="00270656" w:rsidP="00A46BA0">
      <w:pPr>
        <w:spacing w:before="120" w:after="120" w:line="240" w:lineRule="auto"/>
        <w:ind w:left="2268"/>
        <w:jc w:val="both"/>
        <w:rPr>
          <w:rFonts w:ascii="Arial" w:hAnsi="Arial" w:cs="Arial"/>
          <w:sz w:val="20"/>
          <w:szCs w:val="20"/>
        </w:rPr>
      </w:pPr>
      <w:bookmarkStart w:id="19" w:name="art102im"/>
      <w:bookmarkEnd w:id="19"/>
      <w:r w:rsidRPr="004F0CDC">
        <w:rPr>
          <w:rFonts w:ascii="Arial" w:hAnsi="Arial" w:cs="Arial"/>
          <w:sz w:val="20"/>
          <w:szCs w:val="20"/>
        </w:rPr>
        <w:t>m) a execução de sentença nas causas de sua competência originária, facultada a delegação de atribuições para a prática de atos processuais;</w:t>
      </w:r>
    </w:p>
    <w:p w14:paraId="2003DA81" w14:textId="77777777" w:rsidR="00270656" w:rsidRPr="004F0CDC" w:rsidRDefault="00270656" w:rsidP="00A46BA0">
      <w:pPr>
        <w:spacing w:before="120" w:after="120" w:line="240" w:lineRule="auto"/>
        <w:ind w:left="2268"/>
        <w:jc w:val="both"/>
        <w:rPr>
          <w:rFonts w:ascii="Arial" w:hAnsi="Arial" w:cs="Arial"/>
          <w:sz w:val="20"/>
          <w:szCs w:val="20"/>
        </w:rPr>
      </w:pPr>
      <w:bookmarkStart w:id="20" w:name="art102in"/>
      <w:bookmarkEnd w:id="20"/>
      <w:r w:rsidRPr="004F0CDC">
        <w:rPr>
          <w:rFonts w:ascii="Arial" w:hAnsi="Arial" w:cs="Arial"/>
          <w:sz w:val="20"/>
          <w:szCs w:val="20"/>
        </w:rPr>
        <w:t xml:space="preserve">n) a ação em que todos os membros da magistratura sejam </w:t>
      </w:r>
      <w:proofErr w:type="gramStart"/>
      <w:r w:rsidRPr="004F0CDC">
        <w:rPr>
          <w:rFonts w:ascii="Arial" w:hAnsi="Arial" w:cs="Arial"/>
          <w:sz w:val="20"/>
          <w:szCs w:val="20"/>
        </w:rPr>
        <w:t>direta</w:t>
      </w:r>
      <w:proofErr w:type="gramEnd"/>
      <w:r w:rsidRPr="004F0CDC">
        <w:rPr>
          <w:rFonts w:ascii="Arial" w:hAnsi="Arial" w:cs="Arial"/>
          <w:sz w:val="20"/>
          <w:szCs w:val="20"/>
        </w:rPr>
        <w:t xml:space="preserve"> ou indiretamente interessados, e aquela em que mais da metade dos membros do tribunal de origem estejam impedidos ou sejam direta ou indiretamente interessados;</w:t>
      </w:r>
    </w:p>
    <w:p w14:paraId="4EE23D09" w14:textId="77777777" w:rsidR="00270656" w:rsidRPr="004F0CDC" w:rsidRDefault="00270656" w:rsidP="00A46BA0">
      <w:pPr>
        <w:spacing w:before="120" w:after="120" w:line="240" w:lineRule="auto"/>
        <w:ind w:left="2268"/>
        <w:jc w:val="both"/>
        <w:rPr>
          <w:rFonts w:ascii="Arial" w:hAnsi="Arial" w:cs="Arial"/>
          <w:sz w:val="20"/>
          <w:szCs w:val="20"/>
        </w:rPr>
      </w:pPr>
      <w:bookmarkStart w:id="21" w:name="art102io"/>
      <w:bookmarkEnd w:id="21"/>
      <w:r w:rsidRPr="004F0CDC">
        <w:rPr>
          <w:rFonts w:ascii="Arial" w:hAnsi="Arial" w:cs="Arial"/>
          <w:sz w:val="20"/>
          <w:szCs w:val="20"/>
        </w:rPr>
        <w:t>o) os conflitos de competência entre o Superior Tribunal de Justiça e quaisquer tribunais, entre Tribunais Superiores, ou entre estes e qualquer outro tribunal;</w:t>
      </w:r>
    </w:p>
    <w:p w14:paraId="584C689F" w14:textId="77777777" w:rsidR="00270656" w:rsidRPr="004F0CDC" w:rsidRDefault="00270656" w:rsidP="00A46BA0">
      <w:pPr>
        <w:spacing w:before="120" w:after="120" w:line="240" w:lineRule="auto"/>
        <w:ind w:left="2268"/>
        <w:jc w:val="both"/>
        <w:rPr>
          <w:rFonts w:ascii="Arial" w:hAnsi="Arial" w:cs="Arial"/>
          <w:sz w:val="20"/>
          <w:szCs w:val="20"/>
        </w:rPr>
      </w:pPr>
      <w:bookmarkStart w:id="22" w:name="art102ip"/>
      <w:bookmarkEnd w:id="22"/>
      <w:r w:rsidRPr="004F0CDC">
        <w:rPr>
          <w:rFonts w:ascii="Arial" w:hAnsi="Arial" w:cs="Arial"/>
          <w:sz w:val="20"/>
          <w:szCs w:val="20"/>
        </w:rPr>
        <w:t>p) o pedido de medida cautelar das ações diretas de inconstitucionalidade;</w:t>
      </w:r>
    </w:p>
    <w:p w14:paraId="06567A40" w14:textId="77777777" w:rsidR="00270656" w:rsidRPr="004F0CDC" w:rsidRDefault="00270656" w:rsidP="00A46BA0">
      <w:pPr>
        <w:spacing w:before="120" w:after="120" w:line="240" w:lineRule="auto"/>
        <w:ind w:left="2268"/>
        <w:jc w:val="both"/>
        <w:rPr>
          <w:rFonts w:ascii="Arial" w:hAnsi="Arial" w:cs="Arial"/>
          <w:sz w:val="20"/>
          <w:szCs w:val="20"/>
        </w:rPr>
      </w:pPr>
      <w:bookmarkStart w:id="23" w:name="art102iq"/>
      <w:bookmarkEnd w:id="23"/>
      <w:r w:rsidRPr="004F0CDC">
        <w:rPr>
          <w:rFonts w:ascii="Arial" w:hAnsi="Arial" w:cs="Arial"/>
          <w:sz w:val="20"/>
          <w:szCs w:val="20"/>
        </w:rP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14:paraId="3E9C9E99" w14:textId="77777777" w:rsidR="00270656" w:rsidRPr="004F0CDC" w:rsidRDefault="00270656" w:rsidP="00A46BA0">
      <w:pPr>
        <w:spacing w:before="120" w:after="120" w:line="240" w:lineRule="auto"/>
        <w:ind w:left="2268"/>
        <w:jc w:val="both"/>
        <w:rPr>
          <w:rFonts w:ascii="Arial" w:hAnsi="Arial" w:cs="Arial"/>
          <w:sz w:val="20"/>
          <w:szCs w:val="20"/>
        </w:rPr>
      </w:pPr>
      <w:bookmarkStart w:id="24" w:name="art102ir"/>
      <w:bookmarkEnd w:id="24"/>
      <w:r w:rsidRPr="004F0CDC">
        <w:rPr>
          <w:rFonts w:ascii="Arial" w:hAnsi="Arial" w:cs="Arial"/>
          <w:sz w:val="20"/>
          <w:szCs w:val="20"/>
        </w:rPr>
        <w:t>r) as ações contra o Conselho Nacional de Justiça e contra o Conselho Nacional do Ministério Público; </w:t>
      </w:r>
      <w:hyperlink r:id="rId14" w:anchor="art1" w:history="1">
        <w:r w:rsidRPr="004F0CDC">
          <w:rPr>
            <w:rFonts w:ascii="Arial" w:hAnsi="Arial" w:cs="Arial"/>
            <w:sz w:val="20"/>
            <w:szCs w:val="20"/>
          </w:rPr>
          <w:t>(Incluída pela Emenda Constitucional nº 45, de 2004)</w:t>
        </w:r>
      </w:hyperlink>
    </w:p>
    <w:p w14:paraId="197D3A03" w14:textId="3FAC5A23" w:rsidR="00270656" w:rsidRPr="004F0CDC" w:rsidRDefault="00270656" w:rsidP="00A46BA0">
      <w:pPr>
        <w:spacing w:before="120" w:after="120" w:line="240" w:lineRule="auto"/>
        <w:ind w:left="2268"/>
        <w:jc w:val="both"/>
        <w:rPr>
          <w:rFonts w:ascii="Arial" w:hAnsi="Arial" w:cs="Arial"/>
          <w:sz w:val="20"/>
          <w:szCs w:val="20"/>
        </w:rPr>
      </w:pPr>
      <w:bookmarkStart w:id="25" w:name="art102ii."/>
      <w:bookmarkEnd w:id="25"/>
      <w:r w:rsidRPr="004F0CDC">
        <w:rPr>
          <w:rFonts w:ascii="Arial" w:hAnsi="Arial" w:cs="Arial"/>
          <w:sz w:val="20"/>
          <w:szCs w:val="20"/>
        </w:rPr>
        <w:t xml:space="preserve">II </w:t>
      </w:r>
      <w:r w:rsidR="00386A65"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julgar</w:t>
      </w:r>
      <w:proofErr w:type="gramEnd"/>
      <w:r w:rsidRPr="004F0CDC">
        <w:rPr>
          <w:rFonts w:ascii="Arial" w:hAnsi="Arial" w:cs="Arial"/>
          <w:sz w:val="20"/>
          <w:szCs w:val="20"/>
        </w:rPr>
        <w:t>, em recurso ordinário:</w:t>
      </w:r>
    </w:p>
    <w:p w14:paraId="7427442D" w14:textId="77777777" w:rsidR="00270656" w:rsidRPr="004F0CDC" w:rsidRDefault="00270656" w:rsidP="00A46BA0">
      <w:pPr>
        <w:spacing w:before="120" w:after="120" w:line="240" w:lineRule="auto"/>
        <w:ind w:left="2268"/>
        <w:jc w:val="both"/>
        <w:rPr>
          <w:rFonts w:ascii="Arial" w:hAnsi="Arial" w:cs="Arial"/>
          <w:sz w:val="20"/>
          <w:szCs w:val="20"/>
        </w:rPr>
      </w:pPr>
      <w:bookmarkStart w:id="26" w:name="art102iia"/>
      <w:bookmarkEnd w:id="26"/>
      <w:r w:rsidRPr="004F0CDC">
        <w:rPr>
          <w:rFonts w:ascii="Arial" w:hAnsi="Arial" w:cs="Arial"/>
          <w:sz w:val="20"/>
          <w:szCs w:val="20"/>
        </w:rPr>
        <w:t>a) o habeas corpus, o mandado de segurança, o habeas data e o mandado de injunção decididos em única instância pelos Tribunais Superiores, se denegatória a decisão;</w:t>
      </w:r>
    </w:p>
    <w:p w14:paraId="216F704E" w14:textId="77777777" w:rsidR="00270656" w:rsidRPr="004F0CDC" w:rsidRDefault="00270656" w:rsidP="00A46BA0">
      <w:pPr>
        <w:spacing w:before="120" w:after="120" w:line="240" w:lineRule="auto"/>
        <w:ind w:left="2268"/>
        <w:jc w:val="both"/>
        <w:rPr>
          <w:rFonts w:ascii="Arial" w:hAnsi="Arial" w:cs="Arial"/>
          <w:sz w:val="20"/>
          <w:szCs w:val="20"/>
        </w:rPr>
      </w:pPr>
      <w:bookmarkStart w:id="27" w:name="art102iib"/>
      <w:bookmarkEnd w:id="27"/>
      <w:r w:rsidRPr="004F0CDC">
        <w:rPr>
          <w:rFonts w:ascii="Arial" w:hAnsi="Arial" w:cs="Arial"/>
          <w:sz w:val="20"/>
          <w:szCs w:val="20"/>
        </w:rPr>
        <w:t>b) o crime político;</w:t>
      </w:r>
    </w:p>
    <w:p w14:paraId="4B3420D9" w14:textId="520AC2C3" w:rsidR="00270656" w:rsidRPr="004F0CDC" w:rsidRDefault="00270656" w:rsidP="00A46BA0">
      <w:pPr>
        <w:spacing w:before="120" w:after="120" w:line="240" w:lineRule="auto"/>
        <w:ind w:left="2268"/>
        <w:jc w:val="both"/>
        <w:rPr>
          <w:rFonts w:ascii="Arial" w:hAnsi="Arial" w:cs="Arial"/>
          <w:sz w:val="20"/>
          <w:szCs w:val="20"/>
        </w:rPr>
      </w:pPr>
      <w:bookmarkStart w:id="28" w:name="art102iii"/>
      <w:bookmarkEnd w:id="28"/>
      <w:r w:rsidRPr="004F0CDC">
        <w:rPr>
          <w:rFonts w:ascii="Arial" w:hAnsi="Arial" w:cs="Arial"/>
          <w:sz w:val="20"/>
          <w:szCs w:val="20"/>
        </w:rPr>
        <w:t xml:space="preserve">III </w:t>
      </w:r>
      <w:r w:rsidR="00386A65" w:rsidRPr="004F0CDC">
        <w:rPr>
          <w:rFonts w:ascii="Arial" w:hAnsi="Arial" w:cs="Arial"/>
          <w:sz w:val="20"/>
          <w:szCs w:val="20"/>
        </w:rPr>
        <w:t>–</w:t>
      </w:r>
      <w:r w:rsidRPr="004F0CDC">
        <w:rPr>
          <w:rFonts w:ascii="Arial" w:hAnsi="Arial" w:cs="Arial"/>
          <w:sz w:val="20"/>
          <w:szCs w:val="20"/>
        </w:rPr>
        <w:t xml:space="preserve"> julgar, mediante recurso extraordinário, as causas decididas em única ou última instância, quando a decisão recorrida:</w:t>
      </w:r>
    </w:p>
    <w:p w14:paraId="29DD0DBC" w14:textId="77777777" w:rsidR="00270656" w:rsidRPr="004F0CDC" w:rsidRDefault="00270656" w:rsidP="00A46BA0">
      <w:pPr>
        <w:spacing w:before="120" w:after="120" w:line="240" w:lineRule="auto"/>
        <w:ind w:left="2268"/>
        <w:jc w:val="both"/>
        <w:rPr>
          <w:rFonts w:ascii="Arial" w:hAnsi="Arial" w:cs="Arial"/>
          <w:sz w:val="20"/>
          <w:szCs w:val="20"/>
        </w:rPr>
      </w:pPr>
      <w:bookmarkStart w:id="29" w:name="art102iiia"/>
      <w:bookmarkEnd w:id="29"/>
      <w:r w:rsidRPr="004F0CDC">
        <w:rPr>
          <w:rFonts w:ascii="Arial" w:hAnsi="Arial" w:cs="Arial"/>
          <w:sz w:val="20"/>
          <w:szCs w:val="20"/>
        </w:rPr>
        <w:t>a) contrariar dispositivo desta Constituição;</w:t>
      </w:r>
    </w:p>
    <w:p w14:paraId="2064A42A" w14:textId="77777777" w:rsidR="00270656" w:rsidRPr="004F0CDC" w:rsidRDefault="00270656" w:rsidP="00A46BA0">
      <w:pPr>
        <w:spacing w:before="120" w:after="120" w:line="240" w:lineRule="auto"/>
        <w:ind w:left="2268"/>
        <w:jc w:val="both"/>
        <w:rPr>
          <w:rFonts w:ascii="Arial" w:hAnsi="Arial" w:cs="Arial"/>
          <w:sz w:val="20"/>
          <w:szCs w:val="20"/>
        </w:rPr>
      </w:pPr>
      <w:bookmarkStart w:id="30" w:name="art102iiib"/>
      <w:bookmarkEnd w:id="30"/>
      <w:r w:rsidRPr="004F0CDC">
        <w:rPr>
          <w:rFonts w:ascii="Arial" w:hAnsi="Arial" w:cs="Arial"/>
          <w:sz w:val="20"/>
          <w:szCs w:val="20"/>
        </w:rPr>
        <w:t>b) declarar a inconstitucionalidade de tratado ou lei federal;</w:t>
      </w:r>
    </w:p>
    <w:p w14:paraId="4FFAA1F1" w14:textId="77777777" w:rsidR="00270656" w:rsidRPr="004F0CDC" w:rsidRDefault="00270656" w:rsidP="00A46BA0">
      <w:pPr>
        <w:spacing w:before="120" w:after="120" w:line="240" w:lineRule="auto"/>
        <w:ind w:left="2268"/>
        <w:jc w:val="both"/>
        <w:rPr>
          <w:rFonts w:ascii="Arial" w:hAnsi="Arial" w:cs="Arial"/>
          <w:sz w:val="20"/>
          <w:szCs w:val="20"/>
        </w:rPr>
      </w:pPr>
      <w:bookmarkStart w:id="31" w:name="art102iiic"/>
      <w:bookmarkEnd w:id="31"/>
      <w:r w:rsidRPr="004F0CDC">
        <w:rPr>
          <w:rFonts w:ascii="Arial" w:hAnsi="Arial" w:cs="Arial"/>
          <w:sz w:val="20"/>
          <w:szCs w:val="20"/>
        </w:rPr>
        <w:t>c) julgar válida lei ou ato de governo local contestado em face desta Constituição.</w:t>
      </w:r>
    </w:p>
    <w:p w14:paraId="5D238DB7" w14:textId="77777777" w:rsidR="00270656" w:rsidRPr="004F0CDC" w:rsidRDefault="00270656" w:rsidP="00A46BA0">
      <w:pPr>
        <w:spacing w:before="120" w:after="120" w:line="240" w:lineRule="auto"/>
        <w:ind w:left="2268"/>
        <w:jc w:val="both"/>
        <w:rPr>
          <w:rFonts w:ascii="Arial" w:hAnsi="Arial" w:cs="Arial"/>
          <w:sz w:val="20"/>
          <w:szCs w:val="20"/>
        </w:rPr>
      </w:pPr>
      <w:bookmarkStart w:id="32" w:name="art102iiid"/>
      <w:bookmarkEnd w:id="32"/>
      <w:r w:rsidRPr="004F0CDC">
        <w:rPr>
          <w:rFonts w:ascii="Arial" w:hAnsi="Arial" w:cs="Arial"/>
          <w:sz w:val="20"/>
          <w:szCs w:val="20"/>
        </w:rPr>
        <w:t>d) julgar válida lei local contestada em face de lei federal. </w:t>
      </w:r>
      <w:hyperlink r:id="rId15" w:anchor="art1" w:history="1">
        <w:r w:rsidRPr="004F0CDC">
          <w:rPr>
            <w:rFonts w:ascii="Arial" w:hAnsi="Arial" w:cs="Arial"/>
            <w:sz w:val="20"/>
            <w:szCs w:val="20"/>
          </w:rPr>
          <w:t>(Incluída pela Emenda Constitucional nº 45, de 2004)</w:t>
        </w:r>
      </w:hyperlink>
    </w:p>
    <w:p w14:paraId="3800864A" w14:textId="77777777" w:rsidR="00270656" w:rsidRPr="004F0CDC" w:rsidRDefault="00270656" w:rsidP="00A46BA0">
      <w:pPr>
        <w:spacing w:before="120" w:after="120" w:line="240" w:lineRule="auto"/>
        <w:ind w:left="2268"/>
        <w:jc w:val="both"/>
        <w:rPr>
          <w:rFonts w:ascii="Arial" w:hAnsi="Arial" w:cs="Arial"/>
          <w:sz w:val="20"/>
          <w:szCs w:val="20"/>
        </w:rPr>
      </w:pPr>
      <w:bookmarkStart w:id="33" w:name="art102§1"/>
      <w:bookmarkEnd w:id="33"/>
      <w:r w:rsidRPr="004F0CDC">
        <w:rPr>
          <w:rFonts w:ascii="Arial" w:hAnsi="Arial" w:cs="Arial"/>
          <w:sz w:val="20"/>
          <w:szCs w:val="20"/>
        </w:rPr>
        <w:t xml:space="preserve">§ 1º A </w:t>
      </w:r>
      <w:proofErr w:type="spellStart"/>
      <w:r w:rsidRPr="004F0CDC">
        <w:rPr>
          <w:rFonts w:ascii="Arial" w:hAnsi="Arial" w:cs="Arial"/>
          <w:sz w:val="20"/>
          <w:szCs w:val="20"/>
        </w:rPr>
        <w:t>argüição</w:t>
      </w:r>
      <w:proofErr w:type="spellEnd"/>
      <w:r w:rsidRPr="004F0CDC">
        <w:rPr>
          <w:rFonts w:ascii="Arial" w:hAnsi="Arial" w:cs="Arial"/>
          <w:sz w:val="20"/>
          <w:szCs w:val="20"/>
        </w:rPr>
        <w:t xml:space="preserve"> de descumprimento de preceito fundamental, decorrente desta Constituição, será apreciada pelo Supremo Tribunal Federal, na forma da lei. </w:t>
      </w:r>
      <w:hyperlink r:id="rId16" w:anchor="art1" w:history="1">
        <w:r w:rsidRPr="004F0CDC">
          <w:rPr>
            <w:rFonts w:ascii="Arial" w:hAnsi="Arial" w:cs="Arial"/>
            <w:sz w:val="20"/>
            <w:szCs w:val="20"/>
          </w:rPr>
          <w:t>(Transformado em § 1º pela Emenda Constitucional nº 3, de 17/03/93)</w:t>
        </w:r>
      </w:hyperlink>
    </w:p>
    <w:p w14:paraId="072C9270" w14:textId="77777777" w:rsidR="00270656" w:rsidRPr="004F0CDC" w:rsidRDefault="00270656" w:rsidP="00A46BA0">
      <w:pPr>
        <w:spacing w:before="120" w:after="120" w:line="240" w:lineRule="auto"/>
        <w:ind w:left="2268"/>
        <w:jc w:val="both"/>
        <w:rPr>
          <w:rFonts w:ascii="Arial" w:hAnsi="Arial" w:cs="Arial"/>
          <w:sz w:val="20"/>
          <w:szCs w:val="20"/>
        </w:rPr>
      </w:pPr>
      <w:bookmarkStart w:id="34" w:name="art102§2."/>
      <w:bookmarkStart w:id="35" w:name="art102§2"/>
      <w:bookmarkEnd w:id="34"/>
      <w:bookmarkEnd w:id="35"/>
      <w:r w:rsidRPr="004F0CDC">
        <w:rPr>
          <w:rFonts w:ascii="Arial" w:hAnsi="Arial" w:cs="Arial"/>
          <w:sz w:val="20"/>
          <w:szCs w:val="20"/>
        </w:rPr>
        <w:t>§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w:t>
      </w:r>
      <w:hyperlink r:id="rId17" w:anchor="art1" w:history="1">
        <w:r w:rsidRPr="004F0CDC">
          <w:rPr>
            <w:rFonts w:ascii="Arial" w:hAnsi="Arial" w:cs="Arial"/>
            <w:sz w:val="20"/>
            <w:szCs w:val="20"/>
          </w:rPr>
          <w:t>(Redação dada pela Emenda Constitucional nº 45, de 2004)</w:t>
        </w:r>
      </w:hyperlink>
    </w:p>
    <w:p w14:paraId="53FA8616" w14:textId="77777777" w:rsidR="00270656" w:rsidRPr="004F0CDC" w:rsidRDefault="00270656" w:rsidP="00A46BA0">
      <w:pPr>
        <w:spacing w:before="120" w:after="120" w:line="240" w:lineRule="auto"/>
        <w:ind w:left="2268"/>
        <w:jc w:val="both"/>
        <w:rPr>
          <w:rFonts w:ascii="Arial" w:hAnsi="Arial" w:cs="Arial"/>
          <w:sz w:val="20"/>
          <w:szCs w:val="20"/>
        </w:rPr>
      </w:pPr>
      <w:bookmarkStart w:id="36" w:name="art102§3"/>
      <w:bookmarkEnd w:id="36"/>
      <w:r w:rsidRPr="004F0CDC">
        <w:rPr>
          <w:rFonts w:ascii="Arial" w:hAnsi="Arial" w:cs="Arial"/>
          <w:sz w:val="20"/>
          <w:szCs w:val="20"/>
        </w:rPr>
        <w:t>§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w:t>
      </w:r>
    </w:p>
    <w:p w14:paraId="4CF6EB0F" w14:textId="77777777" w:rsidR="00270656" w:rsidRDefault="00270656" w:rsidP="00DD166D">
      <w:pPr>
        <w:tabs>
          <w:tab w:val="left" w:pos="1397"/>
        </w:tabs>
        <w:spacing w:before="120" w:after="120" w:line="360" w:lineRule="auto"/>
        <w:jc w:val="both"/>
        <w:rPr>
          <w:rFonts w:ascii="Arial" w:hAnsi="Arial" w:cs="Arial"/>
          <w:sz w:val="24"/>
          <w:szCs w:val="24"/>
        </w:rPr>
      </w:pPr>
    </w:p>
    <w:p w14:paraId="37A47BF6" w14:textId="2A0B6742" w:rsidR="00225F13" w:rsidRDefault="00225F13"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E7237D" w:rsidRPr="00E7237D">
        <w:rPr>
          <w:rFonts w:ascii="Arial" w:hAnsi="Arial" w:cs="Arial"/>
          <w:sz w:val="24"/>
          <w:szCs w:val="24"/>
        </w:rPr>
        <w:t xml:space="preserve">Como </w:t>
      </w:r>
      <w:r w:rsidR="008043AA">
        <w:rPr>
          <w:rFonts w:ascii="Arial" w:hAnsi="Arial" w:cs="Arial"/>
          <w:sz w:val="24"/>
          <w:szCs w:val="24"/>
        </w:rPr>
        <w:t>podemos</w:t>
      </w:r>
      <w:r w:rsidR="00E7237D" w:rsidRPr="00E7237D">
        <w:rPr>
          <w:rFonts w:ascii="Arial" w:hAnsi="Arial" w:cs="Arial"/>
          <w:sz w:val="24"/>
          <w:szCs w:val="24"/>
        </w:rPr>
        <w:t xml:space="preserve"> notar, o inciso I fixa as competências originárias do Supremo Tribunal Federal, ou seja, </w:t>
      </w:r>
      <w:r w:rsidR="00CB3790">
        <w:rPr>
          <w:rFonts w:ascii="Arial" w:hAnsi="Arial" w:cs="Arial"/>
          <w:sz w:val="24"/>
          <w:szCs w:val="24"/>
        </w:rPr>
        <w:t>diz respeito à</w:t>
      </w:r>
      <w:r w:rsidR="00E7237D" w:rsidRPr="00E7237D">
        <w:rPr>
          <w:rFonts w:ascii="Arial" w:hAnsi="Arial" w:cs="Arial"/>
          <w:sz w:val="24"/>
          <w:szCs w:val="24"/>
        </w:rPr>
        <w:t>queles processos que já</w:t>
      </w:r>
      <w:r w:rsidR="003D3212">
        <w:rPr>
          <w:rFonts w:ascii="Arial" w:hAnsi="Arial" w:cs="Arial"/>
          <w:sz w:val="24"/>
          <w:szCs w:val="24"/>
        </w:rPr>
        <w:t xml:space="preserve"> se</w:t>
      </w:r>
      <w:r w:rsidR="00E7237D" w:rsidRPr="00E7237D">
        <w:rPr>
          <w:rFonts w:ascii="Arial" w:hAnsi="Arial" w:cs="Arial"/>
          <w:sz w:val="24"/>
          <w:szCs w:val="24"/>
        </w:rPr>
        <w:t xml:space="preserve"> iniciam no STF, cabendo a este órgão jurisdicional processar e julgar originariamente essas causas. São os casos, por exemplo, das ações do controle concentrado de constitucionalidade (</w:t>
      </w:r>
      <w:r w:rsidR="00E7237D">
        <w:rPr>
          <w:rFonts w:ascii="Arial" w:hAnsi="Arial" w:cs="Arial"/>
          <w:sz w:val="24"/>
          <w:szCs w:val="24"/>
        </w:rPr>
        <w:t xml:space="preserve">ação </w:t>
      </w:r>
      <w:r w:rsidR="00E7237D">
        <w:rPr>
          <w:rFonts w:ascii="Arial" w:hAnsi="Arial" w:cs="Arial"/>
          <w:sz w:val="24"/>
          <w:szCs w:val="24"/>
        </w:rPr>
        <w:lastRenderedPageBreak/>
        <w:t>direta de inconstitucionalidad</w:t>
      </w:r>
      <w:r w:rsidR="008043AA">
        <w:rPr>
          <w:rFonts w:ascii="Arial" w:hAnsi="Arial" w:cs="Arial"/>
          <w:sz w:val="24"/>
          <w:szCs w:val="24"/>
        </w:rPr>
        <w:t xml:space="preserve">e, </w:t>
      </w:r>
      <w:r w:rsidR="00E7237D">
        <w:rPr>
          <w:rFonts w:ascii="Arial" w:hAnsi="Arial" w:cs="Arial"/>
          <w:sz w:val="24"/>
          <w:szCs w:val="24"/>
        </w:rPr>
        <w:t xml:space="preserve">ação declaratória de constitucionalidade e arguição por descumprimento de preceito </w:t>
      </w:r>
      <w:r w:rsidR="00CB3790">
        <w:rPr>
          <w:rFonts w:ascii="Arial" w:hAnsi="Arial" w:cs="Arial"/>
          <w:sz w:val="24"/>
          <w:szCs w:val="24"/>
        </w:rPr>
        <w:t>fundamental</w:t>
      </w:r>
      <w:r w:rsidR="00E7237D">
        <w:rPr>
          <w:rFonts w:ascii="Arial" w:hAnsi="Arial" w:cs="Arial"/>
          <w:sz w:val="24"/>
          <w:szCs w:val="24"/>
        </w:rPr>
        <w:t xml:space="preserve">), das ações penais para casos em que se fixa o foro por prerrogativa de função, </w:t>
      </w:r>
      <w:r w:rsidR="00FE1727">
        <w:rPr>
          <w:rFonts w:ascii="Arial" w:hAnsi="Arial" w:cs="Arial"/>
          <w:sz w:val="24"/>
          <w:szCs w:val="24"/>
        </w:rPr>
        <w:t>d</w:t>
      </w:r>
      <w:r w:rsidR="00E7237D">
        <w:rPr>
          <w:rFonts w:ascii="Arial" w:hAnsi="Arial" w:cs="Arial"/>
          <w:sz w:val="24"/>
          <w:szCs w:val="24"/>
        </w:rPr>
        <w:t xml:space="preserve">as ações rescisórias de seus julgados, </w:t>
      </w:r>
      <w:r w:rsidR="00FE1727">
        <w:rPr>
          <w:rFonts w:ascii="Arial" w:hAnsi="Arial" w:cs="Arial"/>
          <w:sz w:val="24"/>
          <w:szCs w:val="24"/>
        </w:rPr>
        <w:t xml:space="preserve">bem como de </w:t>
      </w:r>
      <w:r w:rsidR="00E7237D">
        <w:rPr>
          <w:rFonts w:ascii="Arial" w:hAnsi="Arial" w:cs="Arial"/>
          <w:sz w:val="24"/>
          <w:szCs w:val="24"/>
        </w:rPr>
        <w:t xml:space="preserve">alguns casos de </w:t>
      </w:r>
      <w:r w:rsidR="00E7237D">
        <w:rPr>
          <w:rFonts w:ascii="Arial" w:hAnsi="Arial" w:cs="Arial"/>
          <w:i/>
          <w:sz w:val="24"/>
          <w:szCs w:val="24"/>
        </w:rPr>
        <w:t>habeas corpus</w:t>
      </w:r>
      <w:r w:rsidR="00E7237D">
        <w:rPr>
          <w:rFonts w:ascii="Arial" w:hAnsi="Arial" w:cs="Arial"/>
          <w:sz w:val="24"/>
          <w:szCs w:val="24"/>
        </w:rPr>
        <w:t xml:space="preserve"> e de mandados de segurança, entre outros itens constantes no rol acima citado. </w:t>
      </w:r>
    </w:p>
    <w:p w14:paraId="3C345A38" w14:textId="0E85C507" w:rsidR="00225F13" w:rsidRDefault="00225F13"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8043AA">
        <w:rPr>
          <w:rFonts w:ascii="Arial" w:hAnsi="Arial" w:cs="Arial"/>
          <w:sz w:val="24"/>
          <w:szCs w:val="24"/>
        </w:rPr>
        <w:t>Outro ponto</w:t>
      </w:r>
      <w:r w:rsidR="003D3212">
        <w:rPr>
          <w:rFonts w:ascii="Arial" w:hAnsi="Arial" w:cs="Arial"/>
          <w:sz w:val="24"/>
          <w:szCs w:val="24"/>
        </w:rPr>
        <w:t>:</w:t>
      </w:r>
      <w:r w:rsidR="00E7237D">
        <w:rPr>
          <w:rFonts w:ascii="Arial" w:hAnsi="Arial" w:cs="Arial"/>
          <w:sz w:val="24"/>
          <w:szCs w:val="24"/>
        </w:rPr>
        <w:t xml:space="preserve"> </w:t>
      </w:r>
      <w:r w:rsidR="008043AA">
        <w:rPr>
          <w:rFonts w:ascii="Arial" w:hAnsi="Arial" w:cs="Arial"/>
          <w:sz w:val="24"/>
          <w:szCs w:val="24"/>
        </w:rPr>
        <w:t xml:space="preserve">notou </w:t>
      </w:r>
      <w:r w:rsidR="00E7237D">
        <w:rPr>
          <w:rFonts w:ascii="Arial" w:hAnsi="Arial" w:cs="Arial"/>
          <w:sz w:val="24"/>
          <w:szCs w:val="24"/>
        </w:rPr>
        <w:t xml:space="preserve">que não </w:t>
      </w:r>
      <w:r w:rsidR="008043AA">
        <w:rPr>
          <w:rFonts w:ascii="Arial" w:hAnsi="Arial" w:cs="Arial"/>
          <w:sz w:val="24"/>
          <w:szCs w:val="24"/>
        </w:rPr>
        <w:t>existe</w:t>
      </w:r>
      <w:r w:rsidR="00E7237D">
        <w:rPr>
          <w:rFonts w:ascii="Arial" w:hAnsi="Arial" w:cs="Arial"/>
          <w:sz w:val="24"/>
          <w:szCs w:val="24"/>
        </w:rPr>
        <w:t xml:space="preserve"> </w:t>
      </w:r>
      <w:r w:rsidR="00632BBE">
        <w:rPr>
          <w:rFonts w:ascii="Arial" w:hAnsi="Arial" w:cs="Arial"/>
          <w:sz w:val="24"/>
          <w:szCs w:val="24"/>
        </w:rPr>
        <w:t>a alínea</w:t>
      </w:r>
      <w:r w:rsidR="00E7237D">
        <w:rPr>
          <w:rFonts w:ascii="Arial" w:hAnsi="Arial" w:cs="Arial"/>
          <w:sz w:val="24"/>
          <w:szCs w:val="24"/>
        </w:rPr>
        <w:t xml:space="preserve"> “h”? Na redação original da Constituição de 1988, </w:t>
      </w:r>
      <w:r w:rsidR="0058366A">
        <w:rPr>
          <w:rFonts w:ascii="Arial" w:hAnsi="Arial" w:cs="Arial"/>
          <w:sz w:val="24"/>
          <w:szCs w:val="24"/>
        </w:rPr>
        <w:t xml:space="preserve">esse dispositivo previa a competência originária do </w:t>
      </w:r>
      <w:r w:rsidR="00ED1F88">
        <w:rPr>
          <w:rFonts w:ascii="Arial" w:hAnsi="Arial" w:cs="Arial"/>
          <w:sz w:val="24"/>
          <w:szCs w:val="24"/>
        </w:rPr>
        <w:t>STF</w:t>
      </w:r>
      <w:r w:rsidR="0058366A">
        <w:rPr>
          <w:rFonts w:ascii="Arial" w:hAnsi="Arial" w:cs="Arial"/>
          <w:sz w:val="24"/>
          <w:szCs w:val="24"/>
        </w:rPr>
        <w:t xml:space="preserve"> para </w:t>
      </w:r>
      <w:r w:rsidR="00270656" w:rsidRPr="00E7237D">
        <w:rPr>
          <w:rFonts w:ascii="Arial" w:hAnsi="Arial" w:cs="Arial"/>
          <w:sz w:val="24"/>
          <w:szCs w:val="24"/>
        </w:rPr>
        <w:t>a homologação das sentenças</w:t>
      </w:r>
      <w:r w:rsidR="00545F1F">
        <w:rPr>
          <w:rFonts w:ascii="Arial" w:hAnsi="Arial" w:cs="Arial"/>
          <w:sz w:val="24"/>
          <w:szCs w:val="24"/>
        </w:rPr>
        <w:t xml:space="preserve"> estrangeiras e a concessão do </w:t>
      </w:r>
      <w:commentRangeStart w:id="37"/>
      <w:proofErr w:type="spellStart"/>
      <w:r w:rsidR="00270656" w:rsidRPr="00545F1F">
        <w:rPr>
          <w:rFonts w:ascii="Arial" w:hAnsi="Arial" w:cs="Arial"/>
          <w:i/>
          <w:sz w:val="24"/>
          <w:szCs w:val="24"/>
        </w:rPr>
        <w:t>exequatur</w:t>
      </w:r>
      <w:proofErr w:type="spellEnd"/>
      <w:r w:rsidR="00545F1F">
        <w:rPr>
          <w:rStyle w:val="Refdenotaderodap"/>
          <w:rFonts w:ascii="Arial" w:hAnsi="Arial" w:cs="Arial"/>
          <w:i/>
          <w:sz w:val="24"/>
          <w:szCs w:val="24"/>
        </w:rPr>
        <w:footnoteReference w:id="1"/>
      </w:r>
      <w:r w:rsidR="00270656" w:rsidRPr="00E7237D">
        <w:rPr>
          <w:rFonts w:ascii="Arial" w:hAnsi="Arial" w:cs="Arial"/>
          <w:sz w:val="24"/>
          <w:szCs w:val="24"/>
        </w:rPr>
        <w:t xml:space="preserve"> </w:t>
      </w:r>
      <w:commentRangeEnd w:id="37"/>
      <w:r w:rsidR="003E3A64">
        <w:rPr>
          <w:rStyle w:val="Refdecomentrio"/>
        </w:rPr>
        <w:commentReference w:id="37"/>
      </w:r>
      <w:r w:rsidR="00270656" w:rsidRPr="00E7237D">
        <w:rPr>
          <w:rFonts w:ascii="Arial" w:hAnsi="Arial" w:cs="Arial"/>
          <w:sz w:val="24"/>
          <w:szCs w:val="24"/>
        </w:rPr>
        <w:t>às cartas rogatórias</w:t>
      </w:r>
      <w:r w:rsidR="00767E0A">
        <w:rPr>
          <w:rFonts w:ascii="Arial" w:hAnsi="Arial" w:cs="Arial"/>
          <w:sz w:val="24"/>
          <w:szCs w:val="24"/>
        </w:rPr>
        <w:t xml:space="preserve"> (n</w:t>
      </w:r>
      <w:r w:rsidR="0058366A">
        <w:rPr>
          <w:rFonts w:ascii="Arial" w:hAnsi="Arial" w:cs="Arial"/>
          <w:sz w:val="24"/>
          <w:szCs w:val="24"/>
        </w:rPr>
        <w:t xml:space="preserve">esse sentido também era o Código de Processo Civil de 1973, </w:t>
      </w:r>
      <w:r w:rsidR="00767E0A">
        <w:rPr>
          <w:rFonts w:ascii="Arial" w:hAnsi="Arial" w:cs="Arial"/>
          <w:sz w:val="24"/>
          <w:szCs w:val="24"/>
        </w:rPr>
        <w:t xml:space="preserve">que em seus </w:t>
      </w:r>
      <w:proofErr w:type="spellStart"/>
      <w:r w:rsidR="00B73677">
        <w:rPr>
          <w:rFonts w:ascii="Arial" w:hAnsi="Arial" w:cs="Arial"/>
          <w:sz w:val="24"/>
          <w:szCs w:val="24"/>
        </w:rPr>
        <w:t>arts</w:t>
      </w:r>
      <w:proofErr w:type="spellEnd"/>
      <w:r w:rsidR="00B73677">
        <w:rPr>
          <w:rFonts w:ascii="Arial" w:hAnsi="Arial" w:cs="Arial"/>
          <w:sz w:val="24"/>
          <w:szCs w:val="24"/>
        </w:rPr>
        <w:t xml:space="preserve">. </w:t>
      </w:r>
      <w:r w:rsidR="00767E0A">
        <w:rPr>
          <w:rFonts w:ascii="Arial" w:hAnsi="Arial" w:cs="Arial"/>
          <w:sz w:val="24"/>
          <w:szCs w:val="24"/>
        </w:rPr>
        <w:t>483 e 484 também previa essa competência ao STF).</w:t>
      </w:r>
      <w:r w:rsidR="007A1901">
        <w:rPr>
          <w:rFonts w:ascii="Arial" w:hAnsi="Arial" w:cs="Arial"/>
          <w:sz w:val="24"/>
          <w:szCs w:val="24"/>
        </w:rPr>
        <w:t xml:space="preserve"> </w:t>
      </w:r>
      <w:r w:rsidR="00767E0A">
        <w:rPr>
          <w:rFonts w:ascii="Arial" w:hAnsi="Arial" w:cs="Arial"/>
          <w:sz w:val="24"/>
          <w:szCs w:val="24"/>
        </w:rPr>
        <w:t>Entretanto, com a Emenda Constitucional nº 45/2004, tal atribuição jurisdicional foi transferida ao Superior Tribunal de Justiça (incluiu-se a alínea “i’” no inciso I do art. 105 da CRFB/</w:t>
      </w:r>
      <w:r w:rsidR="00B73677">
        <w:rPr>
          <w:rFonts w:ascii="Arial" w:hAnsi="Arial" w:cs="Arial"/>
          <w:sz w:val="24"/>
          <w:szCs w:val="24"/>
        </w:rPr>
        <w:t>19</w:t>
      </w:r>
      <w:r w:rsidR="00767E0A">
        <w:rPr>
          <w:rFonts w:ascii="Arial" w:hAnsi="Arial" w:cs="Arial"/>
          <w:sz w:val="24"/>
          <w:szCs w:val="24"/>
        </w:rPr>
        <w:t>88).</w:t>
      </w:r>
      <w:r w:rsidR="00F05E14">
        <w:rPr>
          <w:rFonts w:ascii="Arial" w:hAnsi="Arial" w:cs="Arial"/>
          <w:sz w:val="24"/>
          <w:szCs w:val="24"/>
        </w:rPr>
        <w:t xml:space="preserve"> Também nesse sentido já se adaptou o Novo Código de Processo Civil (Lei 13.105/2015), que corrigiu o vício superveniente de seu antecessor. </w:t>
      </w:r>
      <w:r w:rsidR="007A1901">
        <w:rPr>
          <w:rFonts w:ascii="Arial" w:hAnsi="Arial" w:cs="Arial"/>
          <w:sz w:val="24"/>
          <w:szCs w:val="24"/>
        </w:rPr>
        <w:t>Quanto ao ponto, v</w:t>
      </w:r>
      <w:r w:rsidR="00F05E14">
        <w:rPr>
          <w:rFonts w:ascii="Arial" w:hAnsi="Arial" w:cs="Arial"/>
          <w:sz w:val="24"/>
          <w:szCs w:val="24"/>
        </w:rPr>
        <w:t xml:space="preserve">ale a pena checar o </w:t>
      </w:r>
      <w:commentRangeStart w:id="38"/>
      <w:r w:rsidR="00F05E14">
        <w:rPr>
          <w:rFonts w:ascii="Arial" w:hAnsi="Arial" w:cs="Arial"/>
          <w:sz w:val="24"/>
          <w:szCs w:val="24"/>
        </w:rPr>
        <w:t>art. 960 do NCPC!</w:t>
      </w:r>
      <w:commentRangeEnd w:id="38"/>
      <w:r w:rsidR="005D19C1">
        <w:rPr>
          <w:rStyle w:val="Refdecomentrio"/>
        </w:rPr>
        <w:commentReference w:id="38"/>
      </w:r>
    </w:p>
    <w:p w14:paraId="3F75E59E" w14:textId="153D1C7C" w:rsidR="00225F13" w:rsidRDefault="00225F13"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7A1901">
        <w:rPr>
          <w:rFonts w:ascii="Arial" w:hAnsi="Arial" w:cs="Arial"/>
          <w:sz w:val="24"/>
          <w:szCs w:val="24"/>
        </w:rPr>
        <w:t xml:space="preserve">Além de tais competências originárias, o </w:t>
      </w:r>
      <w:r w:rsidR="004E10F6">
        <w:rPr>
          <w:rFonts w:ascii="Arial" w:hAnsi="Arial" w:cs="Arial"/>
          <w:sz w:val="24"/>
          <w:szCs w:val="24"/>
        </w:rPr>
        <w:t>STF</w:t>
      </w:r>
      <w:r w:rsidR="007A1901">
        <w:rPr>
          <w:rFonts w:ascii="Arial" w:hAnsi="Arial" w:cs="Arial"/>
          <w:sz w:val="24"/>
          <w:szCs w:val="24"/>
        </w:rPr>
        <w:t xml:space="preserve"> também possui atribuições recursais, seja em relação ao recurso ordinário (inciso II) ou ao recurso extraordinário (inciso III). É nesse último campo, no âmbito do recurso extraordinário, que surge o instituto da repercussão geral, tal como exige o citado § 3º do art. 102 do texto constitucional. Entretanto, como veremos, não se trata de exigência constante do texto original da Constituição de 1988, sendo fruto da atuação do constituinte derivado, especificamente pela Emenda Constitucional nº 45/2004, conhecida como a </w:t>
      </w:r>
      <w:r w:rsidR="003641BE">
        <w:rPr>
          <w:rFonts w:ascii="Arial" w:hAnsi="Arial" w:cs="Arial"/>
          <w:sz w:val="24"/>
          <w:szCs w:val="24"/>
        </w:rPr>
        <w:t>e</w:t>
      </w:r>
      <w:r w:rsidR="007A1901">
        <w:rPr>
          <w:rFonts w:ascii="Arial" w:hAnsi="Arial" w:cs="Arial"/>
          <w:sz w:val="24"/>
          <w:szCs w:val="24"/>
        </w:rPr>
        <w:t>menda da “Reforma do Judiciário”. Foi essa alteração a responsável, por exemplo, pela criação do Conselho Nacional de Justiça (CNJ) e do Conselho Nacional do Ministério Público</w:t>
      </w:r>
      <w:r w:rsidR="00D249C0">
        <w:rPr>
          <w:rFonts w:ascii="Arial" w:hAnsi="Arial" w:cs="Arial"/>
          <w:sz w:val="24"/>
          <w:szCs w:val="24"/>
        </w:rPr>
        <w:t xml:space="preserve"> (CNMP)</w:t>
      </w:r>
      <w:r w:rsidR="007A1901">
        <w:rPr>
          <w:rFonts w:ascii="Arial" w:hAnsi="Arial" w:cs="Arial"/>
          <w:sz w:val="24"/>
          <w:szCs w:val="24"/>
        </w:rPr>
        <w:t xml:space="preserve">, </w:t>
      </w:r>
      <w:r w:rsidR="003D3212">
        <w:rPr>
          <w:rFonts w:ascii="Arial" w:hAnsi="Arial" w:cs="Arial"/>
          <w:sz w:val="24"/>
          <w:szCs w:val="24"/>
        </w:rPr>
        <w:t>além de</w:t>
      </w:r>
      <w:r w:rsidR="007A1901">
        <w:rPr>
          <w:rFonts w:ascii="Arial" w:hAnsi="Arial" w:cs="Arial"/>
          <w:sz w:val="24"/>
          <w:szCs w:val="24"/>
        </w:rPr>
        <w:t xml:space="preserve"> outras</w:t>
      </w:r>
      <w:r w:rsidR="00C025E6">
        <w:rPr>
          <w:rFonts w:ascii="Arial" w:hAnsi="Arial" w:cs="Arial"/>
          <w:sz w:val="24"/>
          <w:szCs w:val="24"/>
        </w:rPr>
        <w:t xml:space="preserve"> várias disposições relevantes.</w:t>
      </w:r>
    </w:p>
    <w:p w14:paraId="28F6BEFC" w14:textId="02B95FFE" w:rsidR="00C025E6" w:rsidRDefault="00225F13"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lastRenderedPageBreak/>
        <w:tab/>
      </w:r>
      <w:r w:rsidR="00C025E6">
        <w:rPr>
          <w:rFonts w:ascii="Arial" w:hAnsi="Arial" w:cs="Arial"/>
          <w:sz w:val="24"/>
          <w:szCs w:val="24"/>
        </w:rPr>
        <w:t xml:space="preserve">Por fim, cumpre lembrar que o </w:t>
      </w:r>
      <w:r w:rsidR="00C025E6" w:rsidRPr="00C025E6">
        <w:rPr>
          <w:rFonts w:ascii="Arial" w:hAnsi="Arial" w:cs="Arial"/>
          <w:sz w:val="24"/>
          <w:szCs w:val="24"/>
        </w:rPr>
        <w:t>Supremo Tribunal Federal</w:t>
      </w:r>
      <w:r w:rsidR="00C025E6">
        <w:rPr>
          <w:rFonts w:ascii="Arial" w:hAnsi="Arial" w:cs="Arial"/>
          <w:sz w:val="24"/>
          <w:szCs w:val="24"/>
        </w:rPr>
        <w:t xml:space="preserve"> já se pronunciou diversas vezes no sentido de que </w:t>
      </w:r>
      <w:r w:rsidR="00984535">
        <w:rPr>
          <w:rFonts w:ascii="Arial" w:hAnsi="Arial" w:cs="Arial"/>
          <w:sz w:val="24"/>
          <w:szCs w:val="24"/>
        </w:rPr>
        <w:t xml:space="preserve">o </w:t>
      </w:r>
      <w:r w:rsidR="00C025E6">
        <w:rPr>
          <w:rFonts w:ascii="Arial" w:hAnsi="Arial" w:cs="Arial"/>
          <w:sz w:val="24"/>
          <w:szCs w:val="24"/>
        </w:rPr>
        <w:t>rol constitucional de suas competências é taxativo, isto é, rígido e fechado, não comportando ampliação por norma infraconstitucional. Nesse sentido, podem ser destacados os seguintes precedentes</w:t>
      </w:r>
      <w:r w:rsidR="008A3106">
        <w:rPr>
          <w:rFonts w:ascii="Arial" w:hAnsi="Arial" w:cs="Arial"/>
          <w:sz w:val="24"/>
          <w:szCs w:val="24"/>
        </w:rPr>
        <w:t xml:space="preserve"> (grifos nossos)</w:t>
      </w:r>
      <w:r w:rsidR="00C025E6">
        <w:rPr>
          <w:rFonts w:ascii="Arial" w:hAnsi="Arial" w:cs="Arial"/>
          <w:sz w:val="24"/>
          <w:szCs w:val="24"/>
        </w:rPr>
        <w:t>:</w:t>
      </w:r>
    </w:p>
    <w:p w14:paraId="4FD89EF3" w14:textId="77777777" w:rsidR="00D13FE5" w:rsidRDefault="00D13FE5" w:rsidP="007A0BF5">
      <w:pPr>
        <w:spacing w:before="120" w:after="120"/>
        <w:ind w:left="2268"/>
        <w:jc w:val="both"/>
        <w:rPr>
          <w:rFonts w:ascii="Arial" w:eastAsia="Times New Roman" w:hAnsi="Arial" w:cs="Arial"/>
          <w:sz w:val="20"/>
          <w:szCs w:val="20"/>
          <w:lang w:eastAsia="pt-BR"/>
        </w:rPr>
      </w:pPr>
    </w:p>
    <w:p w14:paraId="1D098232" w14:textId="66BB72D3" w:rsidR="008A3106" w:rsidRPr="004F0CDC" w:rsidRDefault="008A3106" w:rsidP="00A46BA0">
      <w:pPr>
        <w:spacing w:before="120" w:after="120" w:line="240" w:lineRule="auto"/>
        <w:ind w:left="2268"/>
        <w:jc w:val="both"/>
        <w:rPr>
          <w:rFonts w:ascii="Arial" w:eastAsia="Times New Roman" w:hAnsi="Arial" w:cs="Arial"/>
          <w:sz w:val="20"/>
          <w:szCs w:val="20"/>
          <w:lang w:eastAsia="pt-BR"/>
        </w:rPr>
      </w:pPr>
      <w:r w:rsidRPr="004F0CDC">
        <w:rPr>
          <w:rFonts w:ascii="Arial" w:eastAsia="Times New Roman" w:hAnsi="Arial" w:cs="Arial"/>
          <w:sz w:val="20"/>
          <w:szCs w:val="20"/>
          <w:lang w:eastAsia="pt-BR"/>
        </w:rPr>
        <w:t xml:space="preserve">RECLAMAÇÃO – INVIABILIDADE – INOCORRÊNCIA DOS PRESSUPOSTOS QUE AUTORIZAM A SUA UTILIZAÇÃO – INEXISTÊNCIA, NO CASO, DE SITUAÇÃO CARACTERIZADORA DE USURPAÇÃO DE COMPETÊNCIA DESTA SUPREMA CORTE – ACÓRDÃO PROFERIDO, EM SEDE DE MANDADO DE SEGURANÇA, PELO E. TRIBUNAL REGIONAL ELEITORAL DO ESTADO DO PIAUÍ EM FACE DE ATO COATOR IMPUTÁVEL AO PRESIDENTE DESSE MESMO E. TRIBUNAL, E NÃO, COMO ALEGADO NESTA SEDE RECLAMATÓRIA, AO CONSELHO NACIONAL DE JUSTIÇA (CNJ) – A QUESTÃO DAS ATRIBUIÇÕES JURISDICIONAIS ORIGINÁRIAS DO SUPREMO TRIBUNAL FEDERAL (CF, ART. 102, I, “d”) – </w:t>
      </w:r>
      <w:r w:rsidRPr="004F0CDC">
        <w:rPr>
          <w:rFonts w:ascii="Arial" w:eastAsia="Times New Roman" w:hAnsi="Arial" w:cs="Arial"/>
          <w:b/>
          <w:bCs/>
          <w:sz w:val="20"/>
          <w:szCs w:val="20"/>
          <w:lang w:eastAsia="pt-BR"/>
        </w:rPr>
        <w:t>CARÁTER ESTRITO E TAXATIVO DO ROL FUNDADO NO ART. 102 DA CONSTITUIÇÃO DA REPÚBLICA</w:t>
      </w:r>
      <w:r w:rsidRPr="004F0CDC">
        <w:rPr>
          <w:rFonts w:ascii="Arial" w:eastAsia="Times New Roman" w:hAnsi="Arial" w:cs="Arial"/>
          <w:sz w:val="20"/>
          <w:szCs w:val="20"/>
          <w:lang w:eastAsia="pt-BR"/>
        </w:rPr>
        <w:t xml:space="preserve"> – REGRA DE COMPETÊNCIA QUE NÃO COMPREENDE A APRECIAÇÃO DE MANDADO DE SEGURANÇA DEDUZIDO CONTRA ATO EMANADO DE TRIBUNAL REGIONAL ELEITORAL – SÚMULA</w:t>
      </w:r>
      <w:r w:rsidR="00D13FE5" w:rsidRPr="004F0CDC">
        <w:rPr>
          <w:rFonts w:ascii="Arial" w:eastAsia="Times New Roman" w:hAnsi="Arial" w:cs="Arial"/>
          <w:sz w:val="20"/>
          <w:szCs w:val="20"/>
          <w:lang w:eastAsia="pt-BR"/>
        </w:rPr>
        <w:t xml:space="preserve"> Nº</w:t>
      </w:r>
      <w:r w:rsidRPr="004F0CDC">
        <w:rPr>
          <w:rFonts w:ascii="Arial" w:eastAsia="Times New Roman" w:hAnsi="Arial" w:cs="Arial"/>
          <w:sz w:val="20"/>
          <w:szCs w:val="20"/>
          <w:lang w:eastAsia="pt-BR"/>
        </w:rPr>
        <w:t xml:space="preserve"> 624/STF – RECURSO DE AGRAVO IMPROVIDO. (</w:t>
      </w:r>
      <w:proofErr w:type="spellStart"/>
      <w:r w:rsidRPr="004F0CDC">
        <w:rPr>
          <w:rFonts w:ascii="Arial" w:eastAsia="Times New Roman" w:hAnsi="Arial" w:cs="Arial"/>
          <w:sz w:val="20"/>
          <w:szCs w:val="20"/>
          <w:lang w:eastAsia="pt-BR"/>
        </w:rPr>
        <w:t>Rcl</w:t>
      </w:r>
      <w:proofErr w:type="spellEnd"/>
      <w:r w:rsidRPr="004F0CDC">
        <w:rPr>
          <w:rFonts w:ascii="Arial" w:eastAsia="Times New Roman" w:hAnsi="Arial" w:cs="Arial"/>
          <w:sz w:val="20"/>
          <w:szCs w:val="20"/>
          <w:lang w:eastAsia="pt-BR"/>
        </w:rPr>
        <w:t xml:space="preserve"> 14.566-AgR, </w:t>
      </w:r>
      <w:r w:rsidR="00D249C0" w:rsidRPr="004F0CDC">
        <w:rPr>
          <w:rFonts w:ascii="Arial" w:eastAsia="Times New Roman" w:hAnsi="Arial" w:cs="Arial"/>
          <w:sz w:val="20"/>
          <w:szCs w:val="20"/>
          <w:lang w:eastAsia="pt-BR"/>
        </w:rPr>
        <w:t>R</w:t>
      </w:r>
      <w:r w:rsidRPr="004F0CDC">
        <w:rPr>
          <w:rFonts w:ascii="Arial" w:eastAsia="Times New Roman" w:hAnsi="Arial" w:cs="Arial"/>
          <w:sz w:val="20"/>
          <w:szCs w:val="20"/>
          <w:lang w:eastAsia="pt-BR"/>
        </w:rPr>
        <w:t xml:space="preserve">el. Min. Celso de Mello, Segunda Turma, </w:t>
      </w:r>
      <w:r w:rsidRPr="00A46BA0">
        <w:rPr>
          <w:rFonts w:ascii="Arial" w:eastAsia="Times New Roman" w:hAnsi="Arial" w:cs="Arial"/>
          <w:i/>
          <w:sz w:val="20"/>
          <w:szCs w:val="20"/>
          <w:lang w:eastAsia="pt-BR"/>
        </w:rPr>
        <w:t>DJ</w:t>
      </w:r>
      <w:r w:rsidR="00D249C0" w:rsidRPr="00A46BA0">
        <w:rPr>
          <w:rFonts w:ascii="Arial" w:eastAsia="Times New Roman" w:hAnsi="Arial" w:cs="Arial"/>
          <w:i/>
          <w:sz w:val="20"/>
          <w:szCs w:val="20"/>
          <w:lang w:eastAsia="pt-BR"/>
        </w:rPr>
        <w:t>E</w:t>
      </w:r>
      <w:r w:rsidRPr="004F0CDC">
        <w:rPr>
          <w:rFonts w:ascii="Arial" w:eastAsia="Times New Roman" w:hAnsi="Arial" w:cs="Arial"/>
          <w:sz w:val="20"/>
          <w:szCs w:val="20"/>
          <w:lang w:eastAsia="pt-BR"/>
        </w:rPr>
        <w:t xml:space="preserve"> de 4/5/2015</w:t>
      </w:r>
      <w:r w:rsidR="00D249C0"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w:t>
      </w:r>
    </w:p>
    <w:p w14:paraId="10D477EE" w14:textId="77777777" w:rsidR="008A3106" w:rsidRPr="004F0CDC" w:rsidRDefault="008A3106" w:rsidP="007A0BF5">
      <w:pPr>
        <w:spacing w:before="120" w:after="120" w:line="240" w:lineRule="auto"/>
        <w:ind w:left="1701" w:firstLine="709"/>
        <w:jc w:val="both"/>
        <w:rPr>
          <w:rFonts w:ascii="Arial" w:eastAsia="Times New Roman" w:hAnsi="Arial" w:cs="Arial"/>
          <w:sz w:val="20"/>
          <w:szCs w:val="20"/>
          <w:lang w:eastAsia="pt-BR"/>
        </w:rPr>
      </w:pPr>
    </w:p>
    <w:p w14:paraId="4209AF0A" w14:textId="23E96614" w:rsidR="008A3106" w:rsidRPr="004F0CDC" w:rsidRDefault="008A3106" w:rsidP="007A0BF5">
      <w:pPr>
        <w:spacing w:before="120" w:after="120" w:line="240" w:lineRule="auto"/>
        <w:ind w:left="2268"/>
        <w:jc w:val="both"/>
        <w:rPr>
          <w:rFonts w:ascii="Arial" w:eastAsia="Times New Roman" w:hAnsi="Arial" w:cs="Arial"/>
          <w:sz w:val="20"/>
          <w:szCs w:val="20"/>
          <w:lang w:eastAsia="pt-BR"/>
        </w:rPr>
      </w:pPr>
      <w:r w:rsidRPr="004F0CDC">
        <w:rPr>
          <w:rFonts w:ascii="Arial" w:eastAsia="Times New Roman" w:hAnsi="Arial" w:cs="Arial"/>
          <w:sz w:val="20"/>
          <w:szCs w:val="20"/>
          <w:lang w:eastAsia="pt-BR"/>
        </w:rPr>
        <w:t xml:space="preserve">Agravo regimental em ação originária. Falta de impugnação dos fundamentos da decisão agravada. Incompetência do Supremo Tribunal Federal para apreciar originariamente a demanda. Não provimento do agravo. 1. Os fundamentos da decisão agravada não foram infirmados pelo agravante. Não subsiste o agravo regimental que deixa de atacar especificamente os fundamentos da decisão monocrática (art. 317, § 1º, RISTF). Precedentes. 2. </w:t>
      </w:r>
      <w:r w:rsidRPr="004F0CDC">
        <w:rPr>
          <w:rFonts w:ascii="Arial" w:eastAsia="Times New Roman" w:hAnsi="Arial" w:cs="Arial"/>
          <w:b/>
          <w:bCs/>
          <w:sz w:val="20"/>
          <w:szCs w:val="20"/>
          <w:lang w:eastAsia="pt-BR"/>
        </w:rPr>
        <w:t>A competência originária do Supremo Tribunal Federal submete-se a regime de direito estrito. Hipóteses taxativamente previstas no art. 102, inciso I, da Constituição</w:t>
      </w:r>
      <w:r w:rsidRPr="004F0CDC">
        <w:rPr>
          <w:rFonts w:ascii="Arial" w:eastAsia="Times New Roman" w:hAnsi="Arial" w:cs="Arial"/>
          <w:sz w:val="20"/>
          <w:szCs w:val="20"/>
          <w:lang w:eastAsia="pt-BR"/>
        </w:rPr>
        <w:t xml:space="preserve">. Precedentes. 3. Agravo regimental não provido. (AO 7.971-AgR, </w:t>
      </w:r>
      <w:r w:rsidR="00D249C0" w:rsidRPr="004F0CDC">
        <w:rPr>
          <w:rFonts w:ascii="Arial" w:eastAsia="Times New Roman" w:hAnsi="Arial" w:cs="Arial"/>
          <w:sz w:val="20"/>
          <w:szCs w:val="20"/>
          <w:lang w:eastAsia="pt-BR"/>
        </w:rPr>
        <w:t>Rel. Min.</w:t>
      </w:r>
      <w:r w:rsidRPr="004F0CDC">
        <w:rPr>
          <w:rFonts w:ascii="Arial" w:eastAsia="Times New Roman" w:hAnsi="Arial" w:cs="Arial"/>
          <w:sz w:val="20"/>
          <w:szCs w:val="20"/>
          <w:lang w:eastAsia="pt-BR"/>
        </w:rPr>
        <w:t xml:space="preserve"> Dias </w:t>
      </w:r>
      <w:proofErr w:type="spellStart"/>
      <w:r w:rsidRPr="004F0CDC">
        <w:rPr>
          <w:rFonts w:ascii="Arial" w:eastAsia="Times New Roman" w:hAnsi="Arial" w:cs="Arial"/>
          <w:sz w:val="20"/>
          <w:szCs w:val="20"/>
          <w:lang w:eastAsia="pt-BR"/>
        </w:rPr>
        <w:t>Toffoli</w:t>
      </w:r>
      <w:proofErr w:type="spellEnd"/>
      <w:r w:rsidRPr="004F0CDC">
        <w:rPr>
          <w:rFonts w:ascii="Arial" w:eastAsia="Times New Roman" w:hAnsi="Arial" w:cs="Arial"/>
          <w:sz w:val="20"/>
          <w:szCs w:val="20"/>
          <w:lang w:eastAsia="pt-BR"/>
        </w:rPr>
        <w:t xml:space="preserve">, Segunda Turma, </w:t>
      </w:r>
      <w:r w:rsidR="00D249C0" w:rsidRPr="004F0CDC">
        <w:rPr>
          <w:rFonts w:ascii="Arial" w:eastAsia="Times New Roman" w:hAnsi="Arial" w:cs="Arial"/>
          <w:i/>
          <w:sz w:val="20"/>
          <w:szCs w:val="20"/>
          <w:lang w:eastAsia="pt-BR"/>
        </w:rPr>
        <w:t>DJE</w:t>
      </w:r>
      <w:r w:rsidRPr="004F0CDC">
        <w:rPr>
          <w:rFonts w:ascii="Arial" w:eastAsia="Times New Roman" w:hAnsi="Arial" w:cs="Arial"/>
          <w:sz w:val="20"/>
          <w:szCs w:val="20"/>
          <w:lang w:eastAsia="pt-BR"/>
        </w:rPr>
        <w:t xml:space="preserve"> de 15/4/2015</w:t>
      </w:r>
      <w:r w:rsidR="00D249C0"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w:t>
      </w:r>
    </w:p>
    <w:p w14:paraId="088CFAB6" w14:textId="77777777" w:rsidR="008A3106" w:rsidRPr="004F0CDC" w:rsidRDefault="008A3106" w:rsidP="007A0BF5">
      <w:pPr>
        <w:spacing w:before="120" w:after="120" w:line="240" w:lineRule="auto"/>
        <w:ind w:left="1701" w:firstLine="709"/>
        <w:jc w:val="both"/>
        <w:rPr>
          <w:rFonts w:ascii="Arial" w:eastAsia="Times New Roman" w:hAnsi="Arial" w:cs="Arial"/>
          <w:sz w:val="20"/>
          <w:szCs w:val="20"/>
          <w:lang w:eastAsia="pt-BR"/>
        </w:rPr>
      </w:pPr>
    </w:p>
    <w:p w14:paraId="237AD70F" w14:textId="20E5F5FC" w:rsidR="008A3106" w:rsidRPr="004F0CDC" w:rsidRDefault="008A3106" w:rsidP="007A0BF5">
      <w:pPr>
        <w:spacing w:before="120" w:after="120" w:line="240" w:lineRule="auto"/>
        <w:ind w:left="2268"/>
        <w:jc w:val="both"/>
        <w:rPr>
          <w:rFonts w:ascii="Arial" w:eastAsia="Times New Roman" w:hAnsi="Arial" w:cs="Arial"/>
          <w:sz w:val="20"/>
          <w:szCs w:val="20"/>
          <w:lang w:eastAsia="pt-BR"/>
        </w:rPr>
      </w:pPr>
      <w:r w:rsidRPr="004F0CDC">
        <w:rPr>
          <w:rFonts w:ascii="Arial" w:eastAsia="Times New Roman" w:hAnsi="Arial" w:cs="Arial"/>
          <w:sz w:val="20"/>
          <w:szCs w:val="20"/>
          <w:lang w:eastAsia="pt-BR"/>
        </w:rPr>
        <w:t xml:space="preserve">PENAL E PROCESSUAL PENAL. </w:t>
      </w:r>
      <w:r w:rsidRPr="007A0BF5">
        <w:rPr>
          <w:rFonts w:ascii="Arial" w:eastAsia="Times New Roman" w:hAnsi="Arial" w:cs="Arial"/>
          <w:i/>
          <w:sz w:val="20"/>
          <w:szCs w:val="20"/>
          <w:lang w:eastAsia="pt-BR"/>
        </w:rPr>
        <w:t>HABEAS CORPUS</w:t>
      </w:r>
      <w:r w:rsidRPr="004F0CDC">
        <w:rPr>
          <w:rFonts w:ascii="Arial" w:eastAsia="Times New Roman" w:hAnsi="Arial" w:cs="Arial"/>
          <w:sz w:val="20"/>
          <w:szCs w:val="20"/>
          <w:lang w:eastAsia="pt-BR"/>
        </w:rPr>
        <w:t xml:space="preserve"> SUBSTITUTIVO DE RECURSO ORDINÁRIO. TRÁFICO DE DROGAS. PRISÃO PREVENTIVA. AUSÊNCIA DE FUNDAMENTAÇÃO. CONSTRANGIMENTO ILEGAL. ORDEM CONCEDIDA </w:t>
      </w:r>
      <w:r w:rsidRPr="007A0BF5">
        <w:rPr>
          <w:rFonts w:ascii="Arial" w:eastAsia="Times New Roman" w:hAnsi="Arial" w:cs="Arial"/>
          <w:i/>
          <w:sz w:val="20"/>
          <w:szCs w:val="20"/>
          <w:lang w:eastAsia="pt-BR"/>
        </w:rPr>
        <w:t>EX OFFICIO</w:t>
      </w:r>
      <w:r w:rsidRPr="004F0CDC">
        <w:rPr>
          <w:rFonts w:ascii="Arial" w:eastAsia="Times New Roman" w:hAnsi="Arial" w:cs="Arial"/>
          <w:sz w:val="20"/>
          <w:szCs w:val="20"/>
          <w:lang w:eastAsia="pt-BR"/>
        </w:rPr>
        <w:t xml:space="preserve">. 1. Não cabe ao Supremo Tribunal Federal julgar </w:t>
      </w:r>
      <w:r w:rsidRPr="007A0BF5">
        <w:rPr>
          <w:rFonts w:ascii="Arial" w:eastAsia="Times New Roman" w:hAnsi="Arial" w:cs="Arial"/>
          <w:i/>
          <w:sz w:val="20"/>
          <w:szCs w:val="20"/>
          <w:lang w:eastAsia="pt-BR"/>
        </w:rPr>
        <w:t>habeas corpus</w:t>
      </w:r>
      <w:r w:rsidRPr="004F0CDC">
        <w:rPr>
          <w:rFonts w:ascii="Arial" w:eastAsia="Times New Roman" w:hAnsi="Arial" w:cs="Arial"/>
          <w:sz w:val="20"/>
          <w:szCs w:val="20"/>
          <w:lang w:eastAsia="pt-BR"/>
        </w:rPr>
        <w:t xml:space="preserve"> substitutivo de recurso ordinário, </w:t>
      </w:r>
      <w:r w:rsidRPr="007A0BF5">
        <w:rPr>
          <w:rFonts w:ascii="Arial" w:eastAsia="Times New Roman" w:hAnsi="Arial" w:cs="Arial"/>
          <w:b/>
          <w:sz w:val="20"/>
          <w:szCs w:val="20"/>
          <w:lang w:eastAsia="pt-BR"/>
        </w:rPr>
        <w:t>e</w:t>
      </w:r>
      <w:r w:rsidRPr="004F0CDC">
        <w:rPr>
          <w:rFonts w:ascii="Arial" w:eastAsia="Times New Roman" w:hAnsi="Arial" w:cs="Arial"/>
          <w:b/>
          <w:bCs/>
          <w:sz w:val="20"/>
          <w:szCs w:val="20"/>
          <w:lang w:eastAsia="pt-BR"/>
        </w:rPr>
        <w:t xml:space="preserve">m razão da taxatividade da competência da Corte definida em rol </w:t>
      </w:r>
      <w:proofErr w:type="spellStart"/>
      <w:r w:rsidRPr="004F0CDC">
        <w:rPr>
          <w:rFonts w:ascii="Arial" w:eastAsia="Times New Roman" w:hAnsi="Arial" w:cs="Arial"/>
          <w:b/>
          <w:bCs/>
          <w:i/>
          <w:iCs/>
          <w:sz w:val="20"/>
          <w:szCs w:val="20"/>
          <w:lang w:eastAsia="pt-BR"/>
        </w:rPr>
        <w:t>numerus</w:t>
      </w:r>
      <w:proofErr w:type="spellEnd"/>
      <w:r w:rsidRPr="004F0CDC">
        <w:rPr>
          <w:rFonts w:ascii="Arial" w:eastAsia="Times New Roman" w:hAnsi="Arial" w:cs="Arial"/>
          <w:b/>
          <w:bCs/>
          <w:i/>
          <w:iCs/>
          <w:sz w:val="20"/>
          <w:szCs w:val="20"/>
          <w:lang w:eastAsia="pt-BR"/>
        </w:rPr>
        <w:t xml:space="preserve"> </w:t>
      </w:r>
      <w:proofErr w:type="spellStart"/>
      <w:r w:rsidRPr="004F0CDC">
        <w:rPr>
          <w:rFonts w:ascii="Arial" w:eastAsia="Times New Roman" w:hAnsi="Arial" w:cs="Arial"/>
          <w:b/>
          <w:bCs/>
          <w:i/>
          <w:iCs/>
          <w:sz w:val="20"/>
          <w:szCs w:val="20"/>
          <w:lang w:eastAsia="pt-BR"/>
        </w:rPr>
        <w:t>clausus</w:t>
      </w:r>
      <w:proofErr w:type="spellEnd"/>
      <w:r w:rsidRPr="004F0CDC">
        <w:rPr>
          <w:rFonts w:ascii="Arial" w:eastAsia="Times New Roman" w:hAnsi="Arial" w:cs="Arial"/>
          <w:b/>
          <w:bCs/>
          <w:sz w:val="20"/>
          <w:szCs w:val="20"/>
          <w:lang w:eastAsia="pt-BR"/>
        </w:rPr>
        <w:t xml:space="preserve"> pela Constituição da República</w:t>
      </w:r>
      <w:r w:rsidRPr="004F0CDC">
        <w:rPr>
          <w:rFonts w:ascii="Arial" w:eastAsia="Times New Roman" w:hAnsi="Arial" w:cs="Arial"/>
          <w:sz w:val="20"/>
          <w:szCs w:val="20"/>
          <w:lang w:eastAsia="pt-BR"/>
        </w:rPr>
        <w:t xml:space="preserve"> (CF, art. 102, I, </w:t>
      </w:r>
      <w:r w:rsidR="00D13FE5"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d</w:t>
      </w:r>
      <w:r w:rsidR="00D13FE5"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 xml:space="preserve"> e </w:t>
      </w:r>
      <w:r w:rsidR="00D13FE5"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i</w:t>
      </w:r>
      <w:r w:rsidR="00D13FE5"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 xml:space="preserve">). Precedente: HC 109.956, </w:t>
      </w:r>
      <w:r w:rsidR="00D249C0" w:rsidRPr="004F0CDC">
        <w:rPr>
          <w:rFonts w:ascii="Arial" w:eastAsia="Times New Roman" w:hAnsi="Arial" w:cs="Arial"/>
          <w:sz w:val="20"/>
          <w:szCs w:val="20"/>
          <w:lang w:eastAsia="pt-BR"/>
        </w:rPr>
        <w:t>Rel. Min.</w:t>
      </w:r>
      <w:r w:rsidRPr="004F0CDC">
        <w:rPr>
          <w:rFonts w:ascii="Arial" w:eastAsia="Times New Roman" w:hAnsi="Arial" w:cs="Arial"/>
          <w:sz w:val="20"/>
          <w:szCs w:val="20"/>
          <w:lang w:eastAsia="pt-BR"/>
        </w:rPr>
        <w:t xml:space="preserve"> Marco Aurélio, Primeira Turma, julgado em 7/8/2012). 2. O Supremo Tribunal Federal rechaça a prisão preventiva decretada somente com base na gravidade em abstrato do delito ou mediante a repetição dos predicados legais e a utilização de fórmulas retóricas que, em tese, serviriam para qualquer situação. Precedentes: RE 217</w:t>
      </w:r>
      <w:r w:rsidR="00D13FE5"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 xml:space="preserve">631, </w:t>
      </w:r>
      <w:r w:rsidR="00D249C0" w:rsidRPr="004F0CDC">
        <w:rPr>
          <w:rFonts w:ascii="Arial" w:eastAsia="Times New Roman" w:hAnsi="Arial" w:cs="Arial"/>
          <w:sz w:val="20"/>
          <w:szCs w:val="20"/>
          <w:lang w:eastAsia="pt-BR"/>
        </w:rPr>
        <w:t>Rel. Min.</w:t>
      </w:r>
      <w:r w:rsidRPr="004F0CDC">
        <w:rPr>
          <w:rFonts w:ascii="Arial" w:eastAsia="Times New Roman" w:hAnsi="Arial" w:cs="Arial"/>
          <w:sz w:val="20"/>
          <w:szCs w:val="20"/>
          <w:lang w:eastAsia="pt-BR"/>
        </w:rPr>
        <w:t xml:space="preserve"> Sepúlveda Pertence, Primeira Turma, julgado em 9/9/1997; HC 980</w:t>
      </w:r>
      <w:r w:rsidR="00D13FE5"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 xml:space="preserve">06, </w:t>
      </w:r>
      <w:r w:rsidR="00D249C0" w:rsidRPr="004F0CDC">
        <w:rPr>
          <w:rFonts w:ascii="Arial" w:eastAsia="Times New Roman" w:hAnsi="Arial" w:cs="Arial"/>
          <w:sz w:val="20"/>
          <w:szCs w:val="20"/>
          <w:lang w:eastAsia="pt-BR"/>
        </w:rPr>
        <w:t>Rel. Min.</w:t>
      </w:r>
      <w:r w:rsidRPr="004F0CDC">
        <w:rPr>
          <w:rFonts w:ascii="Arial" w:eastAsia="Times New Roman" w:hAnsi="Arial" w:cs="Arial"/>
          <w:sz w:val="20"/>
          <w:szCs w:val="20"/>
          <w:lang w:eastAsia="pt-BR"/>
        </w:rPr>
        <w:t xml:space="preserve"> Carlos Britto, Primeira Turma, julgado em 24/11/2009). 3. </w:t>
      </w:r>
      <w:r w:rsidRPr="007A0BF5">
        <w:rPr>
          <w:rFonts w:ascii="Arial" w:eastAsia="Times New Roman" w:hAnsi="Arial" w:cs="Arial"/>
          <w:i/>
          <w:sz w:val="20"/>
          <w:szCs w:val="20"/>
          <w:lang w:eastAsia="pt-BR"/>
        </w:rPr>
        <w:t xml:space="preserve">In </w:t>
      </w:r>
      <w:proofErr w:type="spellStart"/>
      <w:r w:rsidRPr="007A0BF5">
        <w:rPr>
          <w:rFonts w:ascii="Arial" w:eastAsia="Times New Roman" w:hAnsi="Arial" w:cs="Arial"/>
          <w:i/>
          <w:sz w:val="20"/>
          <w:szCs w:val="20"/>
          <w:lang w:eastAsia="pt-BR"/>
        </w:rPr>
        <w:t>casu</w:t>
      </w:r>
      <w:proofErr w:type="spellEnd"/>
      <w:r w:rsidRPr="004F0CDC">
        <w:rPr>
          <w:rFonts w:ascii="Arial" w:eastAsia="Times New Roman" w:hAnsi="Arial" w:cs="Arial"/>
          <w:sz w:val="20"/>
          <w:szCs w:val="20"/>
          <w:lang w:eastAsia="pt-BR"/>
        </w:rPr>
        <w:t xml:space="preserve">, o magistrado plantonista não analisou as circunstâncias concretas do delito praticado, se limitando a repetir os pressupostos legais para a prisão preventiva. </w:t>
      </w:r>
      <w:r w:rsidRPr="007A0BF5">
        <w:rPr>
          <w:rFonts w:ascii="Arial" w:eastAsia="Times New Roman" w:hAnsi="Arial" w:cs="Arial"/>
          <w:i/>
          <w:sz w:val="20"/>
          <w:szCs w:val="20"/>
          <w:lang w:eastAsia="pt-BR"/>
        </w:rPr>
        <w:t>In foco</w:t>
      </w:r>
      <w:r w:rsidRPr="004F0CDC">
        <w:rPr>
          <w:rFonts w:ascii="Arial" w:eastAsia="Times New Roman" w:hAnsi="Arial" w:cs="Arial"/>
          <w:sz w:val="20"/>
          <w:szCs w:val="20"/>
          <w:lang w:eastAsia="pt-BR"/>
        </w:rPr>
        <w:t>, ao utilizar expressões como “o delito de tráfico de drogas [</w:t>
      </w:r>
      <w:r w:rsidR="00D13FE5"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 xml:space="preserve">] se qualifica como um delito de origem para vários outros, especialmente que envolvem violência ou grave ameaça à pessoa, com grave perturbação da paz social” o Juízo </w:t>
      </w:r>
      <w:r w:rsidRPr="007A0BF5">
        <w:rPr>
          <w:rFonts w:ascii="Arial" w:eastAsia="Times New Roman" w:hAnsi="Arial" w:cs="Arial"/>
          <w:i/>
          <w:sz w:val="20"/>
          <w:szCs w:val="20"/>
          <w:lang w:eastAsia="pt-BR"/>
        </w:rPr>
        <w:t>a quo</w:t>
      </w:r>
      <w:r w:rsidRPr="004F0CDC">
        <w:rPr>
          <w:rFonts w:ascii="Arial" w:eastAsia="Times New Roman" w:hAnsi="Arial" w:cs="Arial"/>
          <w:sz w:val="20"/>
          <w:szCs w:val="20"/>
          <w:lang w:eastAsia="pt-BR"/>
        </w:rPr>
        <w:t xml:space="preserve"> tomou como fundamento da segregação cautelar a gravidade em abstrato do delito. 4. </w:t>
      </w:r>
      <w:r w:rsidRPr="007A0BF5">
        <w:rPr>
          <w:rFonts w:ascii="Arial" w:eastAsia="Times New Roman" w:hAnsi="Arial" w:cs="Arial"/>
          <w:i/>
          <w:sz w:val="20"/>
          <w:szCs w:val="20"/>
          <w:lang w:eastAsia="pt-BR"/>
        </w:rPr>
        <w:t xml:space="preserve">Habeas </w:t>
      </w:r>
      <w:r w:rsidR="00D13FE5" w:rsidRPr="004F0CDC">
        <w:rPr>
          <w:rFonts w:ascii="Arial" w:eastAsia="Times New Roman" w:hAnsi="Arial" w:cs="Arial"/>
          <w:i/>
          <w:sz w:val="20"/>
          <w:szCs w:val="20"/>
          <w:lang w:eastAsia="pt-BR"/>
        </w:rPr>
        <w:t>c</w:t>
      </w:r>
      <w:r w:rsidRPr="007A0BF5">
        <w:rPr>
          <w:rFonts w:ascii="Arial" w:eastAsia="Times New Roman" w:hAnsi="Arial" w:cs="Arial"/>
          <w:i/>
          <w:sz w:val="20"/>
          <w:szCs w:val="20"/>
          <w:lang w:eastAsia="pt-BR"/>
        </w:rPr>
        <w:t>orpus</w:t>
      </w:r>
      <w:r w:rsidRPr="004F0CDC">
        <w:rPr>
          <w:rFonts w:ascii="Arial" w:eastAsia="Times New Roman" w:hAnsi="Arial" w:cs="Arial"/>
          <w:sz w:val="20"/>
          <w:szCs w:val="20"/>
          <w:lang w:eastAsia="pt-BR"/>
        </w:rPr>
        <w:t xml:space="preserve"> julgado extinto, concedida a ordem </w:t>
      </w:r>
      <w:proofErr w:type="spellStart"/>
      <w:r w:rsidRPr="004F0CDC">
        <w:rPr>
          <w:rFonts w:ascii="Arial" w:eastAsia="Times New Roman" w:hAnsi="Arial" w:cs="Arial"/>
          <w:i/>
          <w:iCs/>
          <w:sz w:val="20"/>
          <w:szCs w:val="20"/>
          <w:lang w:eastAsia="pt-BR"/>
        </w:rPr>
        <w:t>ex</w:t>
      </w:r>
      <w:proofErr w:type="spellEnd"/>
      <w:r w:rsidRPr="004F0CDC">
        <w:rPr>
          <w:rFonts w:ascii="Arial" w:eastAsia="Times New Roman" w:hAnsi="Arial" w:cs="Arial"/>
          <w:i/>
          <w:iCs/>
          <w:sz w:val="20"/>
          <w:szCs w:val="20"/>
          <w:lang w:eastAsia="pt-BR"/>
        </w:rPr>
        <w:t xml:space="preserve"> </w:t>
      </w:r>
      <w:proofErr w:type="spellStart"/>
      <w:r w:rsidRPr="004F0CDC">
        <w:rPr>
          <w:rFonts w:ascii="Arial" w:eastAsia="Times New Roman" w:hAnsi="Arial" w:cs="Arial"/>
          <w:i/>
          <w:iCs/>
          <w:sz w:val="20"/>
          <w:szCs w:val="20"/>
          <w:lang w:eastAsia="pt-BR"/>
        </w:rPr>
        <w:t>officio</w:t>
      </w:r>
      <w:proofErr w:type="spellEnd"/>
      <w:r w:rsidRPr="004F0CDC">
        <w:rPr>
          <w:rFonts w:ascii="Arial" w:eastAsia="Times New Roman" w:hAnsi="Arial" w:cs="Arial"/>
          <w:sz w:val="20"/>
          <w:szCs w:val="20"/>
          <w:lang w:eastAsia="pt-BR"/>
        </w:rPr>
        <w:t xml:space="preserve">. (HC 114.932, </w:t>
      </w:r>
      <w:r w:rsidR="00D249C0" w:rsidRPr="004F0CDC">
        <w:rPr>
          <w:rFonts w:ascii="Arial" w:eastAsia="Times New Roman" w:hAnsi="Arial" w:cs="Arial"/>
          <w:sz w:val="20"/>
          <w:szCs w:val="20"/>
          <w:lang w:eastAsia="pt-BR"/>
        </w:rPr>
        <w:t>Rel. Min.</w:t>
      </w:r>
      <w:r w:rsidRPr="004F0CDC">
        <w:rPr>
          <w:rFonts w:ascii="Arial" w:eastAsia="Times New Roman" w:hAnsi="Arial" w:cs="Arial"/>
          <w:sz w:val="20"/>
          <w:szCs w:val="20"/>
          <w:lang w:eastAsia="pt-BR"/>
        </w:rPr>
        <w:t xml:space="preserve"> Marco Aurélio, </w:t>
      </w:r>
      <w:r w:rsidR="00D249C0" w:rsidRPr="004F0CDC">
        <w:rPr>
          <w:rFonts w:ascii="Arial" w:eastAsia="Times New Roman" w:hAnsi="Arial" w:cs="Arial"/>
          <w:sz w:val="20"/>
          <w:szCs w:val="20"/>
          <w:lang w:eastAsia="pt-BR"/>
        </w:rPr>
        <w:t>R</w:t>
      </w:r>
      <w:r w:rsidRPr="004F0CDC">
        <w:rPr>
          <w:rFonts w:ascii="Arial" w:eastAsia="Times New Roman" w:hAnsi="Arial" w:cs="Arial"/>
          <w:sz w:val="20"/>
          <w:szCs w:val="20"/>
          <w:lang w:eastAsia="pt-BR"/>
        </w:rPr>
        <w:t>el.</w:t>
      </w:r>
      <w:r w:rsidR="00984535" w:rsidRPr="004F0CDC">
        <w:rPr>
          <w:rFonts w:ascii="Arial" w:eastAsia="Times New Roman" w:hAnsi="Arial" w:cs="Arial"/>
          <w:sz w:val="20"/>
          <w:szCs w:val="20"/>
          <w:lang w:eastAsia="pt-BR"/>
        </w:rPr>
        <w:t xml:space="preserve"> p/ o ac. </w:t>
      </w:r>
      <w:r w:rsidRPr="004F0CDC">
        <w:rPr>
          <w:rFonts w:ascii="Arial" w:eastAsia="Times New Roman" w:hAnsi="Arial" w:cs="Arial"/>
          <w:sz w:val="20"/>
          <w:szCs w:val="20"/>
          <w:lang w:eastAsia="pt-BR"/>
        </w:rPr>
        <w:t xml:space="preserve">Min. Luiz </w:t>
      </w:r>
      <w:proofErr w:type="spellStart"/>
      <w:r w:rsidRPr="004F0CDC">
        <w:rPr>
          <w:rFonts w:ascii="Arial" w:eastAsia="Times New Roman" w:hAnsi="Arial" w:cs="Arial"/>
          <w:sz w:val="20"/>
          <w:szCs w:val="20"/>
          <w:lang w:eastAsia="pt-BR"/>
        </w:rPr>
        <w:t>Fux</w:t>
      </w:r>
      <w:proofErr w:type="spellEnd"/>
      <w:r w:rsidRPr="004F0CDC">
        <w:rPr>
          <w:rFonts w:ascii="Arial" w:eastAsia="Times New Roman" w:hAnsi="Arial" w:cs="Arial"/>
          <w:sz w:val="20"/>
          <w:szCs w:val="20"/>
          <w:lang w:eastAsia="pt-BR"/>
        </w:rPr>
        <w:t xml:space="preserve">, Primeira Turma, </w:t>
      </w:r>
      <w:r w:rsidR="00D249C0" w:rsidRPr="004F0CDC">
        <w:rPr>
          <w:rFonts w:ascii="Arial" w:eastAsia="Times New Roman" w:hAnsi="Arial" w:cs="Arial"/>
          <w:i/>
          <w:sz w:val="20"/>
          <w:szCs w:val="20"/>
          <w:lang w:eastAsia="pt-BR"/>
        </w:rPr>
        <w:t>DJE</w:t>
      </w:r>
      <w:r w:rsidRPr="004F0CDC">
        <w:rPr>
          <w:rFonts w:ascii="Arial" w:eastAsia="Times New Roman" w:hAnsi="Arial" w:cs="Arial"/>
          <w:sz w:val="20"/>
          <w:szCs w:val="20"/>
          <w:lang w:eastAsia="pt-BR"/>
        </w:rPr>
        <w:t xml:space="preserve"> de 6/2/2015</w:t>
      </w:r>
      <w:r w:rsidR="00D249C0"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w:t>
      </w:r>
    </w:p>
    <w:p w14:paraId="3A99241B" w14:textId="77777777" w:rsidR="008A3106" w:rsidRPr="004F0CDC" w:rsidRDefault="008A3106" w:rsidP="007A0BF5">
      <w:pPr>
        <w:spacing w:before="120" w:after="120" w:line="240" w:lineRule="auto"/>
        <w:ind w:left="1701" w:firstLine="709"/>
        <w:jc w:val="both"/>
        <w:rPr>
          <w:rFonts w:ascii="Arial" w:eastAsia="Times New Roman" w:hAnsi="Arial" w:cs="Arial"/>
          <w:sz w:val="20"/>
          <w:szCs w:val="20"/>
          <w:lang w:eastAsia="pt-BR"/>
        </w:rPr>
      </w:pPr>
    </w:p>
    <w:p w14:paraId="200AE87E" w14:textId="6C117F52" w:rsidR="008A3106" w:rsidRPr="004F0CDC" w:rsidRDefault="008A3106" w:rsidP="007A0BF5">
      <w:pPr>
        <w:spacing w:before="120" w:after="120" w:line="240" w:lineRule="auto"/>
        <w:ind w:left="2268"/>
        <w:jc w:val="both"/>
        <w:rPr>
          <w:rFonts w:ascii="Arial" w:eastAsia="Times New Roman" w:hAnsi="Arial" w:cs="Arial"/>
          <w:sz w:val="20"/>
          <w:szCs w:val="20"/>
          <w:lang w:eastAsia="pt-BR"/>
        </w:rPr>
      </w:pPr>
      <w:r w:rsidRPr="004F0CDC">
        <w:rPr>
          <w:rFonts w:ascii="Arial" w:eastAsia="Times New Roman" w:hAnsi="Arial" w:cs="Arial"/>
          <w:sz w:val="20"/>
          <w:szCs w:val="20"/>
          <w:lang w:eastAsia="pt-BR"/>
        </w:rPr>
        <w:t xml:space="preserve">AGRAVO REGIMENTAL EM MANDADO DE SEGURANÇA. IMPETRAÇÃO CONTRA ATO DO TRIBUNAL DE CONTAS DA UNIÃO. ILEGITIMIDADE PASSIVA </w:t>
      </w:r>
      <w:r w:rsidRPr="007A0BF5">
        <w:rPr>
          <w:rFonts w:ascii="Arial" w:eastAsia="Times New Roman" w:hAnsi="Arial" w:cs="Arial"/>
          <w:i/>
          <w:sz w:val="20"/>
          <w:szCs w:val="20"/>
          <w:lang w:eastAsia="pt-BR"/>
        </w:rPr>
        <w:t>AD CAUSAM</w:t>
      </w:r>
      <w:r w:rsidRPr="004F0CDC">
        <w:rPr>
          <w:rFonts w:ascii="Arial" w:eastAsia="Times New Roman" w:hAnsi="Arial" w:cs="Arial"/>
          <w:sz w:val="20"/>
          <w:szCs w:val="20"/>
          <w:lang w:eastAsia="pt-BR"/>
        </w:rPr>
        <w:t xml:space="preserve">. AUSÊNCIA DE COMPETÊNCIA ORIGINÁRIA DO SUPREMO TRIBUNAL FEDERAL PARA JULGAMENTO DO </w:t>
      </w:r>
      <w:r w:rsidRPr="007A0BF5">
        <w:rPr>
          <w:rFonts w:ascii="Arial" w:eastAsia="Times New Roman" w:hAnsi="Arial" w:cs="Arial"/>
          <w:i/>
          <w:sz w:val="20"/>
          <w:szCs w:val="20"/>
          <w:lang w:eastAsia="pt-BR"/>
        </w:rPr>
        <w:t>WRIT</w:t>
      </w:r>
      <w:r w:rsidRPr="004F0CDC">
        <w:rPr>
          <w:rFonts w:ascii="Arial" w:eastAsia="Times New Roman" w:hAnsi="Arial" w:cs="Arial"/>
          <w:sz w:val="20"/>
          <w:szCs w:val="20"/>
          <w:lang w:eastAsia="pt-BR"/>
        </w:rPr>
        <w:t xml:space="preserve">. Constatado que a alegada supressão remuneratória não decorreu de ato concreto e individualizado praticado pelo Tribunal de Contas da União, ausente a legitimidade do referido órgão para figurar no polo passivo do mandado de segurança. A competência do Supremo Tribunal Federal para processar e julgar, originariamente, mandado de segurança contra ato do Tribunal de Contas da União decorre de </w:t>
      </w:r>
      <w:r w:rsidRPr="004F0CDC">
        <w:rPr>
          <w:rFonts w:ascii="Arial" w:eastAsia="Times New Roman" w:hAnsi="Arial" w:cs="Arial"/>
          <w:b/>
          <w:bCs/>
          <w:sz w:val="20"/>
          <w:szCs w:val="20"/>
          <w:lang w:eastAsia="pt-BR"/>
        </w:rPr>
        <w:t xml:space="preserve">expressa previsão no art. 102, I, </w:t>
      </w:r>
      <w:r w:rsidR="00D13FE5" w:rsidRPr="004F0CDC">
        <w:rPr>
          <w:rFonts w:ascii="Arial" w:eastAsia="Times New Roman" w:hAnsi="Arial" w:cs="Arial"/>
          <w:b/>
          <w:bCs/>
          <w:sz w:val="20"/>
          <w:szCs w:val="20"/>
          <w:lang w:eastAsia="pt-BR"/>
        </w:rPr>
        <w:t>“</w:t>
      </w:r>
      <w:r w:rsidRPr="004F0CDC">
        <w:rPr>
          <w:rFonts w:ascii="Arial" w:eastAsia="Times New Roman" w:hAnsi="Arial" w:cs="Arial"/>
          <w:b/>
          <w:bCs/>
          <w:sz w:val="20"/>
          <w:szCs w:val="20"/>
          <w:lang w:eastAsia="pt-BR"/>
        </w:rPr>
        <w:t>d</w:t>
      </w:r>
      <w:r w:rsidR="00D13FE5" w:rsidRPr="004F0CDC">
        <w:rPr>
          <w:rFonts w:ascii="Arial" w:eastAsia="Times New Roman" w:hAnsi="Arial" w:cs="Arial"/>
          <w:b/>
          <w:bCs/>
          <w:sz w:val="20"/>
          <w:szCs w:val="20"/>
          <w:lang w:eastAsia="pt-BR"/>
        </w:rPr>
        <w:t>”</w:t>
      </w:r>
      <w:r w:rsidRPr="004F0CDC">
        <w:rPr>
          <w:rFonts w:ascii="Arial" w:eastAsia="Times New Roman" w:hAnsi="Arial" w:cs="Arial"/>
          <w:b/>
          <w:bCs/>
          <w:sz w:val="20"/>
          <w:szCs w:val="20"/>
          <w:lang w:eastAsia="pt-BR"/>
        </w:rPr>
        <w:t>, da Constituição da República</w:t>
      </w:r>
      <w:r w:rsidRPr="004F0CDC">
        <w:rPr>
          <w:rFonts w:ascii="Arial" w:eastAsia="Times New Roman" w:hAnsi="Arial" w:cs="Arial"/>
          <w:sz w:val="20"/>
          <w:szCs w:val="20"/>
          <w:lang w:eastAsia="pt-BR"/>
        </w:rPr>
        <w:t xml:space="preserve">. Emanado o ato impugnado de autoridade outra, não referida </w:t>
      </w:r>
      <w:r w:rsidRPr="004F0CDC">
        <w:rPr>
          <w:rFonts w:ascii="Arial" w:eastAsia="Times New Roman" w:hAnsi="Arial" w:cs="Arial"/>
          <w:b/>
          <w:bCs/>
          <w:sz w:val="20"/>
          <w:szCs w:val="20"/>
          <w:lang w:eastAsia="pt-BR"/>
        </w:rPr>
        <w:t>no rol taxativo do texto constitucional</w:t>
      </w:r>
      <w:r w:rsidRPr="004F0CDC">
        <w:rPr>
          <w:rFonts w:ascii="Arial" w:eastAsia="Times New Roman" w:hAnsi="Arial" w:cs="Arial"/>
          <w:sz w:val="20"/>
          <w:szCs w:val="20"/>
          <w:lang w:eastAsia="pt-BR"/>
        </w:rPr>
        <w:t xml:space="preserve">, a consequência é a não inserção do presente </w:t>
      </w:r>
      <w:proofErr w:type="spellStart"/>
      <w:r w:rsidRPr="004F0CDC">
        <w:rPr>
          <w:rFonts w:ascii="Arial" w:eastAsia="Times New Roman" w:hAnsi="Arial" w:cs="Arial"/>
          <w:i/>
          <w:iCs/>
          <w:sz w:val="20"/>
          <w:szCs w:val="20"/>
          <w:lang w:eastAsia="pt-BR"/>
        </w:rPr>
        <w:t>mandamus</w:t>
      </w:r>
      <w:proofErr w:type="spellEnd"/>
      <w:r w:rsidRPr="004F0CDC">
        <w:rPr>
          <w:rFonts w:ascii="Arial" w:eastAsia="Times New Roman" w:hAnsi="Arial" w:cs="Arial"/>
          <w:sz w:val="20"/>
          <w:szCs w:val="20"/>
          <w:lang w:eastAsia="pt-BR"/>
        </w:rPr>
        <w:t xml:space="preserve"> no âmbito da competência originária do Supremo Tribunal Federal. Agravo regimental conhecido e não provido. (MS 31.897-AgR, </w:t>
      </w:r>
      <w:r w:rsidR="00D249C0" w:rsidRPr="004F0CDC">
        <w:rPr>
          <w:rFonts w:ascii="Arial" w:eastAsia="Times New Roman" w:hAnsi="Arial" w:cs="Arial"/>
          <w:sz w:val="20"/>
          <w:szCs w:val="20"/>
          <w:lang w:eastAsia="pt-BR"/>
        </w:rPr>
        <w:t>Rel. Min.</w:t>
      </w:r>
      <w:r w:rsidRPr="004F0CDC">
        <w:rPr>
          <w:rFonts w:ascii="Arial" w:eastAsia="Times New Roman" w:hAnsi="Arial" w:cs="Arial"/>
          <w:sz w:val="20"/>
          <w:szCs w:val="20"/>
          <w:lang w:eastAsia="pt-BR"/>
        </w:rPr>
        <w:t xml:space="preserve"> Rosa Weber, Primeira Turma, </w:t>
      </w:r>
      <w:r w:rsidR="00D249C0" w:rsidRPr="004F0CDC">
        <w:rPr>
          <w:rFonts w:ascii="Arial" w:eastAsia="Times New Roman" w:hAnsi="Arial" w:cs="Arial"/>
          <w:i/>
          <w:sz w:val="20"/>
          <w:szCs w:val="20"/>
          <w:lang w:eastAsia="pt-BR"/>
        </w:rPr>
        <w:t>DJE</w:t>
      </w:r>
      <w:r w:rsidRPr="004F0CDC">
        <w:rPr>
          <w:rFonts w:ascii="Arial" w:eastAsia="Times New Roman" w:hAnsi="Arial" w:cs="Arial"/>
          <w:sz w:val="20"/>
          <w:szCs w:val="20"/>
          <w:lang w:eastAsia="pt-BR"/>
        </w:rPr>
        <w:t xml:space="preserve"> de 17/9/</w:t>
      </w:r>
      <w:commentRangeStart w:id="39"/>
      <w:r w:rsidRPr="004F0CDC">
        <w:rPr>
          <w:rFonts w:ascii="Arial" w:eastAsia="Times New Roman" w:hAnsi="Arial" w:cs="Arial"/>
          <w:sz w:val="20"/>
          <w:szCs w:val="20"/>
          <w:lang w:eastAsia="pt-BR"/>
        </w:rPr>
        <w:t>2014</w:t>
      </w:r>
      <w:commentRangeEnd w:id="39"/>
      <w:r w:rsidR="00BF47AB" w:rsidRPr="007A0BF5">
        <w:rPr>
          <w:rStyle w:val="Refdecomentrio"/>
          <w:rFonts w:ascii="Arial" w:hAnsi="Arial" w:cs="Arial"/>
          <w:sz w:val="20"/>
          <w:szCs w:val="20"/>
        </w:rPr>
        <w:commentReference w:id="39"/>
      </w:r>
      <w:r w:rsidR="00D249C0" w:rsidRPr="004F0CDC">
        <w:rPr>
          <w:rFonts w:ascii="Arial" w:eastAsia="Times New Roman" w:hAnsi="Arial" w:cs="Arial"/>
          <w:sz w:val="20"/>
          <w:szCs w:val="20"/>
          <w:lang w:eastAsia="pt-BR"/>
        </w:rPr>
        <w:t>.</w:t>
      </w:r>
      <w:r w:rsidRPr="004F0CDC">
        <w:rPr>
          <w:rFonts w:ascii="Arial" w:eastAsia="Times New Roman" w:hAnsi="Arial" w:cs="Arial"/>
          <w:sz w:val="20"/>
          <w:szCs w:val="20"/>
          <w:lang w:eastAsia="pt-BR"/>
        </w:rPr>
        <w:t>)</w:t>
      </w:r>
    </w:p>
    <w:p w14:paraId="5D85E497" w14:textId="77777777" w:rsidR="007A1901" w:rsidRDefault="007A1901" w:rsidP="00DD166D">
      <w:pPr>
        <w:tabs>
          <w:tab w:val="left" w:pos="1397"/>
        </w:tabs>
        <w:spacing w:before="120" w:after="120" w:line="360" w:lineRule="auto"/>
        <w:ind w:firstLine="1134"/>
        <w:jc w:val="both"/>
        <w:rPr>
          <w:rFonts w:ascii="Arial" w:hAnsi="Arial" w:cs="Arial"/>
          <w:sz w:val="24"/>
          <w:szCs w:val="24"/>
        </w:rPr>
      </w:pPr>
    </w:p>
    <w:p w14:paraId="749F653F" w14:textId="77777777" w:rsidR="003E3A64" w:rsidRDefault="003E3A64" w:rsidP="00DD166D">
      <w:pPr>
        <w:tabs>
          <w:tab w:val="left" w:pos="1397"/>
        </w:tabs>
        <w:spacing w:before="120" w:after="120" w:line="360" w:lineRule="auto"/>
        <w:ind w:firstLine="1134"/>
        <w:jc w:val="both"/>
        <w:rPr>
          <w:rFonts w:ascii="Arial" w:hAnsi="Arial" w:cs="Arial"/>
          <w:sz w:val="24"/>
          <w:szCs w:val="24"/>
        </w:rPr>
      </w:pPr>
      <w:r>
        <w:rPr>
          <w:rFonts w:ascii="Arial" w:hAnsi="Arial" w:cs="Arial"/>
          <w:sz w:val="24"/>
          <w:szCs w:val="24"/>
        </w:rPr>
        <w:t xml:space="preserve">Com esses pontos, revisamos alguns </w:t>
      </w:r>
      <w:r w:rsidR="00CA22F6">
        <w:rPr>
          <w:rFonts w:ascii="Arial" w:hAnsi="Arial" w:cs="Arial"/>
          <w:sz w:val="24"/>
          <w:szCs w:val="24"/>
        </w:rPr>
        <w:t xml:space="preserve">aspectos </w:t>
      </w:r>
      <w:r>
        <w:rPr>
          <w:rFonts w:ascii="Arial" w:hAnsi="Arial" w:cs="Arial"/>
          <w:sz w:val="24"/>
          <w:szCs w:val="24"/>
        </w:rPr>
        <w:t>fundamentais para o entendimento dos assuntos da nossa aula. Vamos continuar?</w:t>
      </w:r>
    </w:p>
    <w:p w14:paraId="21FC0D69" w14:textId="77777777" w:rsidR="003E3A64" w:rsidRDefault="003E3A64" w:rsidP="00DD166D">
      <w:pPr>
        <w:tabs>
          <w:tab w:val="left" w:pos="1397"/>
        </w:tabs>
        <w:spacing w:before="120" w:after="120" w:line="360" w:lineRule="auto"/>
        <w:ind w:firstLine="1134"/>
        <w:jc w:val="both"/>
        <w:rPr>
          <w:rFonts w:ascii="Arial" w:hAnsi="Arial" w:cs="Arial"/>
          <w:sz w:val="24"/>
          <w:szCs w:val="24"/>
        </w:rPr>
      </w:pPr>
    </w:p>
    <w:p w14:paraId="5D9B41CB" w14:textId="0287A502" w:rsidR="00C76E7D" w:rsidRPr="00C76E7D" w:rsidRDefault="004654C2" w:rsidP="00C76E7D">
      <w:pPr>
        <w:pStyle w:val="PargrafodaLista"/>
        <w:numPr>
          <w:ilvl w:val="0"/>
          <w:numId w:val="3"/>
        </w:numPr>
        <w:spacing w:before="120" w:after="120" w:line="360" w:lineRule="auto"/>
        <w:jc w:val="both"/>
        <w:rPr>
          <w:rFonts w:ascii="Arial" w:hAnsi="Arial" w:cs="Arial"/>
          <w:b/>
          <w:sz w:val="24"/>
          <w:szCs w:val="24"/>
        </w:rPr>
      </w:pPr>
      <w:r>
        <w:rPr>
          <w:rFonts w:ascii="Arial" w:hAnsi="Arial" w:cs="Arial"/>
          <w:b/>
          <w:sz w:val="24"/>
          <w:szCs w:val="24"/>
        </w:rPr>
        <w:t xml:space="preserve">A </w:t>
      </w:r>
      <w:r w:rsidR="00D249C0">
        <w:rPr>
          <w:rFonts w:ascii="Arial" w:hAnsi="Arial" w:cs="Arial"/>
          <w:b/>
          <w:sz w:val="24"/>
          <w:szCs w:val="24"/>
        </w:rPr>
        <w:t>t</w:t>
      </w:r>
      <w:r>
        <w:rPr>
          <w:rFonts w:ascii="Arial" w:hAnsi="Arial" w:cs="Arial"/>
          <w:b/>
          <w:sz w:val="24"/>
          <w:szCs w:val="24"/>
        </w:rPr>
        <w:t xml:space="preserve">radição do </w:t>
      </w:r>
      <w:r w:rsidRPr="005B60AC">
        <w:rPr>
          <w:rFonts w:ascii="Arial" w:hAnsi="Arial" w:cs="Arial"/>
          <w:b/>
          <w:i/>
          <w:sz w:val="24"/>
          <w:szCs w:val="24"/>
        </w:rPr>
        <w:t>c</w:t>
      </w:r>
      <w:r>
        <w:rPr>
          <w:rFonts w:ascii="Arial" w:hAnsi="Arial" w:cs="Arial"/>
          <w:b/>
          <w:i/>
          <w:sz w:val="24"/>
          <w:szCs w:val="24"/>
        </w:rPr>
        <w:t xml:space="preserve">ivil </w:t>
      </w:r>
      <w:proofErr w:type="spellStart"/>
      <w:r>
        <w:rPr>
          <w:rFonts w:ascii="Arial" w:hAnsi="Arial" w:cs="Arial"/>
          <w:b/>
          <w:i/>
          <w:sz w:val="24"/>
          <w:szCs w:val="24"/>
        </w:rPr>
        <w:t>law</w:t>
      </w:r>
      <w:proofErr w:type="spellEnd"/>
      <w:r>
        <w:rPr>
          <w:rFonts w:ascii="Arial" w:hAnsi="Arial" w:cs="Arial"/>
          <w:b/>
          <w:sz w:val="24"/>
          <w:szCs w:val="24"/>
        </w:rPr>
        <w:t xml:space="preserve"> e a </w:t>
      </w:r>
      <w:proofErr w:type="spellStart"/>
      <w:r>
        <w:rPr>
          <w:rFonts w:ascii="Arial" w:hAnsi="Arial" w:cs="Arial"/>
          <w:b/>
          <w:sz w:val="24"/>
          <w:szCs w:val="24"/>
        </w:rPr>
        <w:t>vinculatividade</w:t>
      </w:r>
      <w:proofErr w:type="spellEnd"/>
      <w:r>
        <w:rPr>
          <w:rFonts w:ascii="Arial" w:hAnsi="Arial" w:cs="Arial"/>
          <w:b/>
          <w:sz w:val="24"/>
          <w:szCs w:val="24"/>
        </w:rPr>
        <w:t xml:space="preserve"> das decisões no Novo Código de Processo Civil</w:t>
      </w:r>
    </w:p>
    <w:p w14:paraId="283801FB" w14:textId="28D1E3F1" w:rsidR="00225F13" w:rsidRDefault="008043AA" w:rsidP="00C76E7D">
      <w:pPr>
        <w:spacing w:before="120" w:after="120" w:line="360" w:lineRule="auto"/>
        <w:ind w:firstLine="708"/>
        <w:jc w:val="both"/>
        <w:rPr>
          <w:rFonts w:ascii="Arial" w:hAnsi="Arial" w:cs="Arial"/>
          <w:sz w:val="24"/>
          <w:szCs w:val="24"/>
        </w:rPr>
      </w:pPr>
      <w:r>
        <w:rPr>
          <w:rFonts w:ascii="Arial" w:hAnsi="Arial" w:cs="Arial"/>
          <w:sz w:val="24"/>
          <w:szCs w:val="24"/>
        </w:rPr>
        <w:t>Outro ponto relevante nes</w:t>
      </w:r>
      <w:r w:rsidR="00D249C0">
        <w:rPr>
          <w:rFonts w:ascii="Arial" w:hAnsi="Arial" w:cs="Arial"/>
          <w:sz w:val="24"/>
          <w:szCs w:val="24"/>
        </w:rPr>
        <w:t>s</w:t>
      </w:r>
      <w:r>
        <w:rPr>
          <w:rFonts w:ascii="Arial" w:hAnsi="Arial" w:cs="Arial"/>
          <w:sz w:val="24"/>
          <w:szCs w:val="24"/>
        </w:rPr>
        <w:t xml:space="preserve">a abordagem introdutória </w:t>
      </w:r>
      <w:r w:rsidR="00B7428B">
        <w:rPr>
          <w:rFonts w:ascii="Arial" w:hAnsi="Arial" w:cs="Arial"/>
          <w:sz w:val="24"/>
          <w:szCs w:val="24"/>
        </w:rPr>
        <w:t>é analisar</w:t>
      </w:r>
      <w:r>
        <w:rPr>
          <w:rFonts w:ascii="Arial" w:hAnsi="Arial" w:cs="Arial"/>
          <w:sz w:val="24"/>
          <w:szCs w:val="24"/>
        </w:rPr>
        <w:t xml:space="preserve"> </w:t>
      </w:r>
      <w:r w:rsidR="00B7428B">
        <w:rPr>
          <w:rFonts w:ascii="Arial" w:hAnsi="Arial" w:cs="Arial"/>
          <w:sz w:val="24"/>
          <w:szCs w:val="24"/>
        </w:rPr>
        <w:t xml:space="preserve">em que medida a </w:t>
      </w:r>
      <w:proofErr w:type="spellStart"/>
      <w:r w:rsidR="00B7428B">
        <w:rPr>
          <w:rFonts w:ascii="Arial" w:hAnsi="Arial" w:cs="Arial"/>
          <w:sz w:val="24"/>
          <w:szCs w:val="24"/>
        </w:rPr>
        <w:t>vinculatividade</w:t>
      </w:r>
      <w:proofErr w:type="spellEnd"/>
      <w:r w:rsidR="00B7428B">
        <w:rPr>
          <w:rFonts w:ascii="Arial" w:hAnsi="Arial" w:cs="Arial"/>
          <w:sz w:val="24"/>
          <w:szCs w:val="24"/>
        </w:rPr>
        <w:t xml:space="preserve"> da jurisprudência e dos precedentes previst</w:t>
      </w:r>
      <w:r w:rsidR="0086033E">
        <w:rPr>
          <w:rFonts w:ascii="Arial" w:hAnsi="Arial" w:cs="Arial"/>
          <w:sz w:val="24"/>
          <w:szCs w:val="24"/>
        </w:rPr>
        <w:t>a</w:t>
      </w:r>
      <w:r w:rsidR="00B7428B">
        <w:rPr>
          <w:rFonts w:ascii="Arial" w:hAnsi="Arial" w:cs="Arial"/>
          <w:sz w:val="24"/>
          <w:szCs w:val="24"/>
        </w:rPr>
        <w:t xml:space="preserve"> pelo Novo Código de Processo Civil representa ou não um afastamento da tradição do </w:t>
      </w:r>
      <w:r w:rsidR="00B7428B">
        <w:rPr>
          <w:rFonts w:ascii="Arial" w:hAnsi="Arial" w:cs="Arial"/>
          <w:i/>
          <w:sz w:val="24"/>
          <w:szCs w:val="24"/>
        </w:rPr>
        <w:t xml:space="preserve">civil </w:t>
      </w:r>
      <w:proofErr w:type="spellStart"/>
      <w:r w:rsidR="00B7428B">
        <w:rPr>
          <w:rFonts w:ascii="Arial" w:hAnsi="Arial" w:cs="Arial"/>
          <w:i/>
          <w:sz w:val="24"/>
          <w:szCs w:val="24"/>
        </w:rPr>
        <w:t>law</w:t>
      </w:r>
      <w:proofErr w:type="spellEnd"/>
      <w:r w:rsidR="00B7428B">
        <w:rPr>
          <w:rFonts w:ascii="Arial" w:hAnsi="Arial" w:cs="Arial"/>
          <w:sz w:val="24"/>
          <w:szCs w:val="24"/>
        </w:rPr>
        <w:t>. É que</w:t>
      </w:r>
      <w:r w:rsidR="00D249C0">
        <w:rPr>
          <w:rFonts w:ascii="Arial" w:hAnsi="Arial" w:cs="Arial"/>
          <w:sz w:val="24"/>
          <w:szCs w:val="24"/>
        </w:rPr>
        <w:t>,</w:t>
      </w:r>
      <w:r w:rsidR="00B7428B">
        <w:rPr>
          <w:rFonts w:ascii="Arial" w:hAnsi="Arial" w:cs="Arial"/>
          <w:sz w:val="24"/>
          <w:szCs w:val="24"/>
        </w:rPr>
        <w:t xml:space="preserve"> </w:t>
      </w:r>
      <w:r>
        <w:rPr>
          <w:rFonts w:ascii="Arial" w:hAnsi="Arial" w:cs="Arial"/>
          <w:sz w:val="24"/>
          <w:szCs w:val="24"/>
        </w:rPr>
        <w:t xml:space="preserve">apesar de a tradição jurídica brasileira decorrer </w:t>
      </w:r>
      <w:r w:rsidR="00C56AFF">
        <w:rPr>
          <w:rFonts w:ascii="Arial" w:hAnsi="Arial" w:cs="Arial"/>
          <w:sz w:val="24"/>
          <w:szCs w:val="24"/>
        </w:rPr>
        <w:t>d</w:t>
      </w:r>
      <w:r w:rsidR="00770859">
        <w:rPr>
          <w:rFonts w:ascii="Arial" w:hAnsi="Arial" w:cs="Arial"/>
          <w:sz w:val="24"/>
          <w:szCs w:val="24"/>
        </w:rPr>
        <w:t>esse sistema</w:t>
      </w:r>
      <w:r>
        <w:rPr>
          <w:rFonts w:ascii="Arial" w:hAnsi="Arial" w:cs="Arial"/>
          <w:sz w:val="24"/>
          <w:szCs w:val="24"/>
        </w:rPr>
        <w:t xml:space="preserve">, a repercussão geral, como veremos no estudo de suas origens históricas, é instituto que nasce a partir de apropriações </w:t>
      </w:r>
      <w:r w:rsidR="007D2BC8">
        <w:rPr>
          <w:rFonts w:ascii="Arial" w:hAnsi="Arial" w:cs="Arial"/>
          <w:sz w:val="24"/>
          <w:szCs w:val="24"/>
        </w:rPr>
        <w:t xml:space="preserve">de sistemas de </w:t>
      </w:r>
      <w:r w:rsidR="007D2BC8">
        <w:rPr>
          <w:rFonts w:ascii="Arial" w:hAnsi="Arial" w:cs="Arial"/>
          <w:i/>
          <w:sz w:val="24"/>
          <w:szCs w:val="24"/>
        </w:rPr>
        <w:t xml:space="preserve">common </w:t>
      </w:r>
      <w:proofErr w:type="spellStart"/>
      <w:r w:rsidR="007D2BC8">
        <w:rPr>
          <w:rFonts w:ascii="Arial" w:hAnsi="Arial" w:cs="Arial"/>
          <w:i/>
          <w:sz w:val="24"/>
          <w:szCs w:val="24"/>
        </w:rPr>
        <w:t>law</w:t>
      </w:r>
      <w:proofErr w:type="spellEnd"/>
      <w:r w:rsidR="007D2BC8">
        <w:rPr>
          <w:rFonts w:ascii="Arial" w:hAnsi="Arial" w:cs="Arial"/>
          <w:sz w:val="24"/>
          <w:szCs w:val="24"/>
        </w:rPr>
        <w:t xml:space="preserve">, </w:t>
      </w:r>
      <w:r w:rsidR="007D2BC8" w:rsidRPr="00DD2098">
        <w:rPr>
          <w:rFonts w:ascii="Arial" w:hAnsi="Arial" w:cs="Arial"/>
          <w:sz w:val="24"/>
          <w:szCs w:val="24"/>
        </w:rPr>
        <w:t>adaptadas</w:t>
      </w:r>
      <w:r w:rsidR="007D2BC8" w:rsidRPr="00257EF9">
        <w:rPr>
          <w:rFonts w:ascii="Arial" w:hAnsi="Arial" w:cs="Arial"/>
          <w:sz w:val="24"/>
          <w:szCs w:val="24"/>
        </w:rPr>
        <w:t xml:space="preserve"> </w:t>
      </w:r>
      <w:r w:rsidR="007D2BC8">
        <w:rPr>
          <w:rFonts w:ascii="Arial" w:hAnsi="Arial" w:cs="Arial"/>
          <w:sz w:val="24"/>
          <w:szCs w:val="24"/>
        </w:rPr>
        <w:t xml:space="preserve">e </w:t>
      </w:r>
      <w:r w:rsidR="007D2BC8" w:rsidRPr="00DD2098">
        <w:rPr>
          <w:rFonts w:ascii="Arial" w:hAnsi="Arial" w:cs="Arial"/>
          <w:sz w:val="24"/>
          <w:szCs w:val="24"/>
        </w:rPr>
        <w:t>modificadas</w:t>
      </w:r>
      <w:r w:rsidR="007D2BC8" w:rsidRPr="00257EF9">
        <w:rPr>
          <w:rFonts w:ascii="Arial" w:hAnsi="Arial" w:cs="Arial"/>
          <w:sz w:val="24"/>
          <w:szCs w:val="24"/>
        </w:rPr>
        <w:t xml:space="preserve"> </w:t>
      </w:r>
      <w:r w:rsidR="007D2BC8">
        <w:rPr>
          <w:rFonts w:ascii="Arial" w:hAnsi="Arial" w:cs="Arial"/>
          <w:sz w:val="24"/>
          <w:szCs w:val="24"/>
        </w:rPr>
        <w:t>à realidade brasileira.</w:t>
      </w:r>
    </w:p>
    <w:p w14:paraId="07B0CFFB" w14:textId="77777777" w:rsidR="00225F13" w:rsidRDefault="00FA3451" w:rsidP="00225F13">
      <w:pPr>
        <w:spacing w:before="120" w:after="120" w:line="360" w:lineRule="auto"/>
        <w:ind w:firstLine="708"/>
        <w:jc w:val="both"/>
        <w:rPr>
          <w:rFonts w:ascii="Arial" w:hAnsi="Arial" w:cs="Arial"/>
          <w:sz w:val="24"/>
          <w:szCs w:val="24"/>
        </w:rPr>
      </w:pPr>
      <w:r w:rsidRPr="00FA3451">
        <w:rPr>
          <w:rFonts w:ascii="Arial" w:hAnsi="Arial" w:cs="Arial"/>
          <w:sz w:val="24"/>
          <w:szCs w:val="24"/>
        </w:rPr>
        <w:t xml:space="preserve">As expressões </w:t>
      </w:r>
      <w:r w:rsidRPr="00FA3451">
        <w:rPr>
          <w:rFonts w:ascii="Arial" w:hAnsi="Arial" w:cs="Arial"/>
          <w:i/>
          <w:sz w:val="24"/>
          <w:szCs w:val="24"/>
        </w:rPr>
        <w:t xml:space="preserve">common </w:t>
      </w:r>
      <w:proofErr w:type="spellStart"/>
      <w:r w:rsidRPr="00FA3451">
        <w:rPr>
          <w:rFonts w:ascii="Arial" w:hAnsi="Arial" w:cs="Arial"/>
          <w:i/>
          <w:sz w:val="24"/>
          <w:szCs w:val="24"/>
        </w:rPr>
        <w:t>law</w:t>
      </w:r>
      <w:proofErr w:type="spellEnd"/>
      <w:r w:rsidRPr="00FA3451">
        <w:rPr>
          <w:rFonts w:ascii="Arial" w:hAnsi="Arial" w:cs="Arial"/>
          <w:sz w:val="24"/>
          <w:szCs w:val="24"/>
        </w:rPr>
        <w:t xml:space="preserve"> e </w:t>
      </w:r>
      <w:r w:rsidRPr="00FA3451">
        <w:rPr>
          <w:rFonts w:ascii="Arial" w:hAnsi="Arial" w:cs="Arial"/>
          <w:i/>
          <w:sz w:val="24"/>
          <w:szCs w:val="24"/>
        </w:rPr>
        <w:t xml:space="preserve">civil </w:t>
      </w:r>
      <w:proofErr w:type="spellStart"/>
      <w:r w:rsidRPr="00FA3451">
        <w:rPr>
          <w:rFonts w:ascii="Arial" w:hAnsi="Arial" w:cs="Arial"/>
          <w:i/>
          <w:sz w:val="24"/>
          <w:szCs w:val="24"/>
        </w:rPr>
        <w:t>law</w:t>
      </w:r>
      <w:proofErr w:type="spellEnd"/>
      <w:r w:rsidRPr="00FA3451">
        <w:rPr>
          <w:rFonts w:ascii="Arial" w:hAnsi="Arial" w:cs="Arial"/>
          <w:sz w:val="24"/>
          <w:szCs w:val="24"/>
        </w:rPr>
        <w:t xml:space="preserve"> são utilizadas para </w:t>
      </w:r>
      <w:r w:rsidR="00F97B9D">
        <w:rPr>
          <w:rFonts w:ascii="Arial" w:hAnsi="Arial" w:cs="Arial"/>
          <w:sz w:val="24"/>
          <w:szCs w:val="24"/>
        </w:rPr>
        <w:t>representar</w:t>
      </w:r>
      <w:r w:rsidR="0086033E">
        <w:rPr>
          <w:rFonts w:ascii="Arial" w:hAnsi="Arial" w:cs="Arial"/>
          <w:sz w:val="24"/>
          <w:szCs w:val="24"/>
        </w:rPr>
        <w:t xml:space="preserve"> </w:t>
      </w:r>
      <w:r w:rsidRPr="00FA3451">
        <w:rPr>
          <w:rFonts w:ascii="Arial" w:hAnsi="Arial" w:cs="Arial"/>
          <w:sz w:val="24"/>
          <w:szCs w:val="24"/>
        </w:rPr>
        <w:t>sistemas jur</w:t>
      </w:r>
      <w:r>
        <w:rPr>
          <w:rFonts w:ascii="Arial" w:hAnsi="Arial" w:cs="Arial"/>
          <w:sz w:val="24"/>
          <w:szCs w:val="24"/>
        </w:rPr>
        <w:t>ídicos de diferentes tradições históricas. Apesar de muitos autores considerarem que essa diferenciação entre ambos é cada vez mais fluida e liquefeita, trata-se de conceito comumente encontrado nos textos jurídicos, principalmente aqueles que se aventuram para a análise de direito comparado de algum aspecto</w:t>
      </w:r>
      <w:r w:rsidR="00664964">
        <w:rPr>
          <w:rFonts w:ascii="Arial" w:hAnsi="Arial" w:cs="Arial"/>
          <w:sz w:val="24"/>
          <w:szCs w:val="24"/>
        </w:rPr>
        <w:t xml:space="preserve"> jurídico</w:t>
      </w:r>
      <w:r>
        <w:rPr>
          <w:rFonts w:ascii="Arial" w:hAnsi="Arial" w:cs="Arial"/>
          <w:sz w:val="24"/>
          <w:szCs w:val="24"/>
        </w:rPr>
        <w:t>. Vamos então analisar rapidamente o que elas significam?</w:t>
      </w:r>
    </w:p>
    <w:p w14:paraId="252782D6" w14:textId="20429606" w:rsidR="00225F13" w:rsidRDefault="00664964" w:rsidP="00225F13">
      <w:pPr>
        <w:spacing w:before="120" w:after="120" w:line="360" w:lineRule="auto"/>
        <w:ind w:firstLine="708"/>
        <w:jc w:val="both"/>
        <w:rPr>
          <w:rFonts w:ascii="Arial" w:hAnsi="Arial" w:cs="Arial"/>
          <w:sz w:val="24"/>
          <w:szCs w:val="24"/>
        </w:rPr>
      </w:pPr>
      <w:r>
        <w:rPr>
          <w:rFonts w:ascii="Arial" w:hAnsi="Arial" w:cs="Arial"/>
          <w:i/>
          <w:sz w:val="24"/>
          <w:szCs w:val="24"/>
        </w:rPr>
        <w:t>C</w:t>
      </w:r>
      <w:r w:rsidR="00FA3451">
        <w:rPr>
          <w:rFonts w:ascii="Arial" w:hAnsi="Arial" w:cs="Arial"/>
          <w:i/>
          <w:sz w:val="24"/>
          <w:szCs w:val="24"/>
        </w:rPr>
        <w:t xml:space="preserve">ommon </w:t>
      </w:r>
      <w:proofErr w:type="spellStart"/>
      <w:r w:rsidR="00FA3451">
        <w:rPr>
          <w:rFonts w:ascii="Arial" w:hAnsi="Arial" w:cs="Arial"/>
          <w:i/>
          <w:sz w:val="24"/>
          <w:szCs w:val="24"/>
        </w:rPr>
        <w:t>law</w:t>
      </w:r>
      <w:proofErr w:type="spellEnd"/>
      <w:r w:rsidR="00FA3451">
        <w:rPr>
          <w:rFonts w:ascii="Arial" w:hAnsi="Arial" w:cs="Arial"/>
          <w:sz w:val="24"/>
          <w:szCs w:val="24"/>
        </w:rPr>
        <w:t xml:space="preserve"> é uma expressão que repres</w:t>
      </w:r>
      <w:r w:rsidR="00DC46BD">
        <w:rPr>
          <w:rFonts w:ascii="Arial" w:hAnsi="Arial" w:cs="Arial"/>
          <w:sz w:val="24"/>
          <w:szCs w:val="24"/>
        </w:rPr>
        <w:t>enta uma tradição jurídica anglo-saxônica</w:t>
      </w:r>
      <w:r w:rsidR="002F07E2">
        <w:rPr>
          <w:rFonts w:ascii="Arial" w:hAnsi="Arial" w:cs="Arial"/>
          <w:sz w:val="24"/>
          <w:szCs w:val="24"/>
        </w:rPr>
        <w:t xml:space="preserve">, fortemente baseada na construção do entendimento do Direito pela formação </w:t>
      </w:r>
      <w:r w:rsidR="002F07E2">
        <w:rPr>
          <w:rFonts w:ascii="Arial" w:hAnsi="Arial" w:cs="Arial"/>
          <w:sz w:val="24"/>
          <w:szCs w:val="24"/>
        </w:rPr>
        <w:lastRenderedPageBreak/>
        <w:t>da jurisprudência dos Tribunais (os “precedentes”)</w:t>
      </w:r>
      <w:r w:rsidR="00B01693">
        <w:rPr>
          <w:rFonts w:ascii="Arial" w:hAnsi="Arial" w:cs="Arial"/>
          <w:sz w:val="24"/>
          <w:szCs w:val="24"/>
        </w:rPr>
        <w:t xml:space="preserve"> e pela aplicação do </w:t>
      </w:r>
      <w:commentRangeStart w:id="40"/>
      <w:proofErr w:type="spellStart"/>
      <w:r w:rsidR="00B01693">
        <w:rPr>
          <w:rFonts w:ascii="Arial" w:hAnsi="Arial" w:cs="Arial"/>
          <w:i/>
          <w:sz w:val="24"/>
          <w:szCs w:val="24"/>
        </w:rPr>
        <w:t>stare</w:t>
      </w:r>
      <w:proofErr w:type="spellEnd"/>
      <w:r w:rsidR="00B01693">
        <w:rPr>
          <w:rFonts w:ascii="Arial" w:hAnsi="Arial" w:cs="Arial"/>
          <w:i/>
          <w:sz w:val="24"/>
          <w:szCs w:val="24"/>
        </w:rPr>
        <w:t xml:space="preserve"> </w:t>
      </w:r>
      <w:proofErr w:type="spellStart"/>
      <w:r w:rsidR="00B01693">
        <w:rPr>
          <w:rFonts w:ascii="Arial" w:hAnsi="Arial" w:cs="Arial"/>
          <w:i/>
          <w:sz w:val="24"/>
          <w:szCs w:val="24"/>
        </w:rPr>
        <w:t>decisis</w:t>
      </w:r>
      <w:proofErr w:type="spellEnd"/>
      <w:r w:rsidR="00D249C0">
        <w:rPr>
          <w:rFonts w:ascii="Arial" w:hAnsi="Arial" w:cs="Arial"/>
          <w:i/>
          <w:sz w:val="24"/>
          <w:szCs w:val="24"/>
        </w:rPr>
        <w:t>.</w:t>
      </w:r>
      <w:r w:rsidR="00B01693">
        <w:rPr>
          <w:rStyle w:val="Refdenotaderodap"/>
          <w:rFonts w:ascii="Arial" w:hAnsi="Arial" w:cs="Arial"/>
          <w:i/>
          <w:sz w:val="24"/>
          <w:szCs w:val="24"/>
        </w:rPr>
        <w:footnoteReference w:id="2"/>
      </w:r>
      <w:r w:rsidR="002F07E2">
        <w:rPr>
          <w:rFonts w:ascii="Arial" w:hAnsi="Arial" w:cs="Arial"/>
          <w:sz w:val="24"/>
          <w:szCs w:val="24"/>
        </w:rPr>
        <w:t xml:space="preserve"> </w:t>
      </w:r>
      <w:commentRangeEnd w:id="40"/>
      <w:r w:rsidR="00C56AFF">
        <w:rPr>
          <w:rStyle w:val="Refdecomentrio"/>
        </w:rPr>
        <w:commentReference w:id="40"/>
      </w:r>
      <w:r w:rsidR="002F07E2">
        <w:rPr>
          <w:rFonts w:ascii="Arial" w:hAnsi="Arial" w:cs="Arial"/>
          <w:sz w:val="24"/>
          <w:szCs w:val="24"/>
        </w:rPr>
        <w:t>Nesse sistema, também se aponta uma maior força jurídica aos costumes (direito consuetudinário). São exemplos de países típicos dessa tradição a Inglaterra, os Estados Unidos, o Canadá, a Nova Zelândia</w:t>
      </w:r>
      <w:r w:rsidR="006B714D">
        <w:rPr>
          <w:rFonts w:ascii="Arial" w:hAnsi="Arial" w:cs="Arial"/>
          <w:sz w:val="24"/>
          <w:szCs w:val="24"/>
        </w:rPr>
        <w:t xml:space="preserve"> e</w:t>
      </w:r>
      <w:r w:rsidR="002F07E2">
        <w:rPr>
          <w:rFonts w:ascii="Arial" w:hAnsi="Arial" w:cs="Arial"/>
          <w:sz w:val="24"/>
          <w:szCs w:val="24"/>
        </w:rPr>
        <w:t xml:space="preserve"> a Austrália, </w:t>
      </w:r>
      <w:r w:rsidR="00D249C0">
        <w:rPr>
          <w:rFonts w:ascii="Arial" w:hAnsi="Arial" w:cs="Arial"/>
          <w:sz w:val="24"/>
          <w:szCs w:val="24"/>
        </w:rPr>
        <w:t xml:space="preserve">entre </w:t>
      </w:r>
      <w:r w:rsidR="002F07E2">
        <w:rPr>
          <w:rFonts w:ascii="Arial" w:hAnsi="Arial" w:cs="Arial"/>
          <w:sz w:val="24"/>
          <w:szCs w:val="24"/>
        </w:rPr>
        <w:t>outros.</w:t>
      </w:r>
    </w:p>
    <w:p w14:paraId="77D31D7C" w14:textId="35823A46" w:rsidR="00225F13" w:rsidRDefault="002F07E2" w:rsidP="00225F13">
      <w:pPr>
        <w:spacing w:before="120" w:after="120" w:line="360" w:lineRule="auto"/>
        <w:ind w:firstLine="708"/>
        <w:jc w:val="both"/>
        <w:rPr>
          <w:rFonts w:ascii="Arial" w:hAnsi="Arial" w:cs="Arial"/>
          <w:sz w:val="24"/>
          <w:szCs w:val="24"/>
        </w:rPr>
      </w:pPr>
      <w:r>
        <w:rPr>
          <w:rFonts w:ascii="Arial" w:hAnsi="Arial" w:cs="Arial"/>
          <w:sz w:val="24"/>
          <w:szCs w:val="24"/>
        </w:rPr>
        <w:t xml:space="preserve">De modo distinto, a </w:t>
      </w:r>
      <w:r>
        <w:rPr>
          <w:rFonts w:ascii="Arial" w:hAnsi="Arial" w:cs="Arial"/>
          <w:i/>
          <w:sz w:val="24"/>
          <w:szCs w:val="24"/>
        </w:rPr>
        <w:t xml:space="preserve">civil </w:t>
      </w:r>
      <w:proofErr w:type="spellStart"/>
      <w:r>
        <w:rPr>
          <w:rFonts w:ascii="Arial" w:hAnsi="Arial" w:cs="Arial"/>
          <w:i/>
          <w:sz w:val="24"/>
          <w:szCs w:val="24"/>
        </w:rPr>
        <w:t>law</w:t>
      </w:r>
      <w:proofErr w:type="spellEnd"/>
      <w:r>
        <w:rPr>
          <w:rFonts w:ascii="Arial" w:hAnsi="Arial" w:cs="Arial"/>
          <w:sz w:val="24"/>
          <w:szCs w:val="24"/>
        </w:rPr>
        <w:t xml:space="preserve"> representa uma tradição jurídica de origem romano-germânica</w:t>
      </w:r>
      <w:r w:rsidR="00B01693">
        <w:rPr>
          <w:rFonts w:ascii="Arial" w:hAnsi="Arial" w:cs="Arial"/>
          <w:sz w:val="24"/>
          <w:szCs w:val="24"/>
        </w:rPr>
        <w:t xml:space="preserve">, em que os atos legislativos e normativos exsurgem como a principal fonte do Direito (a formação de </w:t>
      </w:r>
      <w:r w:rsidR="008342F3">
        <w:rPr>
          <w:rFonts w:ascii="Arial" w:hAnsi="Arial" w:cs="Arial"/>
          <w:sz w:val="24"/>
          <w:szCs w:val="24"/>
        </w:rPr>
        <w:t>c</w:t>
      </w:r>
      <w:r w:rsidR="00B01693">
        <w:rPr>
          <w:rFonts w:ascii="Arial" w:hAnsi="Arial" w:cs="Arial"/>
          <w:sz w:val="24"/>
          <w:szCs w:val="24"/>
        </w:rPr>
        <w:t>ódigos legislativos, por exemplo, é característica típica desse sistema). Além disso, a própria construção discursiva</w:t>
      </w:r>
      <w:r w:rsidR="00E31A84">
        <w:rPr>
          <w:rFonts w:ascii="Arial" w:hAnsi="Arial" w:cs="Arial"/>
          <w:sz w:val="24"/>
          <w:szCs w:val="24"/>
        </w:rPr>
        <w:t xml:space="preserve"> e argumentativa</w:t>
      </w:r>
      <w:r w:rsidR="00B01693">
        <w:rPr>
          <w:rFonts w:ascii="Arial" w:hAnsi="Arial" w:cs="Arial"/>
          <w:sz w:val="24"/>
          <w:szCs w:val="24"/>
        </w:rPr>
        <w:t xml:space="preserve"> do Direito se dá pela referência aos </w:t>
      </w:r>
      <w:r w:rsidR="00B01693">
        <w:rPr>
          <w:rFonts w:ascii="Arial" w:hAnsi="Arial" w:cs="Arial"/>
          <w:i/>
          <w:sz w:val="24"/>
          <w:szCs w:val="24"/>
        </w:rPr>
        <w:t xml:space="preserve">doutrinadores </w:t>
      </w:r>
      <w:r w:rsidR="00B01693">
        <w:rPr>
          <w:rFonts w:ascii="Arial" w:hAnsi="Arial" w:cs="Arial"/>
          <w:sz w:val="24"/>
          <w:szCs w:val="24"/>
        </w:rPr>
        <w:t xml:space="preserve">(que modernamente representam a figura dos antigos </w:t>
      </w:r>
      <w:commentRangeStart w:id="41"/>
      <w:r w:rsidR="00B01693">
        <w:rPr>
          <w:rFonts w:ascii="Arial" w:hAnsi="Arial" w:cs="Arial"/>
          <w:i/>
          <w:sz w:val="24"/>
          <w:szCs w:val="24"/>
        </w:rPr>
        <w:t>glosadores</w:t>
      </w:r>
      <w:commentRangeEnd w:id="41"/>
      <w:r w:rsidR="00C56AFF">
        <w:rPr>
          <w:rStyle w:val="Refdecomentrio"/>
        </w:rPr>
        <w:commentReference w:id="41"/>
      </w:r>
      <w:r w:rsidR="00B01693" w:rsidRPr="00B01693">
        <w:rPr>
          <w:rStyle w:val="Refdenotaderodap"/>
          <w:rFonts w:ascii="Arial" w:hAnsi="Arial" w:cs="Arial"/>
          <w:sz w:val="24"/>
          <w:szCs w:val="24"/>
        </w:rPr>
        <w:footnoteReference w:id="3"/>
      </w:r>
      <w:r w:rsidR="00B01693">
        <w:rPr>
          <w:rFonts w:ascii="Arial" w:hAnsi="Arial" w:cs="Arial"/>
          <w:sz w:val="24"/>
          <w:szCs w:val="24"/>
        </w:rPr>
        <w:t>)</w:t>
      </w:r>
      <w:r w:rsidR="00335D64">
        <w:rPr>
          <w:rFonts w:ascii="Arial" w:hAnsi="Arial" w:cs="Arial"/>
          <w:sz w:val="24"/>
          <w:szCs w:val="24"/>
        </w:rPr>
        <w:t>. É esse o sistema ao qual o Brasil histórica e majoritariamente se filia, ao lado de países como a Itália, a Alemanha, Portugal, Espanha e os países da Europa continental em geral.</w:t>
      </w:r>
    </w:p>
    <w:p w14:paraId="791F24C4" w14:textId="55DB4144" w:rsidR="008D40BA" w:rsidRDefault="008D40BA" w:rsidP="00225F13">
      <w:pPr>
        <w:spacing w:before="120" w:after="120" w:line="360" w:lineRule="auto"/>
        <w:ind w:firstLine="708"/>
        <w:jc w:val="both"/>
        <w:rPr>
          <w:rFonts w:ascii="Arial" w:hAnsi="Arial" w:cs="Arial"/>
          <w:sz w:val="24"/>
          <w:szCs w:val="24"/>
        </w:rPr>
      </w:pPr>
      <w:r>
        <w:rPr>
          <w:rFonts w:ascii="Arial" w:hAnsi="Arial" w:cs="Arial"/>
          <w:sz w:val="24"/>
          <w:szCs w:val="24"/>
        </w:rPr>
        <w:t>Como veremos mais à frente, uma das mais destacadas inovações do</w:t>
      </w:r>
      <w:r w:rsidR="000473BE">
        <w:rPr>
          <w:rFonts w:ascii="Arial" w:hAnsi="Arial" w:cs="Arial"/>
          <w:sz w:val="24"/>
          <w:szCs w:val="24"/>
        </w:rPr>
        <w:t xml:space="preserve"> Novo Código de Processo Civil</w:t>
      </w:r>
      <w:r>
        <w:rPr>
          <w:rFonts w:ascii="Arial" w:hAnsi="Arial" w:cs="Arial"/>
          <w:sz w:val="24"/>
          <w:szCs w:val="24"/>
        </w:rPr>
        <w:t xml:space="preserve"> </w:t>
      </w:r>
      <w:r w:rsidR="00ED6067">
        <w:rPr>
          <w:rFonts w:ascii="Arial" w:hAnsi="Arial" w:cs="Arial"/>
          <w:sz w:val="24"/>
          <w:szCs w:val="24"/>
        </w:rPr>
        <w:t>diz respeito à</w:t>
      </w:r>
      <w:r>
        <w:rPr>
          <w:rFonts w:ascii="Arial" w:hAnsi="Arial" w:cs="Arial"/>
          <w:sz w:val="24"/>
          <w:szCs w:val="24"/>
        </w:rPr>
        <w:t xml:space="preserve"> tentativa de </w:t>
      </w:r>
      <w:r w:rsidR="00ED6067">
        <w:rPr>
          <w:rFonts w:ascii="Arial" w:hAnsi="Arial" w:cs="Arial"/>
          <w:sz w:val="24"/>
          <w:szCs w:val="24"/>
        </w:rPr>
        <w:t xml:space="preserve">se </w:t>
      </w:r>
      <w:r w:rsidR="00E522C8">
        <w:rPr>
          <w:rFonts w:ascii="Arial" w:hAnsi="Arial" w:cs="Arial"/>
          <w:sz w:val="24"/>
          <w:szCs w:val="24"/>
        </w:rPr>
        <w:t xml:space="preserve">conferirem </w:t>
      </w:r>
      <w:r w:rsidR="000473BE">
        <w:rPr>
          <w:rFonts w:ascii="Arial" w:hAnsi="Arial" w:cs="Arial"/>
          <w:sz w:val="24"/>
          <w:szCs w:val="24"/>
        </w:rPr>
        <w:t>maior estabilidade e força aos precedentes</w:t>
      </w:r>
      <w:r>
        <w:rPr>
          <w:rFonts w:ascii="Arial" w:hAnsi="Arial" w:cs="Arial"/>
          <w:sz w:val="24"/>
          <w:szCs w:val="24"/>
        </w:rPr>
        <w:t xml:space="preserve"> judiciais, dificultando a sua alteração inconsequente e obrigando as instâncias inferiores a seguirem o entendimento dos Tribunais hierarquicamente superiores. Aliás, como estudaremos, um dos motivos que ens</w:t>
      </w:r>
      <w:r w:rsidR="0086662E">
        <w:rPr>
          <w:rFonts w:ascii="Arial" w:hAnsi="Arial" w:cs="Arial"/>
          <w:sz w:val="24"/>
          <w:szCs w:val="24"/>
        </w:rPr>
        <w:t>ejaram o nascimento do que hoje conhecemos por repercussão geral foi justamente a necessidade de</w:t>
      </w:r>
      <w:r w:rsidR="006B714D">
        <w:rPr>
          <w:rFonts w:ascii="Arial" w:hAnsi="Arial" w:cs="Arial"/>
          <w:sz w:val="24"/>
          <w:szCs w:val="24"/>
        </w:rPr>
        <w:t xml:space="preserve"> se</w:t>
      </w:r>
      <w:r w:rsidR="0086662E">
        <w:rPr>
          <w:rFonts w:ascii="Arial" w:hAnsi="Arial" w:cs="Arial"/>
          <w:sz w:val="24"/>
          <w:szCs w:val="24"/>
        </w:rPr>
        <w:t xml:space="preserve"> conferir maior uniformidade na aplicação do Direito, bem como compatibilização entre os entendimentos das diferentes instâncias judiciais do país.</w:t>
      </w:r>
    </w:p>
    <w:p w14:paraId="3AD263D2" w14:textId="77777777" w:rsidR="00225F13" w:rsidRDefault="00225F13" w:rsidP="0074323D">
      <w:pPr>
        <w:tabs>
          <w:tab w:val="left" w:pos="1397"/>
        </w:tabs>
        <w:spacing w:before="120" w:after="120" w:line="360" w:lineRule="auto"/>
        <w:ind w:firstLine="1134"/>
        <w:jc w:val="both"/>
        <w:rPr>
          <w:rFonts w:ascii="Arial" w:hAnsi="Arial" w:cs="Arial"/>
          <w:sz w:val="24"/>
          <w:szCs w:val="24"/>
          <w:u w:val="single"/>
        </w:rPr>
      </w:pPr>
    </w:p>
    <w:p w14:paraId="344C496E" w14:textId="77777777" w:rsidR="00B7428B" w:rsidRPr="00512B00" w:rsidRDefault="00512B00" w:rsidP="00512B00">
      <w:pPr>
        <w:tabs>
          <w:tab w:val="left" w:pos="851"/>
        </w:tabs>
        <w:spacing w:before="120" w:after="120" w:line="360" w:lineRule="auto"/>
        <w:jc w:val="both"/>
        <w:rPr>
          <w:rFonts w:ascii="Arial" w:hAnsi="Arial" w:cs="Arial"/>
          <w:sz w:val="24"/>
          <w:szCs w:val="24"/>
        </w:rPr>
      </w:pPr>
      <w:r w:rsidRPr="00512B00">
        <w:rPr>
          <w:rFonts w:ascii="Arial" w:hAnsi="Arial" w:cs="Arial"/>
          <w:sz w:val="24"/>
          <w:szCs w:val="24"/>
        </w:rPr>
        <w:tab/>
      </w:r>
      <w:commentRangeStart w:id="42"/>
      <w:r w:rsidR="00B7428B" w:rsidRPr="00512B00">
        <w:rPr>
          <w:rFonts w:ascii="Arial" w:hAnsi="Arial" w:cs="Arial"/>
          <w:sz w:val="24"/>
          <w:szCs w:val="24"/>
        </w:rPr>
        <w:t>Leituras complementares:</w:t>
      </w:r>
      <w:commentRangeEnd w:id="42"/>
      <w:r w:rsidR="00C56AFF">
        <w:rPr>
          <w:rStyle w:val="Refdecomentrio"/>
        </w:rPr>
        <w:commentReference w:id="42"/>
      </w:r>
    </w:p>
    <w:p w14:paraId="6DA9C824" w14:textId="3BFEAAF8" w:rsidR="0074323D" w:rsidRDefault="00225F13"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74323D">
        <w:rPr>
          <w:rFonts w:ascii="Arial" w:hAnsi="Arial" w:cs="Arial"/>
          <w:sz w:val="24"/>
          <w:szCs w:val="24"/>
        </w:rPr>
        <w:t>Sobre a aproximação entre os sistemas do</w:t>
      </w:r>
      <w:r w:rsidR="0074323D" w:rsidRPr="0074323D">
        <w:rPr>
          <w:rFonts w:ascii="Arial" w:hAnsi="Arial" w:cs="Arial"/>
          <w:sz w:val="24"/>
          <w:szCs w:val="24"/>
        </w:rPr>
        <w:t xml:space="preserve"> </w:t>
      </w:r>
      <w:r w:rsidR="0074323D" w:rsidRPr="0074323D">
        <w:rPr>
          <w:rFonts w:ascii="Arial" w:hAnsi="Arial" w:cs="Arial"/>
          <w:i/>
          <w:sz w:val="24"/>
          <w:szCs w:val="24"/>
        </w:rPr>
        <w:t xml:space="preserve">civil </w:t>
      </w:r>
      <w:proofErr w:type="spellStart"/>
      <w:r w:rsidR="0074323D" w:rsidRPr="0074323D">
        <w:rPr>
          <w:rFonts w:ascii="Arial" w:hAnsi="Arial" w:cs="Arial"/>
          <w:i/>
          <w:sz w:val="24"/>
          <w:szCs w:val="24"/>
        </w:rPr>
        <w:t>law</w:t>
      </w:r>
      <w:proofErr w:type="spellEnd"/>
      <w:r w:rsidR="0074323D" w:rsidRPr="0074323D">
        <w:rPr>
          <w:rFonts w:ascii="Arial" w:hAnsi="Arial" w:cs="Arial"/>
          <w:sz w:val="24"/>
          <w:szCs w:val="24"/>
        </w:rPr>
        <w:t xml:space="preserve"> com </w:t>
      </w:r>
      <w:r w:rsidR="0074323D">
        <w:rPr>
          <w:rFonts w:ascii="Arial" w:hAnsi="Arial" w:cs="Arial"/>
          <w:sz w:val="24"/>
          <w:szCs w:val="24"/>
        </w:rPr>
        <w:t>o da</w:t>
      </w:r>
      <w:r w:rsidR="0074323D" w:rsidRPr="0074323D">
        <w:rPr>
          <w:rFonts w:ascii="Arial" w:hAnsi="Arial" w:cs="Arial"/>
          <w:sz w:val="24"/>
          <w:szCs w:val="24"/>
        </w:rPr>
        <w:t xml:space="preserve"> </w:t>
      </w:r>
      <w:r w:rsidR="0074323D" w:rsidRPr="0074323D">
        <w:rPr>
          <w:rFonts w:ascii="Arial" w:hAnsi="Arial" w:cs="Arial"/>
          <w:i/>
          <w:sz w:val="24"/>
          <w:szCs w:val="24"/>
        </w:rPr>
        <w:t xml:space="preserve">common </w:t>
      </w:r>
      <w:proofErr w:type="spellStart"/>
      <w:r w:rsidR="0074323D" w:rsidRPr="0074323D">
        <w:rPr>
          <w:rFonts w:ascii="Arial" w:hAnsi="Arial" w:cs="Arial"/>
          <w:i/>
          <w:sz w:val="24"/>
          <w:szCs w:val="24"/>
        </w:rPr>
        <w:t>law</w:t>
      </w:r>
      <w:proofErr w:type="spellEnd"/>
      <w:r w:rsidR="0074323D">
        <w:rPr>
          <w:rFonts w:ascii="Arial" w:hAnsi="Arial" w:cs="Arial"/>
          <w:sz w:val="24"/>
          <w:szCs w:val="24"/>
        </w:rPr>
        <w:t>, sobretudo a partir do</w:t>
      </w:r>
      <w:r w:rsidR="0074323D" w:rsidRPr="0074323D">
        <w:rPr>
          <w:rFonts w:ascii="Arial" w:hAnsi="Arial" w:cs="Arial"/>
          <w:sz w:val="24"/>
          <w:szCs w:val="24"/>
        </w:rPr>
        <w:t xml:space="preserve"> </w:t>
      </w:r>
      <w:r w:rsidR="000F4537">
        <w:rPr>
          <w:rFonts w:ascii="Arial" w:hAnsi="Arial" w:cs="Arial"/>
          <w:sz w:val="24"/>
          <w:szCs w:val="24"/>
        </w:rPr>
        <w:t>N</w:t>
      </w:r>
      <w:r w:rsidR="0074323D" w:rsidRPr="0074323D">
        <w:rPr>
          <w:rFonts w:ascii="Arial" w:hAnsi="Arial" w:cs="Arial"/>
          <w:sz w:val="24"/>
          <w:szCs w:val="24"/>
        </w:rPr>
        <w:t>ovo Código de Processo Civil</w:t>
      </w:r>
      <w:r w:rsidR="0074323D">
        <w:rPr>
          <w:rFonts w:ascii="Arial" w:hAnsi="Arial" w:cs="Arial"/>
          <w:sz w:val="24"/>
          <w:szCs w:val="24"/>
        </w:rPr>
        <w:t xml:space="preserve">, indica-se o seguinte texto: </w:t>
      </w:r>
      <w:r w:rsidR="00AE6A84">
        <w:rPr>
          <w:rFonts w:ascii="Arial" w:hAnsi="Arial" w:cs="Arial"/>
          <w:sz w:val="24"/>
          <w:szCs w:val="24"/>
        </w:rPr>
        <w:t>&lt;</w:t>
      </w:r>
      <w:hyperlink r:id="rId18" w:history="1">
        <w:r w:rsidR="00AE6A84" w:rsidRPr="00DD2098">
          <w:rPr>
            <w:rStyle w:val="Hyperlink"/>
            <w:rFonts w:ascii="Arial" w:hAnsi="Arial" w:cs="Arial"/>
            <w:sz w:val="24"/>
            <w:szCs w:val="24"/>
          </w:rPr>
          <w:t>http://www.migalhas.com.br/dePeso/16,MI234946,81042-Aproximacao+da+civil+law+com+a+common+law+no+novo+Codigo+de+Processo</w:t>
        </w:r>
      </w:hyperlink>
      <w:r w:rsidR="00AE6A84">
        <w:rPr>
          <w:rStyle w:val="Hyperlink"/>
          <w:rFonts w:ascii="Arial" w:hAnsi="Arial" w:cs="Arial"/>
          <w:sz w:val="24"/>
          <w:szCs w:val="24"/>
        </w:rPr>
        <w:t>&gt;</w:t>
      </w:r>
      <w:r w:rsidR="0074323D">
        <w:rPr>
          <w:rFonts w:ascii="Arial" w:hAnsi="Arial" w:cs="Arial"/>
          <w:sz w:val="24"/>
          <w:szCs w:val="24"/>
        </w:rPr>
        <w:t xml:space="preserve">. </w:t>
      </w:r>
    </w:p>
    <w:p w14:paraId="3592B8C0" w14:textId="153308AA" w:rsidR="00AE6A84" w:rsidRDefault="00AE6A84"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lastRenderedPageBreak/>
        <w:tab/>
      </w:r>
      <w:r w:rsidR="0075202B">
        <w:rPr>
          <w:rFonts w:ascii="Arial" w:hAnsi="Arial" w:cs="Arial"/>
          <w:sz w:val="24"/>
          <w:szCs w:val="24"/>
        </w:rPr>
        <w:t xml:space="preserve">Para </w:t>
      </w:r>
      <w:r>
        <w:rPr>
          <w:rFonts w:ascii="Arial" w:hAnsi="Arial" w:cs="Arial"/>
          <w:sz w:val="24"/>
          <w:szCs w:val="24"/>
        </w:rPr>
        <w:t>o</w:t>
      </w:r>
      <w:r w:rsidR="0075202B">
        <w:rPr>
          <w:rFonts w:ascii="Arial" w:hAnsi="Arial" w:cs="Arial"/>
          <w:sz w:val="24"/>
          <w:szCs w:val="24"/>
        </w:rPr>
        <w:t xml:space="preserve"> aprofundamento da questão, indica-se </w:t>
      </w:r>
      <w:r>
        <w:rPr>
          <w:rFonts w:ascii="Arial" w:hAnsi="Arial" w:cs="Arial"/>
          <w:sz w:val="24"/>
          <w:szCs w:val="24"/>
        </w:rPr>
        <w:t xml:space="preserve">o </w:t>
      </w:r>
      <w:r w:rsidR="0075202B">
        <w:rPr>
          <w:rFonts w:ascii="Arial" w:hAnsi="Arial" w:cs="Arial"/>
          <w:sz w:val="24"/>
          <w:szCs w:val="24"/>
        </w:rPr>
        <w:t xml:space="preserve">excelente trabalho do Professor Luiz Guilherme </w:t>
      </w:r>
      <w:proofErr w:type="spellStart"/>
      <w:r w:rsidR="0075202B">
        <w:rPr>
          <w:rFonts w:ascii="Arial" w:hAnsi="Arial" w:cs="Arial"/>
          <w:sz w:val="24"/>
          <w:szCs w:val="24"/>
        </w:rPr>
        <w:t>Marinoni</w:t>
      </w:r>
      <w:proofErr w:type="spellEnd"/>
      <w:r w:rsidR="0075202B">
        <w:rPr>
          <w:rFonts w:ascii="Arial" w:hAnsi="Arial" w:cs="Arial"/>
          <w:sz w:val="24"/>
          <w:szCs w:val="24"/>
        </w:rPr>
        <w:t xml:space="preserve">, publicado na </w:t>
      </w:r>
      <w:r w:rsidR="0075202B" w:rsidRPr="005B60AC">
        <w:rPr>
          <w:rFonts w:ascii="Arial" w:hAnsi="Arial" w:cs="Arial"/>
          <w:i/>
          <w:sz w:val="24"/>
          <w:szCs w:val="24"/>
        </w:rPr>
        <w:t>Revista da Faculdade de Direito da Universidade Federal do Paraná</w:t>
      </w:r>
      <w:r w:rsidR="0075202B">
        <w:rPr>
          <w:rFonts w:ascii="Arial" w:hAnsi="Arial" w:cs="Arial"/>
          <w:sz w:val="24"/>
          <w:szCs w:val="24"/>
        </w:rPr>
        <w:t xml:space="preserve"> (UFPR), número 49 (2009). </w:t>
      </w:r>
      <w:r w:rsidR="0075202B" w:rsidRPr="0075202B">
        <w:rPr>
          <w:rFonts w:ascii="Arial" w:hAnsi="Arial" w:cs="Arial"/>
          <w:sz w:val="24"/>
          <w:szCs w:val="24"/>
        </w:rPr>
        <w:t>O trabalho</w:t>
      </w:r>
      <w:r w:rsidR="00714696">
        <w:rPr>
          <w:rFonts w:ascii="Arial" w:hAnsi="Arial" w:cs="Arial"/>
          <w:sz w:val="24"/>
          <w:szCs w:val="24"/>
        </w:rPr>
        <w:t>, conforme seu próprio resumo, “</w:t>
      </w:r>
      <w:r w:rsidR="00714696" w:rsidRPr="00714696">
        <w:rPr>
          <w:rFonts w:ascii="Arial" w:hAnsi="Arial" w:cs="Arial"/>
          <w:sz w:val="24"/>
          <w:szCs w:val="24"/>
        </w:rPr>
        <w:t>objetiva demonstrar, mediante um método histórico-crítico, a aproximação entre</w:t>
      </w:r>
      <w:r w:rsidR="00714696">
        <w:rPr>
          <w:rFonts w:ascii="Arial" w:hAnsi="Arial" w:cs="Arial"/>
          <w:sz w:val="24"/>
          <w:szCs w:val="24"/>
        </w:rPr>
        <w:t xml:space="preserve"> </w:t>
      </w:r>
      <w:r w:rsidR="00714696" w:rsidRPr="00714696">
        <w:rPr>
          <w:rFonts w:ascii="Arial" w:hAnsi="Arial" w:cs="Arial"/>
          <w:sz w:val="24"/>
          <w:szCs w:val="24"/>
        </w:rPr>
        <w:t xml:space="preserve">as jurisdições do </w:t>
      </w:r>
      <w:r w:rsidR="00714696" w:rsidRPr="00714696">
        <w:rPr>
          <w:rFonts w:ascii="Arial" w:hAnsi="Arial" w:cs="Arial"/>
          <w:i/>
          <w:sz w:val="24"/>
          <w:szCs w:val="24"/>
        </w:rPr>
        <w:t xml:space="preserve">civil </w:t>
      </w:r>
      <w:proofErr w:type="spellStart"/>
      <w:r w:rsidR="00714696" w:rsidRPr="00714696">
        <w:rPr>
          <w:rFonts w:ascii="Arial" w:hAnsi="Arial" w:cs="Arial"/>
          <w:i/>
          <w:sz w:val="24"/>
          <w:szCs w:val="24"/>
        </w:rPr>
        <w:t>law</w:t>
      </w:r>
      <w:proofErr w:type="spellEnd"/>
      <w:r w:rsidR="00714696" w:rsidRPr="00714696">
        <w:rPr>
          <w:rFonts w:ascii="Arial" w:hAnsi="Arial" w:cs="Arial"/>
          <w:sz w:val="24"/>
          <w:szCs w:val="24"/>
        </w:rPr>
        <w:t xml:space="preserve"> e do </w:t>
      </w:r>
      <w:r w:rsidR="00714696" w:rsidRPr="00714696">
        <w:rPr>
          <w:rFonts w:ascii="Arial" w:hAnsi="Arial" w:cs="Arial"/>
          <w:i/>
          <w:sz w:val="24"/>
          <w:szCs w:val="24"/>
        </w:rPr>
        <w:t xml:space="preserve">common </w:t>
      </w:r>
      <w:proofErr w:type="spellStart"/>
      <w:r w:rsidR="00714696" w:rsidRPr="00714696">
        <w:rPr>
          <w:rFonts w:ascii="Arial" w:hAnsi="Arial" w:cs="Arial"/>
          <w:i/>
          <w:sz w:val="24"/>
          <w:szCs w:val="24"/>
        </w:rPr>
        <w:t>law</w:t>
      </w:r>
      <w:proofErr w:type="spellEnd"/>
      <w:r w:rsidR="00714696" w:rsidRPr="00714696">
        <w:rPr>
          <w:rFonts w:ascii="Arial" w:hAnsi="Arial" w:cs="Arial"/>
          <w:sz w:val="24"/>
          <w:szCs w:val="24"/>
        </w:rPr>
        <w:t>, e, em tal dimensão, a necessidade de se render respeito</w:t>
      </w:r>
      <w:r w:rsidR="00714696">
        <w:rPr>
          <w:rFonts w:ascii="Arial" w:hAnsi="Arial" w:cs="Arial"/>
          <w:sz w:val="24"/>
          <w:szCs w:val="24"/>
        </w:rPr>
        <w:t xml:space="preserve"> </w:t>
      </w:r>
      <w:r w:rsidR="00714696" w:rsidRPr="00714696">
        <w:rPr>
          <w:rFonts w:ascii="Arial" w:hAnsi="Arial" w:cs="Arial"/>
          <w:sz w:val="24"/>
          <w:szCs w:val="24"/>
        </w:rPr>
        <w:t>aos precedentes no direito brasileiro</w:t>
      </w:r>
      <w:r w:rsidR="00714696">
        <w:rPr>
          <w:rFonts w:ascii="Arial" w:hAnsi="Arial" w:cs="Arial"/>
          <w:sz w:val="24"/>
          <w:szCs w:val="24"/>
        </w:rPr>
        <w:t xml:space="preserve">”. </w:t>
      </w:r>
      <w:r w:rsidR="0075202B">
        <w:rPr>
          <w:rFonts w:ascii="Arial" w:hAnsi="Arial" w:cs="Arial"/>
          <w:sz w:val="24"/>
          <w:szCs w:val="24"/>
        </w:rPr>
        <w:t>O artigo é longo, mas bastante minucioso e profundo</w:t>
      </w:r>
      <w:r w:rsidR="00DE67B8">
        <w:rPr>
          <w:rFonts w:ascii="Arial" w:hAnsi="Arial" w:cs="Arial"/>
          <w:sz w:val="24"/>
          <w:szCs w:val="24"/>
        </w:rPr>
        <w:t>, além de ser bastante pertinente ao nosso curso</w:t>
      </w:r>
      <w:r w:rsidR="0075202B">
        <w:rPr>
          <w:rFonts w:ascii="Arial" w:hAnsi="Arial" w:cs="Arial"/>
          <w:sz w:val="24"/>
          <w:szCs w:val="24"/>
        </w:rPr>
        <w:t>. Aos que se interessarem, fica a sugestão.</w:t>
      </w:r>
    </w:p>
    <w:p w14:paraId="5430B221" w14:textId="6D92A558" w:rsidR="0075202B" w:rsidRDefault="00AE6A84" w:rsidP="005B60AC">
      <w:pPr>
        <w:tabs>
          <w:tab w:val="left" w:pos="851"/>
        </w:tabs>
        <w:spacing w:before="120" w:after="120" w:line="360" w:lineRule="auto"/>
        <w:jc w:val="both"/>
      </w:pPr>
      <w:r>
        <w:rPr>
          <w:rFonts w:ascii="Arial" w:hAnsi="Arial" w:cs="Arial"/>
          <w:sz w:val="24"/>
          <w:szCs w:val="24"/>
        </w:rPr>
        <w:tab/>
      </w:r>
      <w:r>
        <w:t>&lt;</w:t>
      </w:r>
      <w:hyperlink r:id="rId19" w:history="1">
        <w:r w:rsidR="0075202B" w:rsidRPr="00150BBC">
          <w:rPr>
            <w:rStyle w:val="Hyperlink"/>
            <w:rFonts w:ascii="Arial" w:hAnsi="Arial" w:cs="Arial"/>
            <w:sz w:val="24"/>
            <w:szCs w:val="24"/>
          </w:rPr>
          <w:t>http://revistas.ufpr.br/direito/article/viewFile/17031/11238</w:t>
        </w:r>
      </w:hyperlink>
      <w:r w:rsidRPr="005B60AC">
        <w:t>&gt;.</w:t>
      </w:r>
    </w:p>
    <w:p w14:paraId="6B2E86FC" w14:textId="2DDE1795" w:rsidR="0074323D" w:rsidRDefault="00AE6A84" w:rsidP="005B60AC">
      <w:pPr>
        <w:tabs>
          <w:tab w:val="left" w:pos="851"/>
        </w:tabs>
        <w:spacing w:before="120" w:after="120" w:line="360" w:lineRule="auto"/>
        <w:jc w:val="both"/>
        <w:rPr>
          <w:rFonts w:ascii="Arial" w:hAnsi="Arial" w:cs="Arial"/>
          <w:sz w:val="24"/>
          <w:szCs w:val="24"/>
        </w:rPr>
      </w:pPr>
      <w:r>
        <w:tab/>
      </w:r>
      <w:r w:rsidR="0074323D">
        <w:rPr>
          <w:rFonts w:ascii="Arial" w:hAnsi="Arial" w:cs="Arial"/>
          <w:sz w:val="24"/>
          <w:szCs w:val="24"/>
        </w:rPr>
        <w:t xml:space="preserve">O tema será posteriormente abordado mais especificamente quando tratarmos das principais alterações do </w:t>
      </w:r>
      <w:r w:rsidR="000F4537">
        <w:rPr>
          <w:rFonts w:ascii="Arial" w:hAnsi="Arial" w:cs="Arial"/>
          <w:sz w:val="24"/>
          <w:szCs w:val="24"/>
        </w:rPr>
        <w:t>N</w:t>
      </w:r>
      <w:r w:rsidR="0074323D" w:rsidRPr="0074323D">
        <w:rPr>
          <w:rFonts w:ascii="Arial" w:hAnsi="Arial" w:cs="Arial"/>
          <w:sz w:val="24"/>
          <w:szCs w:val="24"/>
        </w:rPr>
        <w:t>ovo Código de Processo Civil</w:t>
      </w:r>
      <w:r w:rsidR="0074323D">
        <w:rPr>
          <w:rFonts w:ascii="Arial" w:hAnsi="Arial" w:cs="Arial"/>
          <w:sz w:val="24"/>
          <w:szCs w:val="24"/>
        </w:rPr>
        <w:t xml:space="preserve"> sobre </w:t>
      </w:r>
      <w:r w:rsidR="0086033E">
        <w:rPr>
          <w:rFonts w:ascii="Arial" w:hAnsi="Arial" w:cs="Arial"/>
          <w:sz w:val="24"/>
          <w:szCs w:val="24"/>
        </w:rPr>
        <w:t xml:space="preserve">o </w:t>
      </w:r>
      <w:r w:rsidR="0074323D">
        <w:rPr>
          <w:rFonts w:ascii="Arial" w:hAnsi="Arial" w:cs="Arial"/>
          <w:sz w:val="24"/>
          <w:szCs w:val="24"/>
        </w:rPr>
        <w:t>tema</w:t>
      </w:r>
      <w:r w:rsidR="00E8433D">
        <w:rPr>
          <w:rStyle w:val="Refdecomentrio"/>
        </w:rPr>
        <w:commentReference w:id="43"/>
      </w:r>
      <w:r w:rsidR="008342F3">
        <w:rPr>
          <w:rFonts w:ascii="Arial" w:hAnsi="Arial" w:cs="Arial"/>
          <w:sz w:val="24"/>
          <w:szCs w:val="24"/>
        </w:rPr>
        <w:t>.</w:t>
      </w:r>
    </w:p>
    <w:p w14:paraId="23EDA0AC" w14:textId="77777777" w:rsidR="00AE6A84" w:rsidRDefault="00AE6A84" w:rsidP="005B60AC">
      <w:pPr>
        <w:tabs>
          <w:tab w:val="left" w:pos="851"/>
        </w:tabs>
        <w:spacing w:before="120" w:after="120" w:line="360" w:lineRule="auto"/>
        <w:jc w:val="both"/>
        <w:rPr>
          <w:rFonts w:ascii="Arial" w:hAnsi="Arial" w:cs="Arial"/>
          <w:sz w:val="24"/>
          <w:szCs w:val="24"/>
        </w:rPr>
      </w:pPr>
    </w:p>
    <w:p w14:paraId="7C754D5C" w14:textId="0066B898" w:rsidR="00B7428B" w:rsidRDefault="00AE6A84" w:rsidP="00225F13">
      <w:pPr>
        <w:tabs>
          <w:tab w:val="left" w:pos="851"/>
        </w:tabs>
        <w:spacing w:before="120" w:after="120" w:line="360" w:lineRule="auto"/>
        <w:jc w:val="both"/>
        <w:rPr>
          <w:rFonts w:ascii="Arial" w:hAnsi="Arial" w:cs="Arial"/>
          <w:sz w:val="24"/>
          <w:szCs w:val="24"/>
        </w:rPr>
      </w:pPr>
      <w:r>
        <w:rPr>
          <w:rFonts w:ascii="Arial" w:hAnsi="Arial" w:cs="Arial"/>
          <w:sz w:val="24"/>
          <w:szCs w:val="24"/>
        </w:rPr>
        <w:tab/>
      </w:r>
      <w:r w:rsidR="00593866">
        <w:rPr>
          <w:rFonts w:ascii="Arial" w:hAnsi="Arial" w:cs="Arial"/>
          <w:sz w:val="24"/>
          <w:szCs w:val="24"/>
        </w:rPr>
        <w:t xml:space="preserve">Nesse contexto, cumpre fazer algumas observações sobre a maior </w:t>
      </w:r>
      <w:proofErr w:type="spellStart"/>
      <w:r w:rsidR="00593866">
        <w:rPr>
          <w:rFonts w:ascii="Arial" w:hAnsi="Arial" w:cs="Arial"/>
          <w:sz w:val="24"/>
          <w:szCs w:val="24"/>
        </w:rPr>
        <w:t>vinculatividade</w:t>
      </w:r>
      <w:proofErr w:type="spellEnd"/>
      <w:r w:rsidR="00593866">
        <w:rPr>
          <w:rFonts w:ascii="Arial" w:hAnsi="Arial" w:cs="Arial"/>
          <w:sz w:val="24"/>
          <w:szCs w:val="24"/>
        </w:rPr>
        <w:t xml:space="preserve"> da jurisprudência e dos precedentes prevista pelo Novo Código de Processo Civil. A necessidade de atendimento ao que decidido pelos Tribunais Superiores não é novidade no Brasil, já que se trata de demanda </w:t>
      </w:r>
      <w:r w:rsidR="00014D3C">
        <w:rPr>
          <w:rFonts w:ascii="Arial" w:hAnsi="Arial" w:cs="Arial"/>
          <w:sz w:val="24"/>
          <w:szCs w:val="24"/>
        </w:rPr>
        <w:t xml:space="preserve">relativa à própria uniformização de aplicação do </w:t>
      </w:r>
      <w:r w:rsidR="009F2B94">
        <w:rPr>
          <w:rFonts w:ascii="Arial" w:hAnsi="Arial" w:cs="Arial"/>
          <w:sz w:val="24"/>
          <w:szCs w:val="24"/>
        </w:rPr>
        <w:t>D</w:t>
      </w:r>
      <w:r w:rsidR="00014D3C">
        <w:rPr>
          <w:rFonts w:ascii="Arial" w:hAnsi="Arial" w:cs="Arial"/>
          <w:sz w:val="24"/>
          <w:szCs w:val="24"/>
        </w:rPr>
        <w:t xml:space="preserve">ireito. Como afirmam </w:t>
      </w:r>
      <w:commentRangeStart w:id="44"/>
      <w:r w:rsidR="00014D3C">
        <w:rPr>
          <w:rFonts w:ascii="Arial" w:hAnsi="Arial" w:cs="Arial"/>
          <w:sz w:val="24"/>
          <w:szCs w:val="24"/>
        </w:rPr>
        <w:t xml:space="preserve">Teresa Arruda Alvim </w:t>
      </w:r>
      <w:proofErr w:type="spellStart"/>
      <w:r w:rsidR="00014D3C">
        <w:rPr>
          <w:rFonts w:ascii="Arial" w:hAnsi="Arial" w:cs="Arial"/>
          <w:sz w:val="24"/>
          <w:szCs w:val="24"/>
        </w:rPr>
        <w:t>Wambier</w:t>
      </w:r>
      <w:proofErr w:type="spellEnd"/>
      <w:r w:rsidR="00014D3C">
        <w:rPr>
          <w:rFonts w:ascii="Arial" w:hAnsi="Arial" w:cs="Arial"/>
          <w:sz w:val="24"/>
          <w:szCs w:val="24"/>
        </w:rPr>
        <w:t xml:space="preserve"> e Bruno Dantas</w:t>
      </w:r>
      <w:commentRangeEnd w:id="44"/>
      <w:r w:rsidR="001C2562">
        <w:rPr>
          <w:rStyle w:val="Refdecomentrio"/>
        </w:rPr>
        <w:commentReference w:id="44"/>
      </w:r>
      <w:r w:rsidR="00014D3C">
        <w:rPr>
          <w:rFonts w:ascii="Arial" w:hAnsi="Arial" w:cs="Arial"/>
          <w:sz w:val="24"/>
          <w:szCs w:val="24"/>
        </w:rPr>
        <w:t>:</w:t>
      </w:r>
    </w:p>
    <w:p w14:paraId="75E55EC7" w14:textId="7FC45E14" w:rsidR="00E42BD9" w:rsidRDefault="00E42BD9" w:rsidP="00855426">
      <w:pPr>
        <w:tabs>
          <w:tab w:val="left" w:pos="851"/>
        </w:tabs>
        <w:spacing w:before="120" w:after="120" w:line="360" w:lineRule="auto"/>
        <w:ind w:left="1701" w:firstLine="709"/>
        <w:jc w:val="both"/>
        <w:rPr>
          <w:rFonts w:ascii="Arial" w:hAnsi="Arial" w:cs="Arial"/>
          <w:sz w:val="20"/>
          <w:szCs w:val="20"/>
        </w:rPr>
      </w:pPr>
    </w:p>
    <w:p w14:paraId="3B25C71F" w14:textId="3C7703D9" w:rsidR="00014D3C" w:rsidRPr="004F0CDC" w:rsidRDefault="00014D3C" w:rsidP="005B60AC">
      <w:pPr>
        <w:tabs>
          <w:tab w:val="left" w:pos="851"/>
        </w:tabs>
        <w:spacing w:before="120" w:after="120" w:line="240" w:lineRule="auto"/>
        <w:ind w:left="2268"/>
        <w:jc w:val="both"/>
        <w:rPr>
          <w:rFonts w:ascii="Arial" w:hAnsi="Arial" w:cs="Arial"/>
          <w:sz w:val="20"/>
          <w:szCs w:val="20"/>
        </w:rPr>
      </w:pPr>
      <w:r w:rsidRPr="004F0CDC">
        <w:rPr>
          <w:rFonts w:ascii="Arial" w:hAnsi="Arial" w:cs="Arial"/>
          <w:sz w:val="20"/>
          <w:szCs w:val="20"/>
        </w:rPr>
        <w:t>[...] o fato de haver entendimentos diferentes nos Tribunais a respeito da mesma questão jurídica equivale à existência de duas normas diferentes disciplinando a mesma situação. Essa constatação nasce do reconhecimento de que as manifestações do Judiciário contribuem para o desenho final da norma. Sob o ponto de vista teórico, pode-se dizer que a jurisprudência escancaradamente dispersa compromete a forma sistemática do direito, gerando desarmonia interna. Isso sem falar no desrespeito à isonomia e na impossibilidade de que haja a menor parcela de previsibilidade (= segurança jurídica). Efeitos nocivos dessa situação são sentidos pelos jurisdicionados, pela sociedade e pelo país. O descr</w:t>
      </w:r>
      <w:r w:rsidR="002A051C" w:rsidRPr="004F0CDC">
        <w:rPr>
          <w:rFonts w:ascii="Arial" w:hAnsi="Arial" w:cs="Arial"/>
          <w:sz w:val="20"/>
          <w:szCs w:val="20"/>
        </w:rPr>
        <w:t>é</w:t>
      </w:r>
      <w:r w:rsidRPr="004F0CDC">
        <w:rPr>
          <w:rFonts w:ascii="Arial" w:hAnsi="Arial" w:cs="Arial"/>
          <w:sz w:val="20"/>
          <w:szCs w:val="20"/>
        </w:rPr>
        <w:t>d</w:t>
      </w:r>
      <w:r w:rsidR="002A051C" w:rsidRPr="004F0CDC">
        <w:rPr>
          <w:rFonts w:ascii="Arial" w:hAnsi="Arial" w:cs="Arial"/>
          <w:sz w:val="20"/>
          <w:szCs w:val="20"/>
        </w:rPr>
        <w:t>it</w:t>
      </w:r>
      <w:r w:rsidRPr="004F0CDC">
        <w:rPr>
          <w:rFonts w:ascii="Arial" w:hAnsi="Arial" w:cs="Arial"/>
          <w:sz w:val="20"/>
          <w:szCs w:val="20"/>
        </w:rPr>
        <w:t>o do Judiciário se alastr</w:t>
      </w:r>
      <w:r w:rsidR="002A051C" w:rsidRPr="004F0CDC">
        <w:rPr>
          <w:rFonts w:ascii="Arial" w:hAnsi="Arial" w:cs="Arial"/>
          <w:sz w:val="20"/>
          <w:szCs w:val="20"/>
        </w:rPr>
        <w:t>a e se estimulam tanto a propositura de ações quanto a interposição de recursos.</w:t>
      </w:r>
      <w:r w:rsidR="00AE623E" w:rsidRPr="004F0CDC">
        <w:rPr>
          <w:rFonts w:ascii="Arial" w:hAnsi="Arial" w:cs="Arial"/>
          <w:sz w:val="20"/>
          <w:szCs w:val="20"/>
        </w:rPr>
        <w:t xml:space="preserve"> (</w:t>
      </w:r>
      <w:r w:rsidR="00632BBE">
        <w:rPr>
          <w:rFonts w:ascii="Arial" w:hAnsi="Arial" w:cs="Arial"/>
          <w:sz w:val="20"/>
          <w:szCs w:val="20"/>
        </w:rPr>
        <w:t xml:space="preserve">WAMBIER; </w:t>
      </w:r>
      <w:r w:rsidR="00E211DA" w:rsidRPr="004F0CDC">
        <w:rPr>
          <w:rFonts w:ascii="Arial" w:hAnsi="Arial" w:cs="Arial"/>
          <w:sz w:val="20"/>
          <w:szCs w:val="20"/>
        </w:rPr>
        <w:t>DANTAS, 2016, p. 275-276</w:t>
      </w:r>
      <w:r w:rsidR="008342F3" w:rsidRPr="004F0CDC">
        <w:rPr>
          <w:rFonts w:ascii="Arial" w:hAnsi="Arial" w:cs="Arial"/>
          <w:sz w:val="20"/>
          <w:szCs w:val="20"/>
        </w:rPr>
        <w:t>.</w:t>
      </w:r>
      <w:r w:rsidR="00E211DA" w:rsidRPr="004F0CDC">
        <w:rPr>
          <w:rFonts w:ascii="Arial" w:hAnsi="Arial" w:cs="Arial"/>
          <w:sz w:val="20"/>
          <w:szCs w:val="20"/>
        </w:rPr>
        <w:t>)</w:t>
      </w:r>
    </w:p>
    <w:p w14:paraId="3354BE1D" w14:textId="77777777" w:rsidR="00545F1F" w:rsidRDefault="00545F1F" w:rsidP="00DD166D">
      <w:pPr>
        <w:tabs>
          <w:tab w:val="left" w:pos="1276"/>
          <w:tab w:val="left" w:pos="1418"/>
          <w:tab w:val="left" w:pos="8364"/>
          <w:tab w:val="left" w:pos="8789"/>
        </w:tabs>
        <w:spacing w:before="120" w:after="120" w:line="360" w:lineRule="auto"/>
        <w:ind w:left="1134"/>
        <w:jc w:val="both"/>
        <w:rPr>
          <w:rFonts w:ascii="Arial" w:hAnsi="Arial" w:cs="Arial"/>
          <w:sz w:val="24"/>
          <w:szCs w:val="24"/>
        </w:rPr>
      </w:pPr>
    </w:p>
    <w:p w14:paraId="550E2DCF" w14:textId="77777777" w:rsidR="00225F13" w:rsidRDefault="00225F13" w:rsidP="00225F13">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3E0A3C">
        <w:rPr>
          <w:rFonts w:ascii="Arial" w:hAnsi="Arial" w:cs="Arial"/>
          <w:sz w:val="24"/>
          <w:szCs w:val="24"/>
        </w:rPr>
        <w:t xml:space="preserve">Infelizmente, </w:t>
      </w:r>
      <w:r w:rsidR="00AE623E">
        <w:rPr>
          <w:rFonts w:ascii="Arial" w:hAnsi="Arial" w:cs="Arial"/>
          <w:sz w:val="24"/>
          <w:szCs w:val="24"/>
        </w:rPr>
        <w:t xml:space="preserve">é comum notarmos na prática dos Tribunais brasileiros a constante – e muitas vezes inconsequente – alteração dos entendimentos por eles afirmados, sem falar na própria contradição que muitas vezes se encontra entre os órgãos de um mesmo Tribunal (entre dois órgãos julgadores ou mesmo entre decisões monocráticas de seus componentes, por exemplo). É preciso </w:t>
      </w:r>
      <w:r w:rsidR="00836B81">
        <w:rPr>
          <w:rFonts w:ascii="Arial" w:hAnsi="Arial" w:cs="Arial"/>
          <w:sz w:val="24"/>
          <w:szCs w:val="24"/>
        </w:rPr>
        <w:t>que se desenvolva</w:t>
      </w:r>
      <w:r w:rsidR="00AE623E">
        <w:rPr>
          <w:rFonts w:ascii="Arial" w:hAnsi="Arial" w:cs="Arial"/>
          <w:sz w:val="24"/>
          <w:szCs w:val="24"/>
        </w:rPr>
        <w:t xml:space="preserve"> a consciência de que a atividade de interpretação do Direito acaba por definir elementos do próprio conteúdo da </w:t>
      </w:r>
      <w:r w:rsidR="00AE623E">
        <w:rPr>
          <w:rFonts w:ascii="Arial" w:hAnsi="Arial" w:cs="Arial"/>
          <w:sz w:val="24"/>
          <w:szCs w:val="24"/>
        </w:rPr>
        <w:lastRenderedPageBreak/>
        <w:t xml:space="preserve">norma, o que evidencia </w:t>
      </w:r>
      <w:r w:rsidR="00E211DA">
        <w:rPr>
          <w:rFonts w:ascii="Arial" w:hAnsi="Arial" w:cs="Arial"/>
          <w:sz w:val="24"/>
          <w:szCs w:val="24"/>
        </w:rPr>
        <w:t>o</w:t>
      </w:r>
      <w:r w:rsidR="00AE623E">
        <w:rPr>
          <w:rFonts w:ascii="Arial" w:hAnsi="Arial" w:cs="Arial"/>
          <w:sz w:val="24"/>
          <w:szCs w:val="24"/>
        </w:rPr>
        <w:t xml:space="preserve"> ascendente e importante papel que</w:t>
      </w:r>
      <w:r w:rsidR="00E211DA">
        <w:rPr>
          <w:rFonts w:ascii="Arial" w:hAnsi="Arial" w:cs="Arial"/>
          <w:sz w:val="24"/>
          <w:szCs w:val="24"/>
        </w:rPr>
        <w:t xml:space="preserve"> possui a atuação do Poder Judiciário</w:t>
      </w:r>
      <w:r w:rsidR="00B346AE">
        <w:rPr>
          <w:rFonts w:ascii="Arial" w:hAnsi="Arial" w:cs="Arial"/>
          <w:sz w:val="24"/>
          <w:szCs w:val="24"/>
        </w:rPr>
        <w:t>.</w:t>
      </w:r>
    </w:p>
    <w:p w14:paraId="1C003EC9" w14:textId="7070BB1C" w:rsidR="001C2562" w:rsidRDefault="00B346AE" w:rsidP="00225F13">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commentRangeStart w:id="45"/>
      <w:r w:rsidR="000D6A62">
        <w:rPr>
          <w:rFonts w:ascii="Arial" w:hAnsi="Arial" w:cs="Arial"/>
          <w:sz w:val="24"/>
          <w:szCs w:val="24"/>
          <w:u w:val="single"/>
        </w:rPr>
        <w:t>Palavra do conteudista</w:t>
      </w:r>
      <w:commentRangeEnd w:id="45"/>
      <w:r w:rsidR="001C2562">
        <w:rPr>
          <w:rStyle w:val="Refdecomentrio"/>
        </w:rPr>
        <w:commentReference w:id="45"/>
      </w:r>
      <w:r>
        <w:rPr>
          <w:rFonts w:ascii="Arial" w:hAnsi="Arial" w:cs="Arial"/>
          <w:sz w:val="24"/>
          <w:szCs w:val="24"/>
        </w:rPr>
        <w:t xml:space="preserve">: </w:t>
      </w:r>
    </w:p>
    <w:p w14:paraId="50755DAA" w14:textId="47AEB36A" w:rsidR="00B346AE" w:rsidRDefault="001C2562" w:rsidP="00225F13">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S</w:t>
      </w:r>
      <w:r w:rsidR="00B346AE">
        <w:rPr>
          <w:rFonts w:ascii="Arial" w:hAnsi="Arial" w:cs="Arial"/>
          <w:sz w:val="24"/>
          <w:szCs w:val="24"/>
        </w:rPr>
        <w:t>obre o contexto mais amplo de ascensão institucional do Poder Judiciário na democracia brasileira, reforçando a importância da atuação judicial na conformação do Direito, já tive a oportunidade de assentar em livro de minha autoria que</w:t>
      </w:r>
      <w:r w:rsidR="00CB6C79">
        <w:rPr>
          <w:rFonts w:ascii="Arial" w:hAnsi="Arial" w:cs="Arial"/>
          <w:sz w:val="24"/>
          <w:szCs w:val="24"/>
        </w:rPr>
        <w:t>:</w:t>
      </w:r>
    </w:p>
    <w:p w14:paraId="690975F0" w14:textId="77777777" w:rsidR="004E24FA" w:rsidRDefault="004E24FA" w:rsidP="00225F13">
      <w:pPr>
        <w:tabs>
          <w:tab w:val="left" w:pos="851"/>
          <w:tab w:val="left" w:pos="8364"/>
          <w:tab w:val="left" w:pos="8789"/>
        </w:tabs>
        <w:spacing w:before="120" w:after="120" w:line="360" w:lineRule="auto"/>
        <w:jc w:val="both"/>
        <w:rPr>
          <w:rFonts w:ascii="Arial" w:hAnsi="Arial" w:cs="Arial"/>
          <w:sz w:val="24"/>
          <w:szCs w:val="24"/>
        </w:rPr>
      </w:pPr>
    </w:p>
    <w:p w14:paraId="419728E3" w14:textId="3D123109" w:rsidR="00B346AE" w:rsidRPr="004F0CDC" w:rsidRDefault="00B346AE" w:rsidP="005B60AC">
      <w:pPr>
        <w:autoSpaceDE w:val="0"/>
        <w:autoSpaceDN w:val="0"/>
        <w:adjustRightInd w:val="0"/>
        <w:spacing w:after="0" w:line="240" w:lineRule="auto"/>
        <w:ind w:left="2268"/>
        <w:jc w:val="both"/>
        <w:rPr>
          <w:rFonts w:ascii="Arial" w:hAnsi="Arial" w:cs="Arial"/>
          <w:sz w:val="20"/>
          <w:szCs w:val="20"/>
        </w:rPr>
      </w:pPr>
      <w:r w:rsidRPr="004F0CDC">
        <w:rPr>
          <w:rFonts w:ascii="Arial" w:hAnsi="Arial" w:cs="Arial"/>
          <w:sz w:val="20"/>
          <w:szCs w:val="20"/>
        </w:rPr>
        <w:t xml:space="preserve">Com a implementação de um Estado constitucional de Direito, e sua expansão mundo afora, a Constituição passa a ser vista também como uma norma, um diploma jurídico e, mais que isso, como a maior das normas jurídicas dentro de um ordenamento. Nesse novo modelo que se instaurava, o texto constitucional é que passou a ocupar posto de centralidade, e, como consequência do princípio da supremacia da constituição, começava a ganhar força a ideia da supremacia judicial, justamente pelo fato de se atribuir a guarda da Constituição a órgãos judiciários e pelo consequente exercício da jurisdição constitucional [...]. É a partir desse novo modelo de Estado, que prima pela centralidade e hegemonia da Constituição e que acaba por desaguar em uma supremacia judicial que, aos poucos, foi se dando a ascensão institucional do Poder Judiciário, [...] constatada por uma ampliação da participação ativa deste poder em assuntos de caráter aprioristicamente político e que acabam por influenciar diretamente o dia a dia da população. Nesse contexto, o qual não é exclusivo da realidade brasileira, mas antes é um fato que se nota em diversas democracias no direito comparado, viabilizaram-se fenômenos como a </w:t>
      </w:r>
      <w:proofErr w:type="spellStart"/>
      <w:r w:rsidRPr="004F0CDC">
        <w:rPr>
          <w:rFonts w:ascii="Arial" w:hAnsi="Arial" w:cs="Arial"/>
          <w:sz w:val="20"/>
          <w:szCs w:val="20"/>
        </w:rPr>
        <w:t>judicialização</w:t>
      </w:r>
      <w:proofErr w:type="spellEnd"/>
      <w:r w:rsidRPr="004F0CDC">
        <w:rPr>
          <w:rFonts w:ascii="Arial" w:hAnsi="Arial" w:cs="Arial"/>
          <w:sz w:val="20"/>
          <w:szCs w:val="20"/>
        </w:rPr>
        <w:t xml:space="preserve"> da política e das relações sociais: questões consideradas relevantes (seja do ponto de vista moral, ético, político, econômico ou social) passam a ser decididas, e de forma definitiva, pelo Poder Judiciário e, no caso brasileiro, em especial pelo Supremo Tribunal Federal. (ARABI, 2015, p. 36-37</w:t>
      </w:r>
      <w:r w:rsidR="00CB6C79" w:rsidRPr="004F0CDC">
        <w:rPr>
          <w:rFonts w:ascii="Arial" w:hAnsi="Arial" w:cs="Arial"/>
          <w:sz w:val="20"/>
          <w:szCs w:val="20"/>
        </w:rPr>
        <w:t>.</w:t>
      </w:r>
      <w:r w:rsidRPr="004F0CDC">
        <w:rPr>
          <w:rFonts w:ascii="Arial" w:hAnsi="Arial" w:cs="Arial"/>
          <w:sz w:val="20"/>
          <w:szCs w:val="20"/>
        </w:rPr>
        <w:t>)</w:t>
      </w:r>
    </w:p>
    <w:p w14:paraId="5DD9CC12" w14:textId="77777777" w:rsidR="00512B00" w:rsidRDefault="00055B87" w:rsidP="00225F13">
      <w:pPr>
        <w:tabs>
          <w:tab w:val="left" w:pos="851"/>
          <w:tab w:val="left" w:pos="8364"/>
          <w:tab w:val="left" w:pos="8789"/>
        </w:tabs>
        <w:spacing w:before="120" w:after="120" w:line="360" w:lineRule="auto"/>
        <w:jc w:val="both"/>
        <w:rPr>
          <w:sz w:val="23"/>
          <w:szCs w:val="23"/>
        </w:rPr>
      </w:pPr>
      <w:r>
        <w:rPr>
          <w:sz w:val="23"/>
          <w:szCs w:val="23"/>
        </w:rPr>
        <w:tab/>
      </w:r>
    </w:p>
    <w:p w14:paraId="0776B3D9" w14:textId="0FC30CB4" w:rsidR="003E0A3C" w:rsidRDefault="00512B00" w:rsidP="00225F13">
      <w:pPr>
        <w:tabs>
          <w:tab w:val="left" w:pos="851"/>
          <w:tab w:val="left" w:pos="8364"/>
          <w:tab w:val="left" w:pos="8789"/>
        </w:tabs>
        <w:spacing w:before="120" w:after="120" w:line="360" w:lineRule="auto"/>
        <w:jc w:val="both"/>
        <w:rPr>
          <w:rFonts w:ascii="Arial" w:hAnsi="Arial" w:cs="Arial"/>
          <w:sz w:val="24"/>
          <w:szCs w:val="24"/>
        </w:rPr>
      </w:pPr>
      <w:r>
        <w:rPr>
          <w:sz w:val="23"/>
          <w:szCs w:val="23"/>
        </w:rPr>
        <w:tab/>
      </w:r>
      <w:r w:rsidR="00055B87" w:rsidRPr="00055B87">
        <w:rPr>
          <w:rFonts w:ascii="Arial" w:hAnsi="Arial" w:cs="Arial"/>
          <w:sz w:val="24"/>
          <w:szCs w:val="24"/>
        </w:rPr>
        <w:t>Desse modo, a brusca</w:t>
      </w:r>
      <w:r w:rsidR="003E0A3C" w:rsidRPr="00055B87">
        <w:rPr>
          <w:rFonts w:ascii="Arial" w:hAnsi="Arial" w:cs="Arial"/>
          <w:sz w:val="24"/>
          <w:szCs w:val="24"/>
        </w:rPr>
        <w:t xml:space="preserve"> alteração de entendimento jurisprudencial, a depender do modo como se dá, pode representar verdadei</w:t>
      </w:r>
      <w:r w:rsidR="00055B87" w:rsidRPr="00055B87">
        <w:rPr>
          <w:rFonts w:ascii="Arial" w:hAnsi="Arial" w:cs="Arial"/>
          <w:sz w:val="24"/>
          <w:szCs w:val="24"/>
        </w:rPr>
        <w:t xml:space="preserve">ra quebra da segurança jurídica, princípio que </w:t>
      </w:r>
      <w:r w:rsidR="00015031">
        <w:rPr>
          <w:rFonts w:ascii="Arial" w:hAnsi="Arial" w:cs="Arial"/>
          <w:sz w:val="24"/>
          <w:szCs w:val="24"/>
        </w:rPr>
        <w:t>representa a necessidade de que exista</w:t>
      </w:r>
      <w:r w:rsidR="007517C1">
        <w:rPr>
          <w:rFonts w:ascii="Arial" w:hAnsi="Arial" w:cs="Arial"/>
          <w:sz w:val="24"/>
          <w:szCs w:val="24"/>
        </w:rPr>
        <w:t>m</w:t>
      </w:r>
      <w:r w:rsidR="00015031">
        <w:rPr>
          <w:rFonts w:ascii="Arial" w:hAnsi="Arial" w:cs="Arial"/>
          <w:sz w:val="24"/>
          <w:szCs w:val="24"/>
        </w:rPr>
        <w:t xml:space="preserve"> </w:t>
      </w:r>
      <w:r w:rsidR="00055B87" w:rsidRPr="00055B87">
        <w:rPr>
          <w:rFonts w:ascii="Arial" w:hAnsi="Arial" w:cs="Arial"/>
          <w:sz w:val="24"/>
          <w:szCs w:val="24"/>
        </w:rPr>
        <w:t>previsibilidade</w:t>
      </w:r>
      <w:r w:rsidR="00015031">
        <w:rPr>
          <w:rFonts w:ascii="Arial" w:hAnsi="Arial" w:cs="Arial"/>
          <w:sz w:val="24"/>
          <w:szCs w:val="24"/>
        </w:rPr>
        <w:t xml:space="preserve"> e </w:t>
      </w:r>
      <w:r w:rsidR="00055B87" w:rsidRPr="00055B87">
        <w:rPr>
          <w:rFonts w:ascii="Arial" w:hAnsi="Arial" w:cs="Arial"/>
          <w:sz w:val="24"/>
          <w:szCs w:val="24"/>
        </w:rPr>
        <w:t>confiança nas relações jurídicas, tendo como objetivos últimos a pacificação social, o bem</w:t>
      </w:r>
      <w:r w:rsidR="00CB6C79">
        <w:rPr>
          <w:rFonts w:ascii="Arial" w:hAnsi="Arial" w:cs="Arial"/>
          <w:sz w:val="24"/>
          <w:szCs w:val="24"/>
        </w:rPr>
        <w:t>-</w:t>
      </w:r>
      <w:r w:rsidR="00055B87" w:rsidRPr="00055B87">
        <w:rPr>
          <w:rFonts w:ascii="Arial" w:hAnsi="Arial" w:cs="Arial"/>
          <w:sz w:val="24"/>
          <w:szCs w:val="24"/>
        </w:rPr>
        <w:t>estar do cidadão</w:t>
      </w:r>
      <w:r w:rsidR="003207E6">
        <w:rPr>
          <w:rFonts w:ascii="Arial" w:hAnsi="Arial" w:cs="Arial"/>
          <w:sz w:val="24"/>
          <w:szCs w:val="24"/>
        </w:rPr>
        <w:t xml:space="preserve"> e</w:t>
      </w:r>
      <w:r w:rsidR="00055B87" w:rsidRPr="00055B87">
        <w:rPr>
          <w:rFonts w:ascii="Arial" w:hAnsi="Arial" w:cs="Arial"/>
          <w:sz w:val="24"/>
          <w:szCs w:val="24"/>
        </w:rPr>
        <w:t xml:space="preserve"> o respeito aos direitos</w:t>
      </w:r>
      <w:r w:rsidR="00015031">
        <w:rPr>
          <w:rFonts w:ascii="Arial" w:hAnsi="Arial" w:cs="Arial"/>
          <w:sz w:val="24"/>
          <w:szCs w:val="24"/>
        </w:rPr>
        <w:t>. Cabe refletir que</w:t>
      </w:r>
      <w:r w:rsidR="003E0A3C" w:rsidRPr="00055B87">
        <w:rPr>
          <w:rFonts w:ascii="Arial" w:hAnsi="Arial" w:cs="Arial"/>
          <w:sz w:val="24"/>
          <w:szCs w:val="24"/>
        </w:rPr>
        <w:t xml:space="preserve"> tais inseguranças geram</w:t>
      </w:r>
      <w:r w:rsidR="00015031">
        <w:rPr>
          <w:rFonts w:ascii="Arial" w:hAnsi="Arial" w:cs="Arial"/>
          <w:sz w:val="24"/>
          <w:szCs w:val="24"/>
        </w:rPr>
        <w:t xml:space="preserve"> não apenas consequências jurídicas para o caso concreto, mas verdadeiros</w:t>
      </w:r>
      <w:r w:rsidR="003E0A3C" w:rsidRPr="00055B87">
        <w:rPr>
          <w:rFonts w:ascii="Arial" w:hAnsi="Arial" w:cs="Arial"/>
          <w:sz w:val="24"/>
          <w:szCs w:val="24"/>
        </w:rPr>
        <w:t xml:space="preserve"> custos econômicos</w:t>
      </w:r>
      <w:r w:rsidR="00015031">
        <w:rPr>
          <w:rFonts w:ascii="Arial" w:hAnsi="Arial" w:cs="Arial"/>
          <w:sz w:val="24"/>
          <w:szCs w:val="24"/>
        </w:rPr>
        <w:t xml:space="preserve"> e sociais</w:t>
      </w:r>
      <w:r w:rsidR="00853BA8">
        <w:rPr>
          <w:rFonts w:ascii="Arial" w:hAnsi="Arial" w:cs="Arial"/>
          <w:sz w:val="24"/>
          <w:szCs w:val="24"/>
        </w:rPr>
        <w:t xml:space="preserve"> para toda a sociedade.</w:t>
      </w:r>
    </w:p>
    <w:p w14:paraId="6FDE2F1F" w14:textId="0D9F2CAE" w:rsidR="00381566" w:rsidRDefault="00853BA8" w:rsidP="00853BA8">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381566">
        <w:rPr>
          <w:rFonts w:ascii="Arial" w:hAnsi="Arial" w:cs="Arial"/>
          <w:sz w:val="24"/>
          <w:szCs w:val="24"/>
        </w:rPr>
        <w:t xml:space="preserve">Note que, de um lado, </w:t>
      </w:r>
      <w:r>
        <w:rPr>
          <w:rFonts w:ascii="Arial" w:hAnsi="Arial" w:cs="Arial"/>
          <w:sz w:val="24"/>
          <w:szCs w:val="24"/>
        </w:rPr>
        <w:t>invoca</w:t>
      </w:r>
      <w:r w:rsidR="00381566">
        <w:rPr>
          <w:rFonts w:ascii="Arial" w:hAnsi="Arial" w:cs="Arial"/>
          <w:sz w:val="24"/>
          <w:szCs w:val="24"/>
        </w:rPr>
        <w:t>-se</w:t>
      </w:r>
      <w:r w:rsidR="003E0A3C" w:rsidRPr="00055B87">
        <w:rPr>
          <w:rFonts w:ascii="Arial" w:hAnsi="Arial" w:cs="Arial"/>
          <w:sz w:val="24"/>
          <w:szCs w:val="24"/>
        </w:rPr>
        <w:t xml:space="preserve"> a segurança jurídica como justificativa à existência do efeito vinculante das d</w:t>
      </w:r>
      <w:r w:rsidR="00381566">
        <w:rPr>
          <w:rFonts w:ascii="Arial" w:hAnsi="Arial" w:cs="Arial"/>
          <w:sz w:val="24"/>
          <w:szCs w:val="24"/>
        </w:rPr>
        <w:t xml:space="preserve">ecisões das Cortes Superiores, por exemplo, </w:t>
      </w:r>
      <w:r w:rsidR="003E0A3C" w:rsidRPr="00055B87">
        <w:rPr>
          <w:rFonts w:ascii="Arial" w:hAnsi="Arial" w:cs="Arial"/>
          <w:sz w:val="24"/>
          <w:szCs w:val="24"/>
        </w:rPr>
        <w:t>ao argumento de que</w:t>
      </w:r>
      <w:r w:rsidR="00DD2098">
        <w:rPr>
          <w:rFonts w:ascii="Arial" w:hAnsi="Arial" w:cs="Arial"/>
          <w:sz w:val="24"/>
          <w:szCs w:val="24"/>
        </w:rPr>
        <w:t xml:space="preserve"> se conferem</w:t>
      </w:r>
      <w:r w:rsidR="003E0A3C" w:rsidRPr="00055B87">
        <w:rPr>
          <w:rFonts w:ascii="Arial" w:hAnsi="Arial" w:cs="Arial"/>
          <w:sz w:val="24"/>
          <w:szCs w:val="24"/>
        </w:rPr>
        <w:t xml:space="preserve"> maior certeza e previsibilidade ao jurisdicionado de que aquele entendimento será </w:t>
      </w:r>
      <w:r w:rsidR="00205DE7" w:rsidRPr="005B60AC">
        <w:rPr>
          <w:rFonts w:ascii="Arial" w:hAnsi="Arial" w:cs="Arial"/>
          <w:sz w:val="24"/>
          <w:szCs w:val="24"/>
        </w:rPr>
        <w:t xml:space="preserve">empregado </w:t>
      </w:r>
      <w:r w:rsidR="003E0A3C" w:rsidRPr="00055B87">
        <w:rPr>
          <w:rFonts w:ascii="Arial" w:hAnsi="Arial" w:cs="Arial"/>
          <w:sz w:val="24"/>
          <w:szCs w:val="24"/>
        </w:rPr>
        <w:t xml:space="preserve">ao seu caso concreto, uniformizando a </w:t>
      </w:r>
      <w:r w:rsidR="003E0A3C" w:rsidRPr="005B60AC">
        <w:rPr>
          <w:rFonts w:ascii="Arial" w:hAnsi="Arial" w:cs="Arial"/>
          <w:sz w:val="24"/>
          <w:szCs w:val="24"/>
        </w:rPr>
        <w:t xml:space="preserve">aplicação </w:t>
      </w:r>
      <w:r w:rsidR="003E0A3C" w:rsidRPr="00055B87">
        <w:rPr>
          <w:rFonts w:ascii="Arial" w:hAnsi="Arial" w:cs="Arial"/>
          <w:sz w:val="24"/>
          <w:szCs w:val="24"/>
        </w:rPr>
        <w:t>de determinada norma jurídica a situações fáticas idênticas</w:t>
      </w:r>
      <w:r w:rsidR="00381566">
        <w:rPr>
          <w:rFonts w:ascii="Arial" w:hAnsi="Arial" w:cs="Arial"/>
          <w:sz w:val="24"/>
          <w:szCs w:val="24"/>
        </w:rPr>
        <w:t xml:space="preserve"> (função primordial para a qual idealizado o instituto da repercussão geral). Para tanto, sempre se levanta o forte argumento de</w:t>
      </w:r>
      <w:r w:rsidR="003E0A3C" w:rsidRPr="00055B87">
        <w:rPr>
          <w:rFonts w:ascii="Arial" w:hAnsi="Arial" w:cs="Arial"/>
          <w:sz w:val="24"/>
          <w:szCs w:val="24"/>
        </w:rPr>
        <w:t xml:space="preserve"> necessidade de tal instituto jurídico diante do alto volume de processos </w:t>
      </w:r>
      <w:r w:rsidR="003E0A3C" w:rsidRPr="00055B87">
        <w:rPr>
          <w:rFonts w:ascii="Arial" w:hAnsi="Arial" w:cs="Arial"/>
          <w:sz w:val="24"/>
          <w:szCs w:val="24"/>
        </w:rPr>
        <w:lastRenderedPageBreak/>
        <w:t xml:space="preserve">submetidos à apreciação do Judiciário, na busca de conferir </w:t>
      </w:r>
      <w:r w:rsidR="00257EF9">
        <w:rPr>
          <w:rFonts w:ascii="Arial" w:hAnsi="Arial" w:cs="Arial"/>
          <w:sz w:val="24"/>
          <w:szCs w:val="24"/>
        </w:rPr>
        <w:t>mais</w:t>
      </w:r>
      <w:r w:rsidR="00257EF9" w:rsidRPr="00055B87">
        <w:rPr>
          <w:rFonts w:ascii="Arial" w:hAnsi="Arial" w:cs="Arial"/>
          <w:sz w:val="24"/>
          <w:szCs w:val="24"/>
        </w:rPr>
        <w:t xml:space="preserve"> </w:t>
      </w:r>
      <w:r w:rsidR="003E0A3C" w:rsidRPr="00055B87">
        <w:rPr>
          <w:rFonts w:ascii="Arial" w:hAnsi="Arial" w:cs="Arial"/>
          <w:sz w:val="24"/>
          <w:szCs w:val="24"/>
        </w:rPr>
        <w:t>celeridade à composição dessas controvérsias.</w:t>
      </w:r>
    </w:p>
    <w:p w14:paraId="39C2A74E" w14:textId="454CF222" w:rsidR="003E0A3C" w:rsidRDefault="00381566" w:rsidP="0038156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3E0A3C" w:rsidRPr="00055B87">
        <w:rPr>
          <w:rFonts w:ascii="Arial" w:hAnsi="Arial" w:cs="Arial"/>
          <w:sz w:val="24"/>
          <w:szCs w:val="24"/>
        </w:rPr>
        <w:t>Por outro</w:t>
      </w:r>
      <w:r>
        <w:rPr>
          <w:rFonts w:ascii="Arial" w:hAnsi="Arial" w:cs="Arial"/>
          <w:sz w:val="24"/>
          <w:szCs w:val="24"/>
        </w:rPr>
        <w:t xml:space="preserve"> lado</w:t>
      </w:r>
      <w:r w:rsidR="003E0A3C" w:rsidRPr="00055B87">
        <w:rPr>
          <w:rFonts w:ascii="Arial" w:hAnsi="Arial" w:cs="Arial"/>
          <w:sz w:val="24"/>
          <w:szCs w:val="24"/>
        </w:rPr>
        <w:t>, porém, essa mesma segurança jurídica parece ser por vezes violada por decisões nas quais há uma compl</w:t>
      </w:r>
      <w:r w:rsidR="00E43B25">
        <w:rPr>
          <w:rFonts w:ascii="Arial" w:hAnsi="Arial" w:cs="Arial"/>
          <w:sz w:val="24"/>
          <w:szCs w:val="24"/>
        </w:rPr>
        <w:t>e</w:t>
      </w:r>
      <w:r w:rsidR="003E0A3C" w:rsidRPr="00055B87">
        <w:rPr>
          <w:rFonts w:ascii="Arial" w:hAnsi="Arial" w:cs="Arial"/>
          <w:sz w:val="24"/>
          <w:szCs w:val="24"/>
        </w:rPr>
        <w:t xml:space="preserve">ta alteração de entendimento sobre determinado tema, sem que se conceda ao </w:t>
      </w:r>
      <w:r>
        <w:rPr>
          <w:rFonts w:ascii="Arial" w:hAnsi="Arial" w:cs="Arial"/>
          <w:sz w:val="24"/>
          <w:szCs w:val="24"/>
        </w:rPr>
        <w:t>jurisdicionado qualquer previsibilidade, ou mesmo</w:t>
      </w:r>
      <w:r w:rsidR="003E0A3C" w:rsidRPr="00055B87">
        <w:rPr>
          <w:rFonts w:ascii="Arial" w:hAnsi="Arial" w:cs="Arial"/>
          <w:sz w:val="24"/>
          <w:szCs w:val="24"/>
        </w:rPr>
        <w:t xml:space="preserve"> um prazo para que se adapte àquela nova realidade. Deve-se observar que tais situações</w:t>
      </w:r>
      <w:r>
        <w:rPr>
          <w:rFonts w:ascii="Arial" w:hAnsi="Arial" w:cs="Arial"/>
          <w:sz w:val="24"/>
          <w:szCs w:val="24"/>
        </w:rPr>
        <w:t xml:space="preserve"> parecem ainda mais graves em campos nos quais a atuação estatal representa forte intervenção na esfera privada do cidadão, como no Direito Penal (em que se restringe sua liberdade) e no </w:t>
      </w:r>
      <w:r w:rsidR="00CB6C79">
        <w:rPr>
          <w:rFonts w:ascii="Arial" w:hAnsi="Arial" w:cs="Arial"/>
          <w:sz w:val="24"/>
          <w:szCs w:val="24"/>
        </w:rPr>
        <w:t>D</w:t>
      </w:r>
      <w:r>
        <w:rPr>
          <w:rFonts w:ascii="Arial" w:hAnsi="Arial" w:cs="Arial"/>
          <w:sz w:val="24"/>
          <w:szCs w:val="24"/>
        </w:rPr>
        <w:t xml:space="preserve">ireito Tributário (em </w:t>
      </w:r>
      <w:r w:rsidR="00CB6C79">
        <w:rPr>
          <w:rFonts w:ascii="Arial" w:hAnsi="Arial" w:cs="Arial"/>
          <w:sz w:val="24"/>
          <w:szCs w:val="24"/>
        </w:rPr>
        <w:t xml:space="preserve">que </w:t>
      </w:r>
      <w:r>
        <w:rPr>
          <w:rFonts w:ascii="Arial" w:hAnsi="Arial" w:cs="Arial"/>
          <w:sz w:val="24"/>
          <w:szCs w:val="24"/>
        </w:rPr>
        <w:t>se afeta seu patrimônio), por exemplo.</w:t>
      </w:r>
    </w:p>
    <w:p w14:paraId="7B993CAA" w14:textId="33F1D586" w:rsidR="00CF55DA" w:rsidRDefault="00FA714B" w:rsidP="0038156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Com base em todas essas preocupações é que o Novo Código de Processo Civil procurou introduzir novos institutos e ferramentas destinados a assegurar maior </w:t>
      </w:r>
      <w:proofErr w:type="spellStart"/>
      <w:r>
        <w:rPr>
          <w:rFonts w:ascii="Arial" w:hAnsi="Arial" w:cs="Arial"/>
          <w:sz w:val="24"/>
          <w:szCs w:val="24"/>
        </w:rPr>
        <w:t>vinculatividade</w:t>
      </w:r>
      <w:proofErr w:type="spellEnd"/>
      <w:r>
        <w:rPr>
          <w:rFonts w:ascii="Arial" w:hAnsi="Arial" w:cs="Arial"/>
          <w:sz w:val="24"/>
          <w:szCs w:val="24"/>
        </w:rPr>
        <w:t xml:space="preserve"> e estabilidade das decisões judiciais.</w:t>
      </w:r>
      <w:r w:rsidR="00931E4F">
        <w:rPr>
          <w:rFonts w:ascii="Arial" w:hAnsi="Arial" w:cs="Arial"/>
          <w:sz w:val="24"/>
          <w:szCs w:val="24"/>
        </w:rPr>
        <w:t xml:space="preserve"> </w:t>
      </w:r>
      <w:r w:rsidR="00CF55DA">
        <w:rPr>
          <w:rFonts w:ascii="Arial" w:hAnsi="Arial" w:cs="Arial"/>
          <w:sz w:val="24"/>
          <w:szCs w:val="24"/>
        </w:rPr>
        <w:t>A propósito, vejam</w:t>
      </w:r>
      <w:r w:rsidR="00551F9E">
        <w:rPr>
          <w:rFonts w:ascii="Arial" w:hAnsi="Arial" w:cs="Arial"/>
          <w:sz w:val="24"/>
          <w:szCs w:val="24"/>
        </w:rPr>
        <w:t>os</w:t>
      </w:r>
      <w:r w:rsidR="00CF55DA">
        <w:rPr>
          <w:rFonts w:ascii="Arial" w:hAnsi="Arial" w:cs="Arial"/>
          <w:sz w:val="24"/>
          <w:szCs w:val="24"/>
        </w:rPr>
        <w:t xml:space="preserve"> os </w:t>
      </w:r>
      <w:proofErr w:type="spellStart"/>
      <w:r w:rsidR="0006413C">
        <w:rPr>
          <w:rFonts w:ascii="Arial" w:hAnsi="Arial" w:cs="Arial"/>
          <w:sz w:val="24"/>
          <w:szCs w:val="24"/>
        </w:rPr>
        <w:t>arts</w:t>
      </w:r>
      <w:proofErr w:type="spellEnd"/>
      <w:r w:rsidR="0006413C">
        <w:rPr>
          <w:rFonts w:ascii="Arial" w:hAnsi="Arial" w:cs="Arial"/>
          <w:sz w:val="24"/>
          <w:szCs w:val="24"/>
        </w:rPr>
        <w:t xml:space="preserve">. </w:t>
      </w:r>
      <w:r w:rsidR="00CF55DA">
        <w:rPr>
          <w:rFonts w:ascii="Arial" w:hAnsi="Arial" w:cs="Arial"/>
          <w:sz w:val="24"/>
          <w:szCs w:val="24"/>
        </w:rPr>
        <w:t>926 a 928 dessa lei, que tratam das disposições gerais da ordem dos processos nos Tribunais:</w:t>
      </w:r>
    </w:p>
    <w:p w14:paraId="4110CA9E" w14:textId="77777777" w:rsidR="004E24FA" w:rsidRDefault="004E24FA" w:rsidP="00CF55DA">
      <w:pPr>
        <w:tabs>
          <w:tab w:val="left" w:pos="1397"/>
        </w:tabs>
        <w:spacing w:before="120" w:after="120"/>
        <w:ind w:left="1134"/>
        <w:jc w:val="both"/>
        <w:rPr>
          <w:rFonts w:ascii="Arial" w:hAnsi="Arial" w:cs="Arial"/>
          <w:sz w:val="20"/>
          <w:szCs w:val="20"/>
        </w:rPr>
      </w:pPr>
    </w:p>
    <w:p w14:paraId="40B94416"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Art. 926.  Os tribunais devem uniformizar sua jurisprudência e mantê-la estável, íntegra e coerente.</w:t>
      </w:r>
    </w:p>
    <w:p w14:paraId="1E75E36D"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1º Na forma estabelecida e segundo os pressupostos fixados no regimento interno, os tribunais editarão enunciados de súmula correspondentes a sua jurisprudência dominante.</w:t>
      </w:r>
    </w:p>
    <w:p w14:paraId="2BA28180"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2º Ao editar enunciados de súmula, os tribunais devem ater-se às circunstâncias fáticas dos precedentes que motivaram sua criação.</w:t>
      </w:r>
    </w:p>
    <w:p w14:paraId="144EC81F" w14:textId="77777777" w:rsidR="00CF55DA" w:rsidRPr="004F0CDC" w:rsidRDefault="00CF55DA" w:rsidP="005B60AC">
      <w:pPr>
        <w:tabs>
          <w:tab w:val="left" w:pos="1397"/>
        </w:tabs>
        <w:spacing w:after="0" w:line="240" w:lineRule="auto"/>
        <w:ind w:left="2268"/>
        <w:jc w:val="both"/>
        <w:rPr>
          <w:rFonts w:ascii="Arial" w:hAnsi="Arial" w:cs="Arial"/>
          <w:sz w:val="20"/>
          <w:szCs w:val="20"/>
        </w:rPr>
      </w:pPr>
    </w:p>
    <w:p w14:paraId="2D5FFEB7"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Art. 927.  Os juízes e os tribunais observarão:</w:t>
      </w:r>
    </w:p>
    <w:p w14:paraId="56BB87D3" w14:textId="5F9940FB"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xml:space="preserve">I </w:t>
      </w:r>
      <w:r w:rsidR="004E24FA"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as</w:t>
      </w:r>
      <w:proofErr w:type="gramEnd"/>
      <w:r w:rsidRPr="004F0CDC">
        <w:rPr>
          <w:rFonts w:ascii="Arial" w:hAnsi="Arial" w:cs="Arial"/>
          <w:sz w:val="20"/>
          <w:szCs w:val="20"/>
        </w:rPr>
        <w:t xml:space="preserve"> decisões do Supremo Tribunal Federal em controle concentrado de constitucionalidade;</w:t>
      </w:r>
    </w:p>
    <w:p w14:paraId="73567F38" w14:textId="155ECC15"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xml:space="preserve">II </w:t>
      </w:r>
      <w:r w:rsidR="004E24FA"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os</w:t>
      </w:r>
      <w:proofErr w:type="gramEnd"/>
      <w:r w:rsidRPr="004F0CDC">
        <w:rPr>
          <w:rFonts w:ascii="Arial" w:hAnsi="Arial" w:cs="Arial"/>
          <w:sz w:val="20"/>
          <w:szCs w:val="20"/>
        </w:rPr>
        <w:t xml:space="preserve"> enunciados de súmula vinculante;</w:t>
      </w:r>
    </w:p>
    <w:p w14:paraId="585B71D1" w14:textId="70C7EE82"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xml:space="preserve">III </w:t>
      </w:r>
      <w:r w:rsidR="004E24FA" w:rsidRPr="004F0CDC">
        <w:rPr>
          <w:rFonts w:ascii="Arial" w:hAnsi="Arial" w:cs="Arial"/>
          <w:sz w:val="20"/>
          <w:szCs w:val="20"/>
        </w:rPr>
        <w:t>–</w:t>
      </w:r>
      <w:r w:rsidRPr="004F0CDC">
        <w:rPr>
          <w:rFonts w:ascii="Arial" w:hAnsi="Arial" w:cs="Arial"/>
          <w:sz w:val="20"/>
          <w:szCs w:val="20"/>
        </w:rPr>
        <w:t xml:space="preserve"> os acórdãos em incidente de assunção de competência ou de resolução de demandas repetitivas e em julgamento de recursos extraordinário e especial repetitivos;</w:t>
      </w:r>
    </w:p>
    <w:p w14:paraId="472A3D1C" w14:textId="4115E9DD"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xml:space="preserve">IV </w:t>
      </w:r>
      <w:r w:rsidR="004E24FA"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os</w:t>
      </w:r>
      <w:proofErr w:type="gramEnd"/>
      <w:r w:rsidRPr="004F0CDC">
        <w:rPr>
          <w:rFonts w:ascii="Arial" w:hAnsi="Arial" w:cs="Arial"/>
          <w:sz w:val="20"/>
          <w:szCs w:val="20"/>
        </w:rPr>
        <w:t xml:space="preserve"> enunciados das súmulas do Supremo Tribunal Federal em matéria constitucional e do Superior Tribunal de Justiça em matéria infraconstitucional;</w:t>
      </w:r>
    </w:p>
    <w:p w14:paraId="3A774160" w14:textId="00B987D9"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xml:space="preserve">V </w:t>
      </w:r>
      <w:r w:rsidR="004E24FA"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a</w:t>
      </w:r>
      <w:proofErr w:type="gramEnd"/>
      <w:r w:rsidRPr="004F0CDC">
        <w:rPr>
          <w:rFonts w:ascii="Arial" w:hAnsi="Arial" w:cs="Arial"/>
          <w:sz w:val="20"/>
          <w:szCs w:val="20"/>
        </w:rPr>
        <w:t xml:space="preserve"> orientação do plenário ou do órgão especial aos quais estiverem vinculados.</w:t>
      </w:r>
    </w:p>
    <w:p w14:paraId="6F2FA330"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1º Os juízes e os tribunais observarão o disposto no art. 10 e no art. 489, § 1o, quando decidirem com fundamento neste artigo.</w:t>
      </w:r>
    </w:p>
    <w:p w14:paraId="11944E1E"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2º A alteração de tese jurídica adotada em enunciado de súmula ou em julgamento de casos repetitivos poderá ser precedida de audiências públicas e da participação de pessoas, órgãos ou entidades que possam contribuir para a rediscussão da tese.</w:t>
      </w:r>
    </w:p>
    <w:p w14:paraId="01859B1C"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3º Na hipótese de alteração de jurisprudência dominante do Supremo Tribunal Federal e dos tribunais superiores ou daquela oriunda de julgamento de casos repetitivos, pode haver modulação dos efeitos da alteração no interesse social e no da segurança jurídica.</w:t>
      </w:r>
    </w:p>
    <w:p w14:paraId="7D9C3C36"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4º A modificação de enunciado de súmula, de jurisprudência pacificada ou de tese adotada em julgamento de casos repetitivos observará a necessidade de fundamentação adequada e específica, considerando os princípios da segurança jurídica, da proteção da confiança e da isonomia.</w:t>
      </w:r>
    </w:p>
    <w:p w14:paraId="6DBEE8EA"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lastRenderedPageBreak/>
        <w:t>§ 5º Os tribunais darão publicidade a seus precedentes, organizando-os por questão jurídica decidida e divulgando-os, preferencialmente, na rede mundial de computadores.</w:t>
      </w:r>
    </w:p>
    <w:p w14:paraId="4FFA43C8" w14:textId="77777777" w:rsidR="00CF55DA" w:rsidRPr="004F0CDC" w:rsidRDefault="00CF55DA" w:rsidP="005B60AC">
      <w:pPr>
        <w:tabs>
          <w:tab w:val="left" w:pos="1397"/>
        </w:tabs>
        <w:spacing w:after="0" w:line="240" w:lineRule="auto"/>
        <w:ind w:left="2268"/>
        <w:jc w:val="both"/>
        <w:rPr>
          <w:rFonts w:ascii="Arial" w:hAnsi="Arial" w:cs="Arial"/>
          <w:sz w:val="20"/>
          <w:szCs w:val="20"/>
        </w:rPr>
      </w:pPr>
    </w:p>
    <w:p w14:paraId="4F07235A"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Art. 928.  Para os fins deste Código, considera-se julgamento de casos repetitivos a decisão proferida em:</w:t>
      </w:r>
    </w:p>
    <w:p w14:paraId="5FE40969" w14:textId="689D4B06"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xml:space="preserve">I </w:t>
      </w:r>
      <w:r w:rsidR="004E24FA"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incidente</w:t>
      </w:r>
      <w:proofErr w:type="gramEnd"/>
      <w:r w:rsidRPr="004F0CDC">
        <w:rPr>
          <w:rFonts w:ascii="Arial" w:hAnsi="Arial" w:cs="Arial"/>
          <w:sz w:val="20"/>
          <w:szCs w:val="20"/>
        </w:rPr>
        <w:t xml:space="preserve"> de resolução de demandas repetitivas;</w:t>
      </w:r>
    </w:p>
    <w:p w14:paraId="4A49F98E" w14:textId="7554120C"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 xml:space="preserve">II </w:t>
      </w:r>
      <w:r w:rsidR="004E24FA" w:rsidRPr="004F0CDC">
        <w:rPr>
          <w:rFonts w:ascii="Arial" w:hAnsi="Arial" w:cs="Arial"/>
          <w:sz w:val="20"/>
          <w:szCs w:val="20"/>
        </w:rPr>
        <w:t>–</w:t>
      </w:r>
      <w:r w:rsidRPr="004F0CDC">
        <w:rPr>
          <w:rFonts w:ascii="Arial" w:hAnsi="Arial" w:cs="Arial"/>
          <w:sz w:val="20"/>
          <w:szCs w:val="20"/>
        </w:rPr>
        <w:t xml:space="preserve"> </w:t>
      </w:r>
      <w:proofErr w:type="gramStart"/>
      <w:r w:rsidRPr="004F0CDC">
        <w:rPr>
          <w:rFonts w:ascii="Arial" w:hAnsi="Arial" w:cs="Arial"/>
          <w:sz w:val="20"/>
          <w:szCs w:val="20"/>
        </w:rPr>
        <w:t>recursos</w:t>
      </w:r>
      <w:proofErr w:type="gramEnd"/>
      <w:r w:rsidRPr="004F0CDC">
        <w:rPr>
          <w:rFonts w:ascii="Arial" w:hAnsi="Arial" w:cs="Arial"/>
          <w:sz w:val="20"/>
          <w:szCs w:val="20"/>
        </w:rPr>
        <w:t xml:space="preserve"> especial e extraordinário repetitivos.</w:t>
      </w:r>
    </w:p>
    <w:p w14:paraId="12F79275" w14:textId="77777777" w:rsidR="00CF55DA" w:rsidRPr="004F0CDC" w:rsidRDefault="00CF55DA" w:rsidP="005B60AC">
      <w:pPr>
        <w:tabs>
          <w:tab w:val="left" w:pos="1397"/>
        </w:tabs>
        <w:spacing w:after="0" w:line="240" w:lineRule="auto"/>
        <w:ind w:left="2268"/>
        <w:jc w:val="both"/>
        <w:rPr>
          <w:rFonts w:ascii="Arial" w:hAnsi="Arial" w:cs="Arial"/>
          <w:sz w:val="20"/>
          <w:szCs w:val="20"/>
        </w:rPr>
      </w:pPr>
      <w:r w:rsidRPr="004F0CDC">
        <w:rPr>
          <w:rFonts w:ascii="Arial" w:hAnsi="Arial" w:cs="Arial"/>
          <w:sz w:val="20"/>
          <w:szCs w:val="20"/>
        </w:rPr>
        <w:t>Parágrafo único.  O julgamento de casos repetitivos tem por objeto questão de direito material ou processual.</w:t>
      </w:r>
    </w:p>
    <w:p w14:paraId="3EBA4C20" w14:textId="77777777" w:rsidR="00CF55DA" w:rsidRDefault="00CF55DA" w:rsidP="00381566">
      <w:pPr>
        <w:tabs>
          <w:tab w:val="left" w:pos="851"/>
          <w:tab w:val="left" w:pos="8364"/>
          <w:tab w:val="left" w:pos="8789"/>
        </w:tabs>
        <w:spacing w:before="120" w:after="120" w:line="360" w:lineRule="auto"/>
        <w:jc w:val="both"/>
        <w:rPr>
          <w:rFonts w:ascii="Arial" w:hAnsi="Arial" w:cs="Arial"/>
          <w:sz w:val="24"/>
          <w:szCs w:val="24"/>
        </w:rPr>
      </w:pPr>
    </w:p>
    <w:p w14:paraId="0C073541" w14:textId="77777777" w:rsidR="00D45938" w:rsidRDefault="00CF55DA" w:rsidP="0038156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2834C2">
        <w:rPr>
          <w:rFonts w:ascii="Arial" w:hAnsi="Arial" w:cs="Arial"/>
          <w:sz w:val="24"/>
          <w:szCs w:val="24"/>
        </w:rPr>
        <w:t>Apesar de anteriormente já existente, f</w:t>
      </w:r>
      <w:r w:rsidR="00931E4F">
        <w:rPr>
          <w:rFonts w:ascii="Arial" w:hAnsi="Arial" w:cs="Arial"/>
          <w:sz w:val="24"/>
          <w:szCs w:val="24"/>
        </w:rPr>
        <w:t xml:space="preserve">ortaleceu-se, em tal diploma legislativo, </w:t>
      </w:r>
      <w:r w:rsidR="002834C2">
        <w:rPr>
          <w:rFonts w:ascii="Arial" w:hAnsi="Arial" w:cs="Arial"/>
          <w:sz w:val="24"/>
          <w:szCs w:val="24"/>
        </w:rPr>
        <w:t>um sistema de precedentes obrigatórios, que devem ser observados como paradigmas para posteriores situações idênticas ou semelhantes</w:t>
      </w:r>
      <w:r w:rsidR="00D45938">
        <w:rPr>
          <w:rFonts w:ascii="Arial" w:hAnsi="Arial" w:cs="Arial"/>
          <w:sz w:val="24"/>
          <w:szCs w:val="24"/>
        </w:rPr>
        <w:t>. É nesse contexto que se inserem institutos que já existiam (como é o caso da repercussão geral), bem como outros que são agora criados (tais como o incidente de resolução de demandas repetitivas e o incidente de assunção de competência, por exemplo).</w:t>
      </w:r>
    </w:p>
    <w:p w14:paraId="0B92B8FC" w14:textId="77777777" w:rsidR="00D45938" w:rsidRDefault="00D45938" w:rsidP="0038156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Como afirma Patrícia </w:t>
      </w:r>
      <w:commentRangeStart w:id="46"/>
      <w:r>
        <w:rPr>
          <w:rFonts w:ascii="Arial" w:hAnsi="Arial" w:cs="Arial"/>
          <w:sz w:val="24"/>
          <w:szCs w:val="24"/>
        </w:rPr>
        <w:t>Perrone</w:t>
      </w:r>
      <w:commentRangeEnd w:id="46"/>
      <w:r w:rsidR="008A6EE7">
        <w:rPr>
          <w:rStyle w:val="Refdecomentrio"/>
        </w:rPr>
        <w:commentReference w:id="46"/>
      </w:r>
      <w:r>
        <w:rPr>
          <w:rFonts w:ascii="Arial" w:hAnsi="Arial" w:cs="Arial"/>
          <w:sz w:val="24"/>
          <w:szCs w:val="24"/>
        </w:rPr>
        <w:t>:</w:t>
      </w:r>
    </w:p>
    <w:p w14:paraId="1A95F541" w14:textId="35455F1B" w:rsidR="004E24FA" w:rsidRDefault="004E24FA" w:rsidP="00D45938">
      <w:pPr>
        <w:tabs>
          <w:tab w:val="left" w:pos="851"/>
          <w:tab w:val="left" w:pos="8364"/>
          <w:tab w:val="left" w:pos="8789"/>
        </w:tabs>
        <w:spacing w:before="120" w:after="120" w:line="360" w:lineRule="auto"/>
        <w:ind w:left="1701" w:firstLine="709"/>
        <w:jc w:val="both"/>
        <w:rPr>
          <w:rFonts w:ascii="Arial" w:hAnsi="Arial" w:cs="Arial"/>
          <w:sz w:val="20"/>
          <w:szCs w:val="20"/>
        </w:rPr>
      </w:pPr>
    </w:p>
    <w:p w14:paraId="16CF6222" w14:textId="14B02288" w:rsidR="00D45938" w:rsidRPr="004F0CDC" w:rsidRDefault="00D45938" w:rsidP="005B60AC">
      <w:pPr>
        <w:tabs>
          <w:tab w:val="left" w:pos="851"/>
          <w:tab w:val="left" w:pos="8364"/>
          <w:tab w:val="left" w:pos="8789"/>
        </w:tabs>
        <w:spacing w:after="0" w:line="240" w:lineRule="auto"/>
        <w:ind w:left="2268"/>
        <w:jc w:val="both"/>
        <w:rPr>
          <w:rFonts w:ascii="Arial" w:hAnsi="Arial" w:cs="Arial"/>
          <w:sz w:val="20"/>
          <w:szCs w:val="20"/>
        </w:rPr>
      </w:pPr>
      <w:r w:rsidRPr="004F0CDC">
        <w:rPr>
          <w:rFonts w:ascii="Arial" w:hAnsi="Arial" w:cs="Arial"/>
          <w:sz w:val="20"/>
          <w:szCs w:val="20"/>
        </w:rPr>
        <w:t xml:space="preserve">O Novo Código de Processo Civil (CPC/2015) introduziu um grande número de precedentes vinculantes no sistema brasileiro. Além das decisões proferidas em controle concentrado da constitucionalidade e das súmulas vinculantes, que já possuíam tal eficácia anteriormente, o novo código atribuiu efeitos obrigatórios e gerais: i) aos julgados proferidos pelo Supremo Tribunal Federal e pelo Superior Tribunal de Justiça, em recursos extraordinários e especiais repetitivos, </w:t>
      </w:r>
      <w:proofErr w:type="spellStart"/>
      <w:r w:rsidRPr="004F0CDC">
        <w:rPr>
          <w:rFonts w:ascii="Arial" w:hAnsi="Arial" w:cs="Arial"/>
          <w:sz w:val="20"/>
          <w:szCs w:val="20"/>
        </w:rPr>
        <w:t>ii</w:t>
      </w:r>
      <w:proofErr w:type="spellEnd"/>
      <w:r w:rsidRPr="004F0CDC">
        <w:rPr>
          <w:rFonts w:ascii="Arial" w:hAnsi="Arial" w:cs="Arial"/>
          <w:sz w:val="20"/>
          <w:szCs w:val="20"/>
        </w:rPr>
        <w:t xml:space="preserve">) aos acórdãos produzidos pelos demais tribunais, em incidente de resolução de demandas repetitivas (IRDR) e </w:t>
      </w:r>
      <w:proofErr w:type="spellStart"/>
      <w:r w:rsidRPr="004F0CDC">
        <w:rPr>
          <w:rFonts w:ascii="Arial" w:hAnsi="Arial" w:cs="Arial"/>
          <w:sz w:val="20"/>
          <w:szCs w:val="20"/>
        </w:rPr>
        <w:t>iii</w:t>
      </w:r>
      <w:proofErr w:type="spellEnd"/>
      <w:r w:rsidRPr="004F0CDC">
        <w:rPr>
          <w:rFonts w:ascii="Arial" w:hAnsi="Arial" w:cs="Arial"/>
          <w:sz w:val="20"/>
          <w:szCs w:val="20"/>
        </w:rPr>
        <w:t xml:space="preserve">) em incidente de assunção de competência. Com a vigência do Novo CPC, os precedentes proferidos em todos esses casos deverão ser obrigatoriamente observados pelas demais instâncias, sob pena de cassação do entendimento divergente, por meio de </w:t>
      </w:r>
      <w:proofErr w:type="gramStart"/>
      <w:r w:rsidRPr="004F0CDC">
        <w:rPr>
          <w:rFonts w:ascii="Arial" w:hAnsi="Arial" w:cs="Arial"/>
          <w:sz w:val="20"/>
          <w:szCs w:val="20"/>
        </w:rPr>
        <w:t>reclamação</w:t>
      </w:r>
      <w:r w:rsidR="004F4D9D" w:rsidRPr="004F0CDC">
        <w:rPr>
          <w:rFonts w:ascii="Arial" w:hAnsi="Arial" w:cs="Arial"/>
          <w:sz w:val="20"/>
          <w:szCs w:val="20"/>
        </w:rPr>
        <w:t>.</w:t>
      </w:r>
      <w:r w:rsidRPr="004F0CDC">
        <w:rPr>
          <w:rFonts w:ascii="Arial" w:hAnsi="Arial" w:cs="Arial"/>
          <w:sz w:val="20"/>
          <w:szCs w:val="20"/>
        </w:rPr>
        <w:t>”</w:t>
      </w:r>
      <w:proofErr w:type="gramEnd"/>
      <w:r w:rsidRPr="004F0CDC">
        <w:rPr>
          <w:rFonts w:ascii="Arial" w:hAnsi="Arial" w:cs="Arial"/>
          <w:sz w:val="20"/>
          <w:szCs w:val="20"/>
        </w:rPr>
        <w:t xml:space="preserve"> (MELLO, Patrícia Perrone Campos. </w:t>
      </w:r>
      <w:r w:rsidRPr="005B60AC">
        <w:rPr>
          <w:rFonts w:ascii="Arial" w:hAnsi="Arial" w:cs="Arial"/>
          <w:b/>
          <w:sz w:val="20"/>
          <w:szCs w:val="20"/>
        </w:rPr>
        <w:t>Como se opera com precedentes segundo o Novo CPC?</w:t>
      </w:r>
      <w:r w:rsidRPr="004F0CDC">
        <w:rPr>
          <w:rFonts w:ascii="Arial" w:hAnsi="Arial" w:cs="Arial"/>
          <w:sz w:val="20"/>
          <w:szCs w:val="20"/>
        </w:rPr>
        <w:t xml:space="preserve"> </w:t>
      </w:r>
      <w:r w:rsidRPr="004F0CDC">
        <w:rPr>
          <w:rFonts w:ascii="Arial" w:hAnsi="Arial" w:cs="Arial"/>
          <w:i/>
          <w:sz w:val="20"/>
          <w:szCs w:val="20"/>
        </w:rPr>
        <w:t>In</w:t>
      </w:r>
      <w:r w:rsidRPr="004F0CDC">
        <w:rPr>
          <w:rFonts w:ascii="Arial" w:hAnsi="Arial" w:cs="Arial"/>
          <w:sz w:val="20"/>
          <w:szCs w:val="20"/>
        </w:rPr>
        <w:t>: Jota</w:t>
      </w:r>
      <w:r w:rsidR="004E24FA" w:rsidRPr="004F0CDC">
        <w:rPr>
          <w:rFonts w:ascii="Arial" w:hAnsi="Arial" w:cs="Arial"/>
          <w:sz w:val="20"/>
          <w:szCs w:val="20"/>
        </w:rPr>
        <w:t>.</w:t>
      </w:r>
      <w:r w:rsidRPr="004F0CDC">
        <w:rPr>
          <w:rFonts w:ascii="Arial" w:hAnsi="Arial" w:cs="Arial"/>
          <w:sz w:val="20"/>
          <w:szCs w:val="20"/>
        </w:rPr>
        <w:t xml:space="preserve"> </w:t>
      </w:r>
      <w:r w:rsidR="004E24FA" w:rsidRPr="004F0CDC">
        <w:rPr>
          <w:rFonts w:ascii="Arial" w:hAnsi="Arial" w:cs="Arial"/>
          <w:sz w:val="20"/>
          <w:szCs w:val="20"/>
        </w:rPr>
        <w:t>D</w:t>
      </w:r>
      <w:r w:rsidRPr="004F0CDC">
        <w:rPr>
          <w:rFonts w:ascii="Arial" w:hAnsi="Arial" w:cs="Arial"/>
          <w:sz w:val="20"/>
          <w:szCs w:val="20"/>
        </w:rPr>
        <w:t xml:space="preserve">isponível em </w:t>
      </w:r>
      <w:r w:rsidR="004F4D9D" w:rsidRPr="004F0CDC">
        <w:rPr>
          <w:rFonts w:ascii="Arial" w:hAnsi="Arial" w:cs="Arial"/>
          <w:sz w:val="20"/>
          <w:szCs w:val="20"/>
        </w:rPr>
        <w:t>&lt;</w:t>
      </w:r>
      <w:hyperlink r:id="rId20" w:history="1">
        <w:r w:rsidRPr="004F0CDC">
          <w:rPr>
            <w:rStyle w:val="Hyperlink"/>
            <w:rFonts w:ascii="Arial" w:hAnsi="Arial" w:cs="Arial"/>
            <w:sz w:val="20"/>
            <w:szCs w:val="20"/>
          </w:rPr>
          <w:t>http://jota.uol.com.br/como-se-opera-com-precedentes-segundo-o-novo-cpc</w:t>
        </w:r>
      </w:hyperlink>
      <w:r w:rsidR="004F4D9D" w:rsidRPr="005B60AC">
        <w:t>&gt;</w:t>
      </w:r>
      <w:r w:rsidR="004E24FA" w:rsidRPr="004F0CDC">
        <w:rPr>
          <w:rFonts w:ascii="Arial" w:hAnsi="Arial" w:cs="Arial"/>
          <w:sz w:val="20"/>
          <w:szCs w:val="20"/>
        </w:rPr>
        <w:t xml:space="preserve">. Acesso em: </w:t>
      </w:r>
      <w:proofErr w:type="gramStart"/>
      <w:r w:rsidR="004E24FA" w:rsidRPr="004F0CDC">
        <w:rPr>
          <w:rFonts w:ascii="Arial" w:hAnsi="Arial" w:cs="Arial"/>
          <w:sz w:val="20"/>
          <w:szCs w:val="20"/>
        </w:rPr>
        <w:t>22 mar</w:t>
      </w:r>
      <w:proofErr w:type="gramEnd"/>
      <w:r w:rsidR="004E24FA" w:rsidRPr="004F0CDC">
        <w:rPr>
          <w:rFonts w:ascii="Arial" w:hAnsi="Arial" w:cs="Arial"/>
          <w:sz w:val="20"/>
          <w:szCs w:val="20"/>
        </w:rPr>
        <w:t xml:space="preserve"> 2016.</w:t>
      </w:r>
      <w:r w:rsidRPr="004F0CDC">
        <w:rPr>
          <w:rFonts w:ascii="Arial" w:hAnsi="Arial" w:cs="Arial"/>
          <w:sz w:val="20"/>
          <w:szCs w:val="20"/>
        </w:rPr>
        <w:t>)</w:t>
      </w:r>
    </w:p>
    <w:p w14:paraId="2CF469E0" w14:textId="77777777" w:rsidR="00D45938" w:rsidRDefault="00D45938" w:rsidP="00D45938">
      <w:pPr>
        <w:tabs>
          <w:tab w:val="left" w:pos="851"/>
          <w:tab w:val="left" w:pos="8364"/>
          <w:tab w:val="left" w:pos="8789"/>
        </w:tabs>
        <w:spacing w:before="120" w:after="120" w:line="360" w:lineRule="auto"/>
        <w:ind w:left="1701" w:firstLine="709"/>
        <w:jc w:val="both"/>
        <w:rPr>
          <w:rFonts w:ascii="Arial" w:hAnsi="Arial" w:cs="Arial"/>
          <w:sz w:val="20"/>
          <w:szCs w:val="20"/>
        </w:rPr>
      </w:pPr>
    </w:p>
    <w:p w14:paraId="378E80B4" w14:textId="77777777" w:rsidR="00512B00" w:rsidRPr="00225F13" w:rsidRDefault="00512B00" w:rsidP="00512B00">
      <w:pPr>
        <w:tabs>
          <w:tab w:val="left" w:pos="851"/>
        </w:tabs>
        <w:spacing w:before="120" w:after="120" w:line="360" w:lineRule="auto"/>
        <w:jc w:val="both"/>
        <w:rPr>
          <w:rFonts w:ascii="Arial" w:hAnsi="Arial" w:cs="Arial"/>
          <w:sz w:val="24"/>
          <w:szCs w:val="24"/>
          <w:u w:val="single"/>
        </w:rPr>
      </w:pPr>
      <w:r w:rsidRPr="00512B00">
        <w:rPr>
          <w:rFonts w:ascii="Arial" w:hAnsi="Arial" w:cs="Arial"/>
          <w:sz w:val="24"/>
          <w:szCs w:val="24"/>
        </w:rPr>
        <w:tab/>
      </w:r>
      <w:r w:rsidRPr="00225F13">
        <w:rPr>
          <w:rFonts w:ascii="Arial" w:hAnsi="Arial" w:cs="Arial"/>
          <w:sz w:val="24"/>
          <w:szCs w:val="24"/>
          <w:u w:val="single"/>
        </w:rPr>
        <w:t>Leituras complementares:</w:t>
      </w:r>
    </w:p>
    <w:p w14:paraId="70EC5A6C" w14:textId="066150D4" w:rsidR="00551F9E" w:rsidRDefault="00D45938" w:rsidP="0038156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 xml:space="preserve"> </w:t>
      </w:r>
      <w:r w:rsidR="00512B00">
        <w:rPr>
          <w:rFonts w:ascii="Arial" w:hAnsi="Arial" w:cs="Arial"/>
          <w:sz w:val="24"/>
          <w:szCs w:val="24"/>
        </w:rPr>
        <w:tab/>
      </w:r>
      <w:r w:rsidR="00551F9E">
        <w:rPr>
          <w:rFonts w:ascii="Arial" w:hAnsi="Arial" w:cs="Arial"/>
          <w:sz w:val="24"/>
          <w:szCs w:val="24"/>
        </w:rPr>
        <w:t xml:space="preserve">Recomendamos a leitura integral do </w:t>
      </w:r>
      <w:r>
        <w:rPr>
          <w:rFonts w:ascii="Arial" w:hAnsi="Arial" w:cs="Arial"/>
          <w:sz w:val="24"/>
          <w:szCs w:val="24"/>
        </w:rPr>
        <w:t>artigo</w:t>
      </w:r>
      <w:r w:rsidR="00551F9E">
        <w:rPr>
          <w:rFonts w:ascii="Arial" w:hAnsi="Arial" w:cs="Arial"/>
          <w:sz w:val="24"/>
          <w:szCs w:val="24"/>
        </w:rPr>
        <w:t xml:space="preserve"> de Patrícia Perrone,</w:t>
      </w:r>
      <w:r w:rsidR="00153995">
        <w:rPr>
          <w:rFonts w:ascii="Arial" w:hAnsi="Arial" w:cs="Arial"/>
          <w:sz w:val="24"/>
          <w:szCs w:val="24"/>
        </w:rPr>
        <w:t xml:space="preserve"> mencionado</w:t>
      </w:r>
      <w:r w:rsidR="00551F9E">
        <w:rPr>
          <w:rFonts w:ascii="Arial" w:hAnsi="Arial" w:cs="Arial"/>
          <w:sz w:val="24"/>
          <w:szCs w:val="24"/>
        </w:rPr>
        <w:t xml:space="preserve"> acima</w:t>
      </w:r>
      <w:r w:rsidR="00D95810">
        <w:rPr>
          <w:rFonts w:ascii="Arial" w:hAnsi="Arial" w:cs="Arial"/>
          <w:sz w:val="24"/>
          <w:szCs w:val="24"/>
        </w:rPr>
        <w:t xml:space="preserve">, que </w:t>
      </w:r>
      <w:r>
        <w:rPr>
          <w:rFonts w:ascii="Arial" w:hAnsi="Arial" w:cs="Arial"/>
          <w:sz w:val="24"/>
          <w:szCs w:val="24"/>
        </w:rPr>
        <w:t>faz parte da série</w:t>
      </w:r>
      <w:r w:rsidR="00153995">
        <w:rPr>
          <w:rFonts w:ascii="Arial" w:hAnsi="Arial" w:cs="Arial"/>
          <w:sz w:val="24"/>
          <w:szCs w:val="24"/>
        </w:rPr>
        <w:t xml:space="preserve"> </w:t>
      </w:r>
      <w:r>
        <w:rPr>
          <w:rFonts w:ascii="Arial" w:hAnsi="Arial" w:cs="Arial"/>
          <w:sz w:val="24"/>
          <w:szCs w:val="24"/>
        </w:rPr>
        <w:t xml:space="preserve">intitulada “Os Precedentes no Novo CPC”, veiculada pelo </w:t>
      </w:r>
      <w:commentRangeStart w:id="47"/>
      <w:r>
        <w:rPr>
          <w:rFonts w:ascii="Arial" w:hAnsi="Arial" w:cs="Arial"/>
          <w:sz w:val="24"/>
          <w:szCs w:val="24"/>
        </w:rPr>
        <w:t xml:space="preserve">portal jurídico </w:t>
      </w:r>
      <w:r w:rsidRPr="005B60AC">
        <w:rPr>
          <w:rFonts w:ascii="Arial" w:hAnsi="Arial" w:cs="Arial"/>
          <w:i/>
          <w:sz w:val="24"/>
          <w:szCs w:val="24"/>
        </w:rPr>
        <w:t>Jota</w:t>
      </w:r>
      <w:commentRangeEnd w:id="47"/>
      <w:r w:rsidR="008A6EE7" w:rsidRPr="005B60AC">
        <w:rPr>
          <w:rStyle w:val="Refdecomentrio"/>
          <w:i/>
        </w:rPr>
        <w:commentReference w:id="47"/>
      </w:r>
      <w:r>
        <w:rPr>
          <w:rFonts w:ascii="Arial" w:hAnsi="Arial" w:cs="Arial"/>
          <w:sz w:val="24"/>
          <w:szCs w:val="24"/>
        </w:rPr>
        <w:t>.</w:t>
      </w:r>
      <w:r w:rsidR="00153995">
        <w:rPr>
          <w:rFonts w:ascii="Arial" w:hAnsi="Arial" w:cs="Arial"/>
          <w:sz w:val="24"/>
          <w:szCs w:val="24"/>
        </w:rPr>
        <w:t xml:space="preserve"> </w:t>
      </w:r>
    </w:p>
    <w:p w14:paraId="3655C3B1" w14:textId="5E66789B" w:rsidR="00153995" w:rsidRPr="005B60AC" w:rsidRDefault="00551F9E" w:rsidP="00381566">
      <w:pPr>
        <w:tabs>
          <w:tab w:val="left" w:pos="851"/>
          <w:tab w:val="left" w:pos="8364"/>
          <w:tab w:val="left" w:pos="8789"/>
        </w:tabs>
        <w:spacing w:before="120" w:after="120" w:line="360" w:lineRule="auto"/>
        <w:jc w:val="both"/>
      </w:pPr>
      <w:r>
        <w:rPr>
          <w:rFonts w:ascii="Arial" w:hAnsi="Arial" w:cs="Arial"/>
          <w:sz w:val="24"/>
          <w:szCs w:val="24"/>
        </w:rPr>
        <w:tab/>
        <w:t xml:space="preserve">No mesmo </w:t>
      </w:r>
      <w:r w:rsidR="00477670">
        <w:rPr>
          <w:rFonts w:ascii="Arial" w:hAnsi="Arial" w:cs="Arial"/>
          <w:sz w:val="24"/>
          <w:szCs w:val="24"/>
        </w:rPr>
        <w:t>site</w:t>
      </w:r>
      <w:r>
        <w:rPr>
          <w:rFonts w:ascii="Arial" w:hAnsi="Arial" w:cs="Arial"/>
          <w:sz w:val="24"/>
          <w:szCs w:val="24"/>
        </w:rPr>
        <w:t xml:space="preserve">, </w:t>
      </w:r>
      <w:r w:rsidR="00477670">
        <w:rPr>
          <w:rFonts w:ascii="Arial" w:hAnsi="Arial" w:cs="Arial"/>
          <w:sz w:val="24"/>
          <w:szCs w:val="24"/>
        </w:rPr>
        <w:t>sugerimos também</w:t>
      </w:r>
      <w:r>
        <w:rPr>
          <w:rFonts w:ascii="Arial" w:hAnsi="Arial" w:cs="Arial"/>
          <w:sz w:val="24"/>
          <w:szCs w:val="24"/>
        </w:rPr>
        <w:t xml:space="preserve"> que lei</w:t>
      </w:r>
      <w:r w:rsidR="00477670">
        <w:rPr>
          <w:rFonts w:ascii="Arial" w:hAnsi="Arial" w:cs="Arial"/>
          <w:sz w:val="24"/>
          <w:szCs w:val="24"/>
        </w:rPr>
        <w:t>a</w:t>
      </w:r>
      <w:r>
        <w:rPr>
          <w:rFonts w:ascii="Arial" w:hAnsi="Arial" w:cs="Arial"/>
          <w:sz w:val="24"/>
          <w:szCs w:val="24"/>
        </w:rPr>
        <w:t xml:space="preserve"> o texto </w:t>
      </w:r>
      <w:r w:rsidR="00153995">
        <w:rPr>
          <w:rFonts w:ascii="Arial" w:hAnsi="Arial" w:cs="Arial"/>
          <w:sz w:val="24"/>
          <w:szCs w:val="24"/>
        </w:rPr>
        <w:t xml:space="preserve">constante do seguinte link: </w:t>
      </w:r>
      <w:r w:rsidR="004F4D9D">
        <w:rPr>
          <w:rFonts w:ascii="Arial" w:hAnsi="Arial" w:cs="Arial"/>
          <w:sz w:val="24"/>
          <w:szCs w:val="24"/>
        </w:rPr>
        <w:t>&lt;</w:t>
      </w:r>
      <w:hyperlink r:id="rId21" w:history="1">
        <w:r w:rsidR="00153995" w:rsidRPr="00A866E0">
          <w:rPr>
            <w:rStyle w:val="Hyperlink"/>
            <w:rFonts w:ascii="Arial" w:hAnsi="Arial" w:cs="Arial"/>
            <w:sz w:val="24"/>
            <w:szCs w:val="24"/>
          </w:rPr>
          <w:t>http://jota.uol.com.br/serie-os-precedentes-no-novo-cpc</w:t>
        </w:r>
      </w:hyperlink>
      <w:r w:rsidR="004F4D9D" w:rsidRPr="005B60AC">
        <w:t>&gt;</w:t>
      </w:r>
      <w:r w:rsidR="00153995" w:rsidRPr="005B60AC">
        <w:t>.</w:t>
      </w:r>
    </w:p>
    <w:p w14:paraId="13412ADB" w14:textId="1C2DB6DD" w:rsidR="0014093E" w:rsidRPr="005B60AC" w:rsidRDefault="0014093E" w:rsidP="00381566">
      <w:pPr>
        <w:tabs>
          <w:tab w:val="left" w:pos="851"/>
          <w:tab w:val="left" w:pos="8364"/>
          <w:tab w:val="left" w:pos="8789"/>
        </w:tabs>
        <w:spacing w:before="120" w:after="120" w:line="360" w:lineRule="auto"/>
        <w:jc w:val="both"/>
        <w:rPr>
          <w:rStyle w:val="Hyperlink"/>
          <w:rFonts w:ascii="Arial" w:hAnsi="Arial" w:cs="Arial"/>
          <w:color w:val="auto"/>
          <w:sz w:val="24"/>
          <w:szCs w:val="24"/>
        </w:rPr>
      </w:pPr>
      <w:r>
        <w:rPr>
          <w:rFonts w:ascii="Arial" w:hAnsi="Arial" w:cs="Arial"/>
          <w:sz w:val="24"/>
          <w:szCs w:val="24"/>
        </w:rPr>
        <w:tab/>
        <w:t>Para uma visão interna do próprio Judiciário, cita-se, ainda, notícia publicada pelo sítio eletrônico do Superior Tribunal de Justiça na data de entrada em vigor do Novo Código de Processo Civil:</w:t>
      </w:r>
      <w:r w:rsidR="004F4D9D">
        <w:rPr>
          <w:rFonts w:ascii="Arial" w:hAnsi="Arial" w:cs="Arial"/>
          <w:sz w:val="24"/>
          <w:szCs w:val="24"/>
        </w:rPr>
        <w:t xml:space="preserve"> </w:t>
      </w:r>
      <w:r w:rsidR="00C66964">
        <w:rPr>
          <w:rFonts w:ascii="Arial" w:hAnsi="Arial" w:cs="Arial"/>
          <w:sz w:val="24"/>
          <w:szCs w:val="24"/>
        </w:rPr>
        <w:lastRenderedPageBreak/>
        <w:t>&lt;</w:t>
      </w:r>
      <w:hyperlink r:id="rId22" w:history="1">
        <w:r w:rsidRPr="00A866E0">
          <w:rPr>
            <w:rStyle w:val="Hyperlink"/>
            <w:rFonts w:ascii="Arial" w:hAnsi="Arial" w:cs="Arial"/>
            <w:sz w:val="24"/>
            <w:szCs w:val="24"/>
          </w:rPr>
          <w:t>http://www.stj.jus.br/sites/STJ/default/pt_BR/Comunica%C3%A7%C3%A3o/Not%C3%ADcias/Not%C3%ADcias/Valoriza%C3%A7%C3%A3o-de-precedentes-jurisprudenciais-%C3%A9-destaque-do-novo-CPC-que-entra-em-vigor-hoje-(18)</w:t>
        </w:r>
      </w:hyperlink>
      <w:r w:rsidR="00C66964" w:rsidRPr="005B60AC">
        <w:t>&gt;.</w:t>
      </w:r>
    </w:p>
    <w:p w14:paraId="4615C6F6" w14:textId="77777777" w:rsidR="00477670" w:rsidRPr="00B976E6" w:rsidRDefault="00D95810" w:rsidP="00245E67">
      <w:pPr>
        <w:tabs>
          <w:tab w:val="left" w:pos="851"/>
          <w:tab w:val="left" w:pos="8364"/>
          <w:tab w:val="left" w:pos="8789"/>
        </w:tabs>
        <w:spacing w:before="120" w:after="120" w:line="360" w:lineRule="auto"/>
        <w:rPr>
          <w:rFonts w:ascii="Arial" w:hAnsi="Arial" w:cs="Arial"/>
          <w:sz w:val="24"/>
          <w:szCs w:val="24"/>
        </w:rPr>
      </w:pPr>
      <w:r w:rsidRPr="005B60AC">
        <w:rPr>
          <w:rStyle w:val="Hyperlink"/>
          <w:rFonts w:ascii="Arial" w:hAnsi="Arial" w:cs="Arial"/>
          <w:color w:val="auto"/>
          <w:sz w:val="24"/>
          <w:szCs w:val="24"/>
          <w:u w:val="none"/>
        </w:rPr>
        <w:tab/>
      </w:r>
      <w:r w:rsidR="00477670" w:rsidRPr="005B60AC">
        <w:rPr>
          <w:rStyle w:val="Hyperlink"/>
          <w:rFonts w:ascii="Arial" w:hAnsi="Arial" w:cs="Arial"/>
          <w:color w:val="auto"/>
          <w:sz w:val="24"/>
          <w:szCs w:val="24"/>
          <w:u w:val="none"/>
        </w:rPr>
        <w:t>Vale a pena enriquecer o estudo com essas indicações!</w:t>
      </w:r>
    </w:p>
    <w:p w14:paraId="4C7E9612" w14:textId="77777777" w:rsidR="00153995" w:rsidRDefault="00153995" w:rsidP="00381566">
      <w:pPr>
        <w:tabs>
          <w:tab w:val="left" w:pos="851"/>
          <w:tab w:val="left" w:pos="8364"/>
          <w:tab w:val="left" w:pos="8789"/>
        </w:tabs>
        <w:spacing w:before="120" w:after="120" w:line="360" w:lineRule="auto"/>
        <w:jc w:val="both"/>
        <w:rPr>
          <w:rFonts w:ascii="Arial" w:hAnsi="Arial" w:cs="Arial"/>
          <w:sz w:val="24"/>
          <w:szCs w:val="24"/>
        </w:rPr>
      </w:pPr>
    </w:p>
    <w:p w14:paraId="2F500E0D" w14:textId="77777777" w:rsidR="00D45938" w:rsidRDefault="00153995" w:rsidP="00381566">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D45938">
        <w:rPr>
          <w:rFonts w:ascii="Arial" w:hAnsi="Arial" w:cs="Arial"/>
          <w:sz w:val="24"/>
          <w:szCs w:val="24"/>
        </w:rPr>
        <w:t xml:space="preserve">Sobre </w:t>
      </w:r>
      <w:r w:rsidR="00B14C3D">
        <w:rPr>
          <w:rFonts w:ascii="Arial" w:hAnsi="Arial" w:cs="Arial"/>
          <w:sz w:val="24"/>
          <w:szCs w:val="24"/>
        </w:rPr>
        <w:t xml:space="preserve">a referida obrigatoriedade dos precedentes, Teresa Arruda Alvim </w:t>
      </w:r>
      <w:proofErr w:type="spellStart"/>
      <w:r w:rsidR="00B14C3D">
        <w:rPr>
          <w:rFonts w:ascii="Arial" w:hAnsi="Arial" w:cs="Arial"/>
          <w:sz w:val="24"/>
          <w:szCs w:val="24"/>
        </w:rPr>
        <w:t>Wambier</w:t>
      </w:r>
      <w:proofErr w:type="spellEnd"/>
      <w:r w:rsidR="00B14C3D">
        <w:rPr>
          <w:rFonts w:ascii="Arial" w:hAnsi="Arial" w:cs="Arial"/>
          <w:sz w:val="24"/>
          <w:szCs w:val="24"/>
        </w:rPr>
        <w:t xml:space="preserve"> e Bruno Dantas afirmam, à luz do Novo CPC</w:t>
      </w:r>
      <w:r w:rsidR="00477670">
        <w:rPr>
          <w:rFonts w:ascii="Arial" w:hAnsi="Arial" w:cs="Arial"/>
          <w:sz w:val="24"/>
          <w:szCs w:val="24"/>
        </w:rPr>
        <w:t>,</w:t>
      </w:r>
      <w:r w:rsidR="00B14C3D">
        <w:rPr>
          <w:rFonts w:ascii="Arial" w:hAnsi="Arial" w:cs="Arial"/>
          <w:sz w:val="24"/>
          <w:szCs w:val="24"/>
        </w:rPr>
        <w:t xml:space="preserve"> a existência de “três graus de obrigatoriedade”</w:t>
      </w:r>
      <w:r w:rsidR="00C238A8">
        <w:rPr>
          <w:rFonts w:ascii="Arial" w:hAnsi="Arial" w:cs="Arial"/>
          <w:sz w:val="24"/>
          <w:szCs w:val="24"/>
        </w:rPr>
        <w:t xml:space="preserve"> (forte, média e fraca)</w:t>
      </w:r>
      <w:r w:rsidR="00B14C3D">
        <w:rPr>
          <w:rFonts w:ascii="Arial" w:hAnsi="Arial" w:cs="Arial"/>
          <w:sz w:val="24"/>
          <w:szCs w:val="24"/>
        </w:rPr>
        <w:t>, conforme passagem a seguir transcrita:</w:t>
      </w:r>
    </w:p>
    <w:p w14:paraId="17A40B9D" w14:textId="20CD0CFC" w:rsidR="00AD61BE" w:rsidRDefault="00AD61BE" w:rsidP="00C238A8">
      <w:pPr>
        <w:tabs>
          <w:tab w:val="left" w:pos="851"/>
          <w:tab w:val="left" w:pos="8364"/>
          <w:tab w:val="left" w:pos="8789"/>
        </w:tabs>
        <w:spacing w:after="0" w:line="360" w:lineRule="auto"/>
        <w:ind w:left="1701" w:firstLine="709"/>
        <w:jc w:val="both"/>
        <w:rPr>
          <w:rFonts w:ascii="Arial" w:hAnsi="Arial" w:cs="Arial"/>
          <w:sz w:val="20"/>
          <w:szCs w:val="20"/>
        </w:rPr>
      </w:pPr>
    </w:p>
    <w:p w14:paraId="2D37D693" w14:textId="476E9BAA" w:rsidR="00C238A8" w:rsidRPr="004F0CDC" w:rsidRDefault="00C238A8"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 xml:space="preserve">A obrigatoriedade será </w:t>
      </w:r>
      <w:r w:rsidR="00785FDA" w:rsidRPr="00785FDA">
        <w:rPr>
          <w:rFonts w:ascii="Arial" w:hAnsi="Arial" w:cs="Arial"/>
          <w:sz w:val="20"/>
          <w:szCs w:val="20"/>
        </w:rPr>
        <w:t>t</w:t>
      </w:r>
      <w:r w:rsidRPr="00785FDA">
        <w:rPr>
          <w:rFonts w:ascii="Arial" w:hAnsi="Arial" w:cs="Arial"/>
          <w:sz w:val="20"/>
          <w:szCs w:val="20"/>
        </w:rPr>
        <w:t>ida</w:t>
      </w:r>
      <w:r w:rsidRPr="004F0CDC">
        <w:rPr>
          <w:rFonts w:ascii="Arial" w:hAnsi="Arial" w:cs="Arial"/>
          <w:sz w:val="20"/>
          <w:szCs w:val="20"/>
        </w:rPr>
        <w:t xml:space="preserve"> como </w:t>
      </w:r>
      <w:r w:rsidRPr="004F0CDC">
        <w:rPr>
          <w:rFonts w:ascii="Arial" w:hAnsi="Arial" w:cs="Arial"/>
          <w:i/>
          <w:sz w:val="20"/>
          <w:szCs w:val="20"/>
        </w:rPr>
        <w:t>forte</w:t>
      </w:r>
      <w:r w:rsidRPr="004F0CDC">
        <w:rPr>
          <w:rFonts w:ascii="Arial" w:hAnsi="Arial" w:cs="Arial"/>
          <w:sz w:val="20"/>
          <w:szCs w:val="20"/>
        </w:rPr>
        <w:t xml:space="preserve"> quando o respeito a um precedente é exigido, sob pena o manejo de medida ou ação </w:t>
      </w:r>
      <w:r w:rsidRPr="004F0CDC">
        <w:rPr>
          <w:rFonts w:ascii="Arial" w:hAnsi="Arial" w:cs="Arial"/>
          <w:i/>
          <w:sz w:val="20"/>
          <w:szCs w:val="20"/>
        </w:rPr>
        <w:t>especialmente concebida para esse fim</w:t>
      </w:r>
      <w:r w:rsidRPr="004F0CDC">
        <w:rPr>
          <w:rFonts w:ascii="Arial" w:hAnsi="Arial" w:cs="Arial"/>
          <w:sz w:val="20"/>
          <w:szCs w:val="20"/>
        </w:rPr>
        <w:t xml:space="preserve">. São </w:t>
      </w:r>
      <w:r w:rsidRPr="004F0CDC">
        <w:rPr>
          <w:rFonts w:ascii="Arial" w:hAnsi="Arial" w:cs="Arial"/>
          <w:i/>
          <w:sz w:val="20"/>
          <w:szCs w:val="20"/>
        </w:rPr>
        <w:t>precedentes obrigatórios</w:t>
      </w:r>
      <w:r w:rsidRPr="004F0CDC">
        <w:rPr>
          <w:rFonts w:ascii="Arial" w:hAnsi="Arial" w:cs="Arial"/>
          <w:sz w:val="20"/>
          <w:szCs w:val="20"/>
        </w:rPr>
        <w:t xml:space="preserve">, no sentido </w:t>
      </w:r>
      <w:r w:rsidRPr="004F0CDC">
        <w:rPr>
          <w:rFonts w:ascii="Arial" w:hAnsi="Arial" w:cs="Arial"/>
          <w:i/>
          <w:sz w:val="20"/>
          <w:szCs w:val="20"/>
        </w:rPr>
        <w:t>forte, à luz do NCPC</w:t>
      </w:r>
      <w:r w:rsidRPr="004F0CDC">
        <w:rPr>
          <w:rFonts w:ascii="Arial" w:hAnsi="Arial" w:cs="Arial"/>
          <w:sz w:val="20"/>
          <w:szCs w:val="20"/>
        </w:rPr>
        <w:t xml:space="preserve">, por exemplo, as decisões proferidas em recursos repetitivos, no regime dos </w:t>
      </w:r>
      <w:proofErr w:type="spellStart"/>
      <w:r w:rsidRPr="004F0CDC">
        <w:rPr>
          <w:rFonts w:ascii="Arial" w:hAnsi="Arial" w:cs="Arial"/>
          <w:sz w:val="20"/>
          <w:szCs w:val="20"/>
        </w:rPr>
        <w:t>arts</w:t>
      </w:r>
      <w:proofErr w:type="spellEnd"/>
      <w:r w:rsidRPr="004F0CDC">
        <w:rPr>
          <w:rFonts w:ascii="Arial" w:hAnsi="Arial" w:cs="Arial"/>
          <w:sz w:val="20"/>
          <w:szCs w:val="20"/>
        </w:rPr>
        <w:t>. 543-B e 543-C do CPC/1973 e do art. 1.036 e ss. Do CPC/2015 (art. 988, § 5º, II).</w:t>
      </w:r>
    </w:p>
    <w:p w14:paraId="522F94AD" w14:textId="77777777" w:rsidR="00C238A8" w:rsidRPr="004F0CDC" w:rsidRDefault="00C238A8"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i/>
          <w:sz w:val="20"/>
          <w:szCs w:val="20"/>
        </w:rPr>
        <w:t>Média</w:t>
      </w:r>
      <w:r w:rsidRPr="004F0CDC">
        <w:rPr>
          <w:rFonts w:ascii="Arial" w:hAnsi="Arial" w:cs="Arial"/>
          <w:sz w:val="20"/>
          <w:szCs w:val="20"/>
        </w:rPr>
        <w:t xml:space="preserve"> é a obrigatoriedade de um precedente quando o seu desrespeito pode gerar a correção por meios não concebidos necessariamente para esse fim, como, por exemplo, recursos. Assim, se o juiz, ao decidir o caso entre A e B, o faz em desconformidade com o que o STJ tenha decidido em recurso especial, interposto em processo</w:t>
      </w:r>
      <w:r w:rsidR="00681A6B" w:rsidRPr="004F0CDC">
        <w:rPr>
          <w:rFonts w:ascii="Arial" w:hAnsi="Arial" w:cs="Arial"/>
          <w:sz w:val="20"/>
          <w:szCs w:val="20"/>
        </w:rPr>
        <w:t xml:space="preserve"> </w:t>
      </w:r>
      <w:r w:rsidRPr="004F0CDC">
        <w:rPr>
          <w:rFonts w:ascii="Arial" w:hAnsi="Arial" w:cs="Arial"/>
          <w:sz w:val="20"/>
          <w:szCs w:val="20"/>
        </w:rPr>
        <w:t>que corre entre C e D, em caso idêntico, a via apropriada para a parte prejudicada corrigir a decisão do juiz, adequando-a àquilo que o STJ havia decidido antes, é a recursal.</w:t>
      </w:r>
    </w:p>
    <w:p w14:paraId="0667916F" w14:textId="77777777" w:rsidR="00C238A8" w:rsidRPr="004F0CDC" w:rsidRDefault="00C238A8"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w:t>
      </w:r>
    </w:p>
    <w:p w14:paraId="4E4307F8" w14:textId="77777777" w:rsidR="00C238A8" w:rsidRPr="004F0CDC" w:rsidRDefault="00C238A8"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 xml:space="preserve">A obrigatoriedade </w:t>
      </w:r>
      <w:r w:rsidRPr="004F0CDC">
        <w:rPr>
          <w:rFonts w:ascii="Arial" w:hAnsi="Arial" w:cs="Arial"/>
          <w:i/>
          <w:sz w:val="20"/>
          <w:szCs w:val="20"/>
        </w:rPr>
        <w:t>fraca</w:t>
      </w:r>
      <w:r w:rsidRPr="004F0CDC">
        <w:rPr>
          <w:rFonts w:ascii="Arial" w:hAnsi="Arial" w:cs="Arial"/>
          <w:sz w:val="20"/>
          <w:szCs w:val="20"/>
        </w:rPr>
        <w:t xml:space="preserve"> é (apenas) cultural. É aquela que decorre do bom senso, da razão de ser das coisas, do que se deve ter o direito de razoavelmente esperar </w:t>
      </w:r>
      <w:proofErr w:type="gramStart"/>
      <w:r w:rsidRPr="004F0CDC">
        <w:rPr>
          <w:rFonts w:ascii="Arial" w:hAnsi="Arial" w:cs="Arial"/>
          <w:sz w:val="20"/>
          <w:szCs w:val="20"/>
        </w:rPr>
        <w:t>( =</w:t>
      </w:r>
      <w:proofErr w:type="gramEnd"/>
      <w:r w:rsidRPr="004F0CDC">
        <w:rPr>
          <w:rFonts w:ascii="Arial" w:hAnsi="Arial" w:cs="Arial"/>
          <w:sz w:val="20"/>
          <w:szCs w:val="20"/>
        </w:rPr>
        <w:t xml:space="preserve"> justa expectativa da sociedade). Dá 'lógica’ do direito. O juiz decide o conflito entre A e B do modo x. C e D lhe submetem conflito idêntico à apreciação, no dia seguinte, e o </w:t>
      </w:r>
      <w:r w:rsidRPr="004F0CDC">
        <w:rPr>
          <w:rFonts w:ascii="Arial" w:hAnsi="Arial" w:cs="Arial"/>
          <w:i/>
          <w:sz w:val="20"/>
          <w:szCs w:val="20"/>
        </w:rPr>
        <w:t>mesmo juiz</w:t>
      </w:r>
      <w:r w:rsidRPr="004F0CDC">
        <w:rPr>
          <w:rFonts w:ascii="Arial" w:hAnsi="Arial" w:cs="Arial"/>
          <w:sz w:val="20"/>
          <w:szCs w:val="20"/>
        </w:rPr>
        <w:t xml:space="preserve"> decide de modo y. Expectativa legítima e razoável tinham C e D de que o conflito seria decidido do modo x!</w:t>
      </w:r>
    </w:p>
    <w:p w14:paraId="7C959B38" w14:textId="3F443619" w:rsidR="00B14C3D" w:rsidRPr="004F0CDC" w:rsidRDefault="00C238A8"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 xml:space="preserve">É desejável que o mesmo juiz não mude de opinião; que os tribunais de 2º grau mantenham jurisprudência firme e estável; mas é, principalmente, não só desejável, como imprescindível para o bom funcionamento do sistema, que os Tribunais Superiores não alterem com frequência suas posições. Afinal, o direito não pode se confundir com a sucessão de ‘opiniões’ diferentes, de diferentes juízes de Cortes Superiores. A jurisprudência firmada há de ser </w:t>
      </w:r>
      <w:r w:rsidRPr="004F0CDC">
        <w:rPr>
          <w:rFonts w:ascii="Arial" w:hAnsi="Arial" w:cs="Arial"/>
          <w:i/>
          <w:sz w:val="20"/>
          <w:szCs w:val="20"/>
        </w:rPr>
        <w:t>do tribunal</w:t>
      </w:r>
      <w:r w:rsidRPr="004F0CDC">
        <w:rPr>
          <w:rFonts w:ascii="Arial" w:hAnsi="Arial" w:cs="Arial"/>
          <w:sz w:val="20"/>
          <w:szCs w:val="20"/>
        </w:rPr>
        <w:t>, e não de cada ministro, indivi</w:t>
      </w:r>
      <w:r w:rsidR="00FA444F">
        <w:rPr>
          <w:rFonts w:ascii="Arial" w:hAnsi="Arial" w:cs="Arial"/>
          <w:sz w:val="20"/>
          <w:szCs w:val="20"/>
        </w:rPr>
        <w:t>dualmente considerado. (WAMBIER</w:t>
      </w:r>
      <w:r w:rsidRPr="004F0CDC">
        <w:rPr>
          <w:rFonts w:ascii="Arial" w:hAnsi="Arial" w:cs="Arial"/>
          <w:sz w:val="20"/>
          <w:szCs w:val="20"/>
        </w:rPr>
        <w:t>; DANTAS, 2016, p. 278-279</w:t>
      </w:r>
      <w:r w:rsidR="00C66964" w:rsidRPr="004F0CDC">
        <w:rPr>
          <w:rFonts w:ascii="Arial" w:hAnsi="Arial" w:cs="Arial"/>
          <w:sz w:val="20"/>
          <w:szCs w:val="20"/>
        </w:rPr>
        <w:t>.</w:t>
      </w:r>
      <w:r w:rsidRPr="004F0CDC">
        <w:rPr>
          <w:rFonts w:ascii="Arial" w:hAnsi="Arial" w:cs="Arial"/>
          <w:sz w:val="20"/>
          <w:szCs w:val="20"/>
        </w:rPr>
        <w:t>)</w:t>
      </w:r>
    </w:p>
    <w:p w14:paraId="1270A34A" w14:textId="77777777" w:rsidR="00B66A8C" w:rsidRDefault="00B66A8C" w:rsidP="00B66A8C">
      <w:pPr>
        <w:tabs>
          <w:tab w:val="left" w:pos="851"/>
          <w:tab w:val="left" w:pos="8364"/>
          <w:tab w:val="left" w:pos="8789"/>
        </w:tabs>
        <w:spacing w:before="120" w:after="120" w:line="360" w:lineRule="auto"/>
        <w:jc w:val="both"/>
        <w:rPr>
          <w:rFonts w:ascii="Arial" w:hAnsi="Arial" w:cs="Arial"/>
          <w:sz w:val="24"/>
          <w:szCs w:val="24"/>
        </w:rPr>
      </w:pPr>
    </w:p>
    <w:p w14:paraId="06350FC0" w14:textId="5D797190" w:rsidR="00294D67" w:rsidRDefault="00B66A8C" w:rsidP="00B66A8C">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8A79D1">
        <w:rPr>
          <w:rFonts w:ascii="Arial" w:hAnsi="Arial" w:cs="Arial"/>
          <w:sz w:val="24"/>
          <w:szCs w:val="24"/>
        </w:rPr>
        <w:t xml:space="preserve">Adotando essa sistemática, ter-se-ia como </w:t>
      </w:r>
      <w:r w:rsidR="008A79D1">
        <w:rPr>
          <w:rFonts w:ascii="Arial" w:hAnsi="Arial" w:cs="Arial"/>
          <w:i/>
          <w:sz w:val="24"/>
          <w:szCs w:val="24"/>
        </w:rPr>
        <w:t>forte</w:t>
      </w:r>
      <w:r w:rsidR="008A79D1">
        <w:rPr>
          <w:rFonts w:ascii="Arial" w:hAnsi="Arial" w:cs="Arial"/>
          <w:sz w:val="24"/>
          <w:szCs w:val="24"/>
        </w:rPr>
        <w:t xml:space="preserve"> a obrigatoriedade gerada por decisão proferida pelo </w:t>
      </w:r>
      <w:r w:rsidR="008A79D1" w:rsidRPr="008A79D1">
        <w:rPr>
          <w:rFonts w:ascii="Arial" w:hAnsi="Arial" w:cs="Arial"/>
          <w:sz w:val="24"/>
          <w:szCs w:val="24"/>
        </w:rPr>
        <w:t>Supremo Tribunal Federal</w:t>
      </w:r>
      <w:r w:rsidR="008A79D1">
        <w:rPr>
          <w:rFonts w:ascii="Arial" w:hAnsi="Arial" w:cs="Arial"/>
          <w:sz w:val="24"/>
          <w:szCs w:val="24"/>
        </w:rPr>
        <w:t xml:space="preserve"> em sede de repercussão geral, ao lado de outras hipóteses tais como </w:t>
      </w:r>
      <w:r w:rsidR="008A79D1" w:rsidRPr="008A79D1">
        <w:rPr>
          <w:rFonts w:ascii="Arial" w:hAnsi="Arial" w:cs="Arial"/>
          <w:sz w:val="24"/>
          <w:szCs w:val="24"/>
        </w:rPr>
        <w:t>recursos extraordinário ou especial repetitivos</w:t>
      </w:r>
      <w:r w:rsidR="008A79D1">
        <w:rPr>
          <w:rFonts w:ascii="Arial" w:hAnsi="Arial" w:cs="Arial"/>
          <w:sz w:val="24"/>
          <w:szCs w:val="24"/>
        </w:rPr>
        <w:t xml:space="preserve"> e </w:t>
      </w:r>
      <w:r w:rsidR="008A79D1" w:rsidRPr="008A79D1">
        <w:rPr>
          <w:rFonts w:ascii="Arial" w:hAnsi="Arial" w:cs="Arial"/>
          <w:sz w:val="24"/>
          <w:szCs w:val="24"/>
        </w:rPr>
        <w:t>acórdão proferido em julgamento de incidente de resolução de demandas repetitivas ou de incidente de assunção de competência</w:t>
      </w:r>
      <w:r w:rsidR="008A79D1">
        <w:rPr>
          <w:rFonts w:ascii="Arial" w:hAnsi="Arial" w:cs="Arial"/>
          <w:sz w:val="24"/>
          <w:szCs w:val="24"/>
        </w:rPr>
        <w:t>. Segundo o texto do Novo</w:t>
      </w:r>
      <w:r w:rsidR="00477670">
        <w:rPr>
          <w:rFonts w:ascii="Arial" w:hAnsi="Arial" w:cs="Arial"/>
          <w:sz w:val="24"/>
          <w:szCs w:val="24"/>
        </w:rPr>
        <w:t xml:space="preserve"> CPC</w:t>
      </w:r>
      <w:r w:rsidR="008A79D1">
        <w:rPr>
          <w:rFonts w:ascii="Arial" w:hAnsi="Arial" w:cs="Arial"/>
          <w:sz w:val="24"/>
          <w:szCs w:val="24"/>
        </w:rPr>
        <w:t xml:space="preserve"> (Lei nº 13.105/2015), quando houver descumprimento do que decidido em tais incidentes processuais, seria cabível o manejo da </w:t>
      </w:r>
      <w:r w:rsidR="00C66964">
        <w:rPr>
          <w:rFonts w:ascii="Arial" w:hAnsi="Arial" w:cs="Arial"/>
          <w:sz w:val="24"/>
          <w:szCs w:val="24"/>
        </w:rPr>
        <w:t>r</w:t>
      </w:r>
      <w:r w:rsidR="008A79D1">
        <w:rPr>
          <w:rFonts w:ascii="Arial" w:hAnsi="Arial" w:cs="Arial"/>
          <w:sz w:val="24"/>
          <w:szCs w:val="24"/>
        </w:rPr>
        <w:t>eclamação.</w:t>
      </w:r>
      <w:r w:rsidR="00294D67">
        <w:rPr>
          <w:rFonts w:ascii="Arial" w:hAnsi="Arial" w:cs="Arial"/>
          <w:sz w:val="24"/>
          <w:szCs w:val="24"/>
        </w:rPr>
        <w:t xml:space="preserve"> </w:t>
      </w:r>
    </w:p>
    <w:p w14:paraId="3CA9DF44" w14:textId="071A7076" w:rsidR="00E95DFC" w:rsidRDefault="009A23D5" w:rsidP="00B66A8C">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r>
      <w:r w:rsidR="00977A70">
        <w:rPr>
          <w:rFonts w:ascii="Arial" w:hAnsi="Arial" w:cs="Arial"/>
          <w:sz w:val="24"/>
          <w:szCs w:val="24"/>
        </w:rPr>
        <w:t>Entretanto</w:t>
      </w:r>
      <w:r>
        <w:rPr>
          <w:rFonts w:ascii="Arial" w:hAnsi="Arial" w:cs="Arial"/>
          <w:sz w:val="24"/>
          <w:szCs w:val="24"/>
        </w:rPr>
        <w:t>,</w:t>
      </w:r>
      <w:r w:rsidR="00977A70">
        <w:rPr>
          <w:rFonts w:ascii="Arial" w:hAnsi="Arial" w:cs="Arial"/>
          <w:sz w:val="24"/>
          <w:szCs w:val="24"/>
        </w:rPr>
        <w:t xml:space="preserve"> há autores</w:t>
      </w:r>
      <w:r>
        <w:rPr>
          <w:rFonts w:ascii="Arial" w:hAnsi="Arial" w:cs="Arial"/>
          <w:sz w:val="24"/>
          <w:szCs w:val="24"/>
        </w:rPr>
        <w:t xml:space="preserve"> que consideram que</w:t>
      </w:r>
      <w:r w:rsidR="00307941">
        <w:rPr>
          <w:rFonts w:ascii="Arial" w:hAnsi="Arial" w:cs="Arial"/>
          <w:sz w:val="24"/>
          <w:szCs w:val="24"/>
        </w:rPr>
        <w:t>,</w:t>
      </w:r>
      <w:r>
        <w:rPr>
          <w:rFonts w:ascii="Arial" w:hAnsi="Arial" w:cs="Arial"/>
          <w:sz w:val="24"/>
          <w:szCs w:val="24"/>
        </w:rPr>
        <w:t xml:space="preserve"> a partir da Lei nº 13.256/2016</w:t>
      </w:r>
      <w:r w:rsidR="00307941">
        <w:rPr>
          <w:rFonts w:ascii="Arial" w:hAnsi="Arial" w:cs="Arial"/>
          <w:sz w:val="24"/>
          <w:szCs w:val="24"/>
        </w:rPr>
        <w:t xml:space="preserve"> –</w:t>
      </w:r>
      <w:r>
        <w:rPr>
          <w:rFonts w:ascii="Arial" w:hAnsi="Arial" w:cs="Arial"/>
          <w:sz w:val="24"/>
          <w:szCs w:val="24"/>
        </w:rPr>
        <w:t xml:space="preserve"> que alterou o Novo CPC antes mesmo</w:t>
      </w:r>
      <w:r w:rsidR="00307941">
        <w:rPr>
          <w:rFonts w:ascii="Arial" w:hAnsi="Arial" w:cs="Arial"/>
          <w:sz w:val="24"/>
          <w:szCs w:val="24"/>
        </w:rPr>
        <w:t xml:space="preserve"> do início de sua vigência –,</w:t>
      </w:r>
      <w:r>
        <w:rPr>
          <w:rFonts w:ascii="Arial" w:hAnsi="Arial" w:cs="Arial"/>
          <w:sz w:val="24"/>
          <w:szCs w:val="24"/>
        </w:rPr>
        <w:t xml:space="preserve"> </w:t>
      </w:r>
      <w:r w:rsidR="00307941">
        <w:rPr>
          <w:rFonts w:ascii="Arial" w:hAnsi="Arial" w:cs="Arial"/>
          <w:sz w:val="24"/>
          <w:szCs w:val="24"/>
        </w:rPr>
        <w:t xml:space="preserve">seria </w:t>
      </w:r>
      <w:r w:rsidR="00307941">
        <w:rPr>
          <w:rFonts w:ascii="Arial" w:hAnsi="Arial" w:cs="Arial"/>
          <w:i/>
          <w:sz w:val="24"/>
          <w:szCs w:val="24"/>
        </w:rPr>
        <w:t>média</w:t>
      </w:r>
      <w:r w:rsidR="00307941">
        <w:rPr>
          <w:rFonts w:ascii="Arial" w:hAnsi="Arial" w:cs="Arial"/>
          <w:sz w:val="24"/>
          <w:szCs w:val="24"/>
        </w:rPr>
        <w:t xml:space="preserve"> </w:t>
      </w:r>
      <w:r w:rsidR="00977A70">
        <w:rPr>
          <w:rFonts w:ascii="Arial" w:hAnsi="Arial" w:cs="Arial"/>
          <w:sz w:val="24"/>
          <w:szCs w:val="24"/>
        </w:rPr>
        <w:t>a eficácia vinculante dos precedentes formados em julgamento de recursos</w:t>
      </w:r>
      <w:r w:rsidR="00977A70" w:rsidRPr="00977A70">
        <w:rPr>
          <w:rFonts w:ascii="Arial" w:hAnsi="Arial" w:cs="Arial"/>
          <w:sz w:val="24"/>
          <w:szCs w:val="24"/>
        </w:rPr>
        <w:t xml:space="preserve"> </w:t>
      </w:r>
      <w:r w:rsidR="00977A70">
        <w:rPr>
          <w:rFonts w:ascii="Arial" w:hAnsi="Arial" w:cs="Arial"/>
          <w:sz w:val="24"/>
          <w:szCs w:val="24"/>
        </w:rPr>
        <w:t>extraordinário/</w:t>
      </w:r>
      <w:r w:rsidR="00977A70" w:rsidRPr="008A79D1">
        <w:rPr>
          <w:rFonts w:ascii="Arial" w:hAnsi="Arial" w:cs="Arial"/>
          <w:sz w:val="24"/>
          <w:szCs w:val="24"/>
        </w:rPr>
        <w:t>especial repetitivos</w:t>
      </w:r>
      <w:r w:rsidR="00977A70">
        <w:rPr>
          <w:rFonts w:ascii="Arial" w:hAnsi="Arial" w:cs="Arial"/>
          <w:sz w:val="24"/>
          <w:szCs w:val="24"/>
        </w:rPr>
        <w:t xml:space="preserve"> ou no julgamento de recurso extraordinário com repercussão geral. Isso porque, com a</w:t>
      </w:r>
      <w:r w:rsidR="00E95DFC">
        <w:rPr>
          <w:rFonts w:ascii="Arial" w:hAnsi="Arial" w:cs="Arial"/>
          <w:sz w:val="24"/>
          <w:szCs w:val="24"/>
        </w:rPr>
        <w:t xml:space="preserve"> inclusão do inciso II ao § 5º do art. 988 do Novo CPC (</w:t>
      </w:r>
      <w:r w:rsidR="00977A70">
        <w:rPr>
          <w:rFonts w:ascii="Arial" w:hAnsi="Arial" w:cs="Arial"/>
          <w:sz w:val="24"/>
          <w:szCs w:val="24"/>
        </w:rPr>
        <w:t>modificaç</w:t>
      </w:r>
      <w:r w:rsidR="00E95DFC">
        <w:rPr>
          <w:rFonts w:ascii="Arial" w:hAnsi="Arial" w:cs="Arial"/>
          <w:sz w:val="24"/>
          <w:szCs w:val="24"/>
        </w:rPr>
        <w:t>ão</w:t>
      </w:r>
      <w:r w:rsidR="00977A70">
        <w:rPr>
          <w:rFonts w:ascii="Arial" w:hAnsi="Arial" w:cs="Arial"/>
          <w:sz w:val="24"/>
          <w:szCs w:val="24"/>
        </w:rPr>
        <w:t xml:space="preserve"> </w:t>
      </w:r>
      <w:r w:rsidR="00E95DFC">
        <w:rPr>
          <w:rFonts w:ascii="Arial" w:hAnsi="Arial" w:cs="Arial"/>
          <w:sz w:val="24"/>
          <w:szCs w:val="24"/>
        </w:rPr>
        <w:t xml:space="preserve">implementada </w:t>
      </w:r>
      <w:r w:rsidR="00977A70">
        <w:rPr>
          <w:rFonts w:ascii="Arial" w:hAnsi="Arial" w:cs="Arial"/>
          <w:sz w:val="24"/>
          <w:szCs w:val="24"/>
        </w:rPr>
        <w:t>pela citada lei</w:t>
      </w:r>
      <w:r w:rsidR="00E95DFC">
        <w:rPr>
          <w:rFonts w:ascii="Arial" w:hAnsi="Arial" w:cs="Arial"/>
          <w:sz w:val="24"/>
          <w:szCs w:val="24"/>
        </w:rPr>
        <w:t>)</w:t>
      </w:r>
      <w:r w:rsidR="00977A70">
        <w:rPr>
          <w:rFonts w:ascii="Arial" w:hAnsi="Arial" w:cs="Arial"/>
          <w:sz w:val="24"/>
          <w:szCs w:val="24"/>
        </w:rPr>
        <w:t xml:space="preserve">, o cabimento da </w:t>
      </w:r>
      <w:r w:rsidR="00672178">
        <w:rPr>
          <w:rFonts w:ascii="Arial" w:hAnsi="Arial" w:cs="Arial"/>
          <w:sz w:val="24"/>
          <w:szCs w:val="24"/>
        </w:rPr>
        <w:t>r</w:t>
      </w:r>
      <w:r w:rsidR="00977A70">
        <w:rPr>
          <w:rFonts w:ascii="Arial" w:hAnsi="Arial" w:cs="Arial"/>
          <w:sz w:val="24"/>
          <w:szCs w:val="24"/>
        </w:rPr>
        <w:t xml:space="preserve">eclamação nessa hipótese seria condicionado ao prévio esgotamento das </w:t>
      </w:r>
      <w:r w:rsidR="00E95DFC">
        <w:rPr>
          <w:rFonts w:ascii="Arial" w:hAnsi="Arial" w:cs="Arial"/>
          <w:sz w:val="24"/>
          <w:szCs w:val="24"/>
        </w:rPr>
        <w:t>instâncias</w:t>
      </w:r>
      <w:r w:rsidR="00977A70">
        <w:rPr>
          <w:rFonts w:ascii="Arial" w:hAnsi="Arial" w:cs="Arial"/>
          <w:sz w:val="24"/>
          <w:szCs w:val="24"/>
        </w:rPr>
        <w:t xml:space="preserve"> ordin</w:t>
      </w:r>
      <w:r w:rsidR="00E95DFC">
        <w:rPr>
          <w:rFonts w:ascii="Arial" w:hAnsi="Arial" w:cs="Arial"/>
          <w:sz w:val="24"/>
          <w:szCs w:val="24"/>
        </w:rPr>
        <w:t xml:space="preserve">árias. </w:t>
      </w:r>
    </w:p>
    <w:p w14:paraId="5BE6F51D" w14:textId="1C590023" w:rsidR="009A23D5" w:rsidRDefault="00E95DFC" w:rsidP="00B66A8C">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Assim, com a criação desse novo dispositivo, ter-se-ia uma </w:t>
      </w:r>
      <w:proofErr w:type="spellStart"/>
      <w:r>
        <w:rPr>
          <w:rFonts w:ascii="Arial" w:hAnsi="Arial" w:cs="Arial"/>
          <w:sz w:val="24"/>
          <w:szCs w:val="24"/>
        </w:rPr>
        <w:t>vinculatividade</w:t>
      </w:r>
      <w:proofErr w:type="spellEnd"/>
      <w:r>
        <w:rPr>
          <w:rFonts w:ascii="Arial" w:hAnsi="Arial" w:cs="Arial"/>
          <w:sz w:val="24"/>
          <w:szCs w:val="24"/>
        </w:rPr>
        <w:t xml:space="preserve"> </w:t>
      </w:r>
      <w:r w:rsidRPr="00E95DFC">
        <w:rPr>
          <w:rFonts w:ascii="Arial" w:hAnsi="Arial" w:cs="Arial"/>
          <w:i/>
          <w:sz w:val="24"/>
          <w:szCs w:val="24"/>
        </w:rPr>
        <w:t>m</w:t>
      </w:r>
      <w:r w:rsidRPr="00D1637A">
        <w:rPr>
          <w:rFonts w:ascii="Arial" w:hAnsi="Arial" w:cs="Arial"/>
          <w:i/>
          <w:sz w:val="24"/>
          <w:szCs w:val="24"/>
        </w:rPr>
        <w:t>édia</w:t>
      </w:r>
      <w:r>
        <w:rPr>
          <w:rFonts w:ascii="Arial" w:hAnsi="Arial" w:cs="Arial"/>
          <w:sz w:val="24"/>
          <w:szCs w:val="24"/>
        </w:rPr>
        <w:t>, já que</w:t>
      </w:r>
      <w:r w:rsidR="00327FC1">
        <w:rPr>
          <w:rFonts w:ascii="Arial" w:hAnsi="Arial" w:cs="Arial"/>
          <w:sz w:val="24"/>
          <w:szCs w:val="24"/>
        </w:rPr>
        <w:t>,</w:t>
      </w:r>
      <w:r>
        <w:rPr>
          <w:rFonts w:ascii="Arial" w:hAnsi="Arial" w:cs="Arial"/>
          <w:sz w:val="24"/>
          <w:szCs w:val="24"/>
        </w:rPr>
        <w:t xml:space="preserve"> </w:t>
      </w:r>
      <w:r w:rsidRPr="00E95DFC">
        <w:rPr>
          <w:rFonts w:ascii="Arial" w:hAnsi="Arial" w:cs="Arial"/>
          <w:sz w:val="24"/>
          <w:szCs w:val="24"/>
        </w:rPr>
        <w:t>no</w:t>
      </w:r>
      <w:r>
        <w:rPr>
          <w:rFonts w:ascii="Arial" w:hAnsi="Arial" w:cs="Arial"/>
          <w:sz w:val="24"/>
          <w:szCs w:val="24"/>
        </w:rPr>
        <w:t xml:space="preserve"> caso de desrespeito</w:t>
      </w:r>
      <w:r w:rsidRPr="00E95DFC">
        <w:rPr>
          <w:rFonts w:ascii="Arial" w:hAnsi="Arial" w:cs="Arial"/>
          <w:sz w:val="24"/>
          <w:szCs w:val="24"/>
        </w:rPr>
        <w:t xml:space="preserve"> </w:t>
      </w:r>
      <w:r>
        <w:rPr>
          <w:rFonts w:ascii="Arial" w:hAnsi="Arial" w:cs="Arial"/>
          <w:sz w:val="24"/>
          <w:szCs w:val="24"/>
        </w:rPr>
        <w:t>a precedente firmado em julgamento de recursos</w:t>
      </w:r>
      <w:r w:rsidRPr="00977A70">
        <w:rPr>
          <w:rFonts w:ascii="Arial" w:hAnsi="Arial" w:cs="Arial"/>
          <w:sz w:val="24"/>
          <w:szCs w:val="24"/>
        </w:rPr>
        <w:t xml:space="preserve"> </w:t>
      </w:r>
      <w:r>
        <w:rPr>
          <w:rFonts w:ascii="Arial" w:hAnsi="Arial" w:cs="Arial"/>
          <w:sz w:val="24"/>
          <w:szCs w:val="24"/>
        </w:rPr>
        <w:t>extraordinário/</w:t>
      </w:r>
      <w:r w:rsidRPr="008A79D1">
        <w:rPr>
          <w:rFonts w:ascii="Arial" w:hAnsi="Arial" w:cs="Arial"/>
          <w:sz w:val="24"/>
          <w:szCs w:val="24"/>
        </w:rPr>
        <w:t>especial repetitivos</w:t>
      </w:r>
      <w:r>
        <w:rPr>
          <w:rFonts w:ascii="Arial" w:hAnsi="Arial" w:cs="Arial"/>
          <w:sz w:val="24"/>
          <w:szCs w:val="24"/>
        </w:rPr>
        <w:t xml:space="preserve"> ou no julgamento de recurso extraordinário com repercussão geral, ter-se-ia a possibilidade do ajuizamento de </w:t>
      </w:r>
      <w:r w:rsidR="00672178">
        <w:rPr>
          <w:rFonts w:ascii="Arial" w:hAnsi="Arial" w:cs="Arial"/>
          <w:sz w:val="24"/>
          <w:szCs w:val="24"/>
        </w:rPr>
        <w:t>r</w:t>
      </w:r>
      <w:r>
        <w:rPr>
          <w:rFonts w:ascii="Arial" w:hAnsi="Arial" w:cs="Arial"/>
          <w:sz w:val="24"/>
          <w:szCs w:val="24"/>
        </w:rPr>
        <w:t xml:space="preserve">eclamação apenas quando exauridas as vias recursais ordinárias. </w:t>
      </w:r>
    </w:p>
    <w:p w14:paraId="46564954" w14:textId="77777777" w:rsidR="00E95DFC" w:rsidRDefault="00E95DFC" w:rsidP="00B66A8C">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Essa é a posição de Daniel Amorim Assumpção Neves, por exemplo, que assim leciona:</w:t>
      </w:r>
    </w:p>
    <w:p w14:paraId="57989045" w14:textId="77777777" w:rsidR="00C10FEB" w:rsidRDefault="00C10FEB" w:rsidP="00AD61BE">
      <w:pPr>
        <w:tabs>
          <w:tab w:val="left" w:pos="851"/>
          <w:tab w:val="left" w:pos="8364"/>
          <w:tab w:val="left" w:pos="8789"/>
        </w:tabs>
        <w:spacing w:after="0" w:line="360" w:lineRule="auto"/>
        <w:ind w:left="2268" w:firstLine="709"/>
        <w:jc w:val="both"/>
        <w:rPr>
          <w:rFonts w:ascii="Arial" w:hAnsi="Arial" w:cs="Arial"/>
          <w:sz w:val="20"/>
          <w:szCs w:val="20"/>
        </w:rPr>
      </w:pPr>
    </w:p>
    <w:p w14:paraId="7747F5A7" w14:textId="1D670B12" w:rsidR="00E95DFC" w:rsidRPr="004F0CDC" w:rsidRDefault="00E95DFC"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Com a Lei 13.256, de 04.02.2016, passa a ser possível se falar em três graus de eficácia vinculante: grande, médio e pequeno.</w:t>
      </w:r>
    </w:p>
    <w:p w14:paraId="1EA7F537" w14:textId="77777777" w:rsidR="00E95DFC" w:rsidRPr="004F0CDC" w:rsidRDefault="00E95DFC"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O julgamento proferido em controle concentrado de constitucionalidade, as súmulas vinculantes, o IRDR e o incidente de assunção de competência têm eficácia vinculante grande, porque o desrespeito a qualquer deles, por qualquer decisão, proferida em qualquer grau de jurisdição, é impugnável por reclamação constitucional.</w:t>
      </w:r>
    </w:p>
    <w:p w14:paraId="2C770809" w14:textId="77777777" w:rsidR="00E95DFC" w:rsidRPr="004F0CDC" w:rsidRDefault="00E95DFC"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O precedente formado em julgamento de recursos especial e extraordinário repetitivos e no julgamento de recurso extraordinário com repercussão geral tem eficácia vinculante média, já que o cabimento da reclamação constitucional exige o exaurimento das instâncias ordinárias.</w:t>
      </w:r>
    </w:p>
    <w:p w14:paraId="4DBB6C3F" w14:textId="33979803" w:rsidR="00E95DFC" w:rsidRPr="004F0CDC" w:rsidRDefault="00E95DFC" w:rsidP="005B60AC">
      <w:pPr>
        <w:tabs>
          <w:tab w:val="left" w:pos="851"/>
          <w:tab w:val="left" w:pos="8364"/>
          <w:tab w:val="left" w:pos="8789"/>
        </w:tabs>
        <w:spacing w:after="0" w:line="240" w:lineRule="auto"/>
        <w:ind w:left="2268" w:firstLine="709"/>
        <w:jc w:val="both"/>
        <w:rPr>
          <w:rFonts w:ascii="Arial" w:hAnsi="Arial" w:cs="Arial"/>
          <w:sz w:val="20"/>
          <w:szCs w:val="20"/>
        </w:rPr>
      </w:pPr>
      <w:r w:rsidRPr="004F0CDC">
        <w:rPr>
          <w:rFonts w:ascii="Arial" w:hAnsi="Arial" w:cs="Arial"/>
          <w:sz w:val="20"/>
          <w:szCs w:val="20"/>
        </w:rPr>
        <w:t>Finalmente, os enunciados das súmulas do Supremo Tribunal Federal em matéria constitucional e do Superior Tribunal de Justiça em matéria infraconstitucional e a orientação do plenário ou do órgão especial aos quais estiverem vinculados têm eficácia vinculante pequena, porque da decisão que a desrespeita não cabe reclamação constitucional.</w:t>
      </w:r>
      <w:r w:rsidR="00327FC1" w:rsidRPr="004F0CDC">
        <w:rPr>
          <w:rFonts w:ascii="Arial" w:hAnsi="Arial" w:cs="Arial"/>
          <w:sz w:val="20"/>
          <w:szCs w:val="20"/>
        </w:rPr>
        <w:t xml:space="preserve"> </w:t>
      </w:r>
      <w:r w:rsidRPr="004F0CDC">
        <w:rPr>
          <w:rFonts w:ascii="Arial" w:hAnsi="Arial" w:cs="Arial"/>
          <w:sz w:val="20"/>
          <w:szCs w:val="20"/>
        </w:rPr>
        <w:t>(NEVES, 2016, p.</w:t>
      </w:r>
      <w:r w:rsidR="00F23ED5" w:rsidRPr="004F0CDC">
        <w:rPr>
          <w:rFonts w:ascii="Arial" w:hAnsi="Arial" w:cs="Arial"/>
          <w:sz w:val="20"/>
          <w:szCs w:val="20"/>
        </w:rPr>
        <w:t xml:space="preserve"> 1.498</w:t>
      </w:r>
      <w:r w:rsidR="00672178" w:rsidRPr="004F0CDC">
        <w:rPr>
          <w:rFonts w:ascii="Arial" w:hAnsi="Arial" w:cs="Arial"/>
          <w:sz w:val="20"/>
          <w:szCs w:val="20"/>
        </w:rPr>
        <w:t>.</w:t>
      </w:r>
      <w:r w:rsidRPr="004F0CDC">
        <w:rPr>
          <w:rFonts w:ascii="Arial" w:hAnsi="Arial" w:cs="Arial"/>
          <w:sz w:val="20"/>
          <w:szCs w:val="20"/>
        </w:rPr>
        <w:t>)</w:t>
      </w:r>
    </w:p>
    <w:p w14:paraId="2A349A5C" w14:textId="77777777" w:rsidR="00DD306A" w:rsidRDefault="00DD306A" w:rsidP="00B66A8C">
      <w:pPr>
        <w:tabs>
          <w:tab w:val="left" w:pos="851"/>
          <w:tab w:val="left" w:pos="8364"/>
          <w:tab w:val="left" w:pos="8789"/>
        </w:tabs>
        <w:spacing w:before="120" w:after="120" w:line="360" w:lineRule="auto"/>
        <w:jc w:val="both"/>
        <w:rPr>
          <w:rFonts w:ascii="Arial" w:hAnsi="Arial" w:cs="Arial"/>
          <w:sz w:val="24"/>
          <w:szCs w:val="24"/>
        </w:rPr>
      </w:pPr>
    </w:p>
    <w:p w14:paraId="3F127D5C" w14:textId="53409F23" w:rsidR="00FD642E" w:rsidRDefault="00294D67" w:rsidP="00ED3AA0">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Pr="00AD61BE">
        <w:rPr>
          <w:rFonts w:ascii="Arial" w:hAnsi="Arial" w:cs="Arial"/>
          <w:sz w:val="24"/>
          <w:szCs w:val="24"/>
        </w:rPr>
        <w:t xml:space="preserve">Em linhas gerais, a </w:t>
      </w:r>
      <w:r w:rsidR="00672178" w:rsidRPr="00AD61BE">
        <w:rPr>
          <w:rFonts w:ascii="Arial" w:hAnsi="Arial" w:cs="Arial"/>
          <w:b/>
          <w:sz w:val="24"/>
          <w:szCs w:val="24"/>
        </w:rPr>
        <w:t>r</w:t>
      </w:r>
      <w:r w:rsidRPr="00AD61BE">
        <w:rPr>
          <w:rFonts w:ascii="Arial" w:hAnsi="Arial" w:cs="Arial"/>
          <w:b/>
          <w:sz w:val="24"/>
          <w:szCs w:val="24"/>
        </w:rPr>
        <w:t>eclamação</w:t>
      </w:r>
      <w:r w:rsidRPr="00AD61BE">
        <w:rPr>
          <w:rFonts w:ascii="Arial" w:hAnsi="Arial" w:cs="Arial"/>
          <w:sz w:val="24"/>
          <w:szCs w:val="24"/>
        </w:rPr>
        <w:t xml:space="preserve"> é processo de competência originária do</w:t>
      </w:r>
      <w:r w:rsidR="00477670" w:rsidRPr="00AD61BE">
        <w:rPr>
          <w:rFonts w:ascii="Arial" w:hAnsi="Arial" w:cs="Arial"/>
          <w:sz w:val="24"/>
          <w:szCs w:val="24"/>
        </w:rPr>
        <w:t xml:space="preserve"> STF</w:t>
      </w:r>
      <w:r w:rsidRPr="00AD61BE">
        <w:rPr>
          <w:rFonts w:ascii="Arial" w:hAnsi="Arial" w:cs="Arial"/>
          <w:sz w:val="24"/>
          <w:szCs w:val="24"/>
        </w:rPr>
        <w:t>, destinad</w:t>
      </w:r>
      <w:r w:rsidR="00672178" w:rsidRPr="00AD61BE">
        <w:rPr>
          <w:rFonts w:ascii="Arial" w:hAnsi="Arial" w:cs="Arial"/>
          <w:sz w:val="24"/>
          <w:szCs w:val="24"/>
        </w:rPr>
        <w:t>a</w:t>
      </w:r>
      <w:r w:rsidRPr="00AD61BE">
        <w:rPr>
          <w:rFonts w:ascii="Arial" w:hAnsi="Arial" w:cs="Arial"/>
          <w:sz w:val="24"/>
          <w:szCs w:val="24"/>
        </w:rPr>
        <w:t xml:space="preserve"> a garantir a autoridade de suas decisões, o cumprimento d</w:t>
      </w:r>
      <w:r w:rsidR="00327FC1" w:rsidRPr="00AD61BE">
        <w:rPr>
          <w:rFonts w:ascii="Arial" w:hAnsi="Arial" w:cs="Arial"/>
          <w:sz w:val="24"/>
          <w:szCs w:val="24"/>
        </w:rPr>
        <w:t>e</w:t>
      </w:r>
      <w:r w:rsidRPr="00AD61BE">
        <w:rPr>
          <w:rFonts w:ascii="Arial" w:hAnsi="Arial" w:cs="Arial"/>
          <w:sz w:val="24"/>
          <w:szCs w:val="24"/>
        </w:rPr>
        <w:t xml:space="preserve"> enunciado de </w:t>
      </w:r>
      <w:r w:rsidR="00672178" w:rsidRPr="00AD61BE">
        <w:rPr>
          <w:rFonts w:ascii="Arial" w:hAnsi="Arial" w:cs="Arial"/>
          <w:sz w:val="24"/>
          <w:szCs w:val="24"/>
        </w:rPr>
        <w:t>s</w:t>
      </w:r>
      <w:r w:rsidRPr="00AD61BE">
        <w:rPr>
          <w:rFonts w:ascii="Arial" w:hAnsi="Arial" w:cs="Arial"/>
          <w:sz w:val="24"/>
          <w:szCs w:val="24"/>
        </w:rPr>
        <w:t xml:space="preserve">úmula </w:t>
      </w:r>
      <w:r w:rsidR="00672178" w:rsidRPr="00AD61BE">
        <w:rPr>
          <w:rFonts w:ascii="Arial" w:hAnsi="Arial" w:cs="Arial"/>
          <w:sz w:val="24"/>
          <w:szCs w:val="24"/>
        </w:rPr>
        <w:t>v</w:t>
      </w:r>
      <w:r w:rsidRPr="00AD61BE">
        <w:rPr>
          <w:rFonts w:ascii="Arial" w:hAnsi="Arial" w:cs="Arial"/>
          <w:sz w:val="24"/>
          <w:szCs w:val="24"/>
        </w:rPr>
        <w:t>inculante</w:t>
      </w:r>
      <w:r w:rsidR="00171E99" w:rsidRPr="00AD61BE">
        <w:rPr>
          <w:rFonts w:ascii="Arial" w:hAnsi="Arial" w:cs="Arial"/>
          <w:sz w:val="24"/>
          <w:szCs w:val="24"/>
        </w:rPr>
        <w:t xml:space="preserve"> ou a exclusividade do exercício de sua competência (art. 102, como já vimos).</w:t>
      </w:r>
      <w:r w:rsidR="00030BB6">
        <w:rPr>
          <w:rFonts w:ascii="Arial" w:hAnsi="Arial" w:cs="Arial"/>
          <w:sz w:val="24"/>
          <w:szCs w:val="24"/>
        </w:rPr>
        <w:t xml:space="preserve"> </w:t>
      </w:r>
    </w:p>
    <w:p w14:paraId="43600644" w14:textId="591E66CF" w:rsidR="00D1637A" w:rsidRDefault="00FD642E" w:rsidP="00863DC1">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E48EC">
        <w:rPr>
          <w:rFonts w:ascii="Arial" w:hAnsi="Arial" w:cs="Arial"/>
          <w:sz w:val="24"/>
          <w:szCs w:val="24"/>
        </w:rPr>
        <w:t xml:space="preserve">Em relação </w:t>
      </w:r>
      <w:r w:rsidR="00ED3AA0">
        <w:rPr>
          <w:rFonts w:ascii="Arial" w:hAnsi="Arial" w:cs="Arial"/>
          <w:sz w:val="24"/>
          <w:szCs w:val="24"/>
        </w:rPr>
        <w:t xml:space="preserve">aos casos específicos </w:t>
      </w:r>
      <w:r w:rsidR="00477670">
        <w:rPr>
          <w:rFonts w:ascii="Arial" w:hAnsi="Arial" w:cs="Arial"/>
          <w:sz w:val="24"/>
          <w:szCs w:val="24"/>
        </w:rPr>
        <w:t xml:space="preserve">relacionados </w:t>
      </w:r>
      <w:r w:rsidR="008C654C">
        <w:rPr>
          <w:rFonts w:ascii="Arial" w:hAnsi="Arial" w:cs="Arial"/>
          <w:sz w:val="24"/>
          <w:szCs w:val="24"/>
        </w:rPr>
        <w:t>à</w:t>
      </w:r>
      <w:r w:rsidR="00C362DF">
        <w:rPr>
          <w:rFonts w:ascii="Arial" w:hAnsi="Arial" w:cs="Arial"/>
          <w:sz w:val="24"/>
          <w:szCs w:val="24"/>
        </w:rPr>
        <w:t xml:space="preserve"> </w:t>
      </w:r>
      <w:r w:rsidR="00ED3AA0">
        <w:rPr>
          <w:rFonts w:ascii="Arial" w:hAnsi="Arial" w:cs="Arial"/>
          <w:sz w:val="24"/>
          <w:szCs w:val="24"/>
        </w:rPr>
        <w:t>aplicação, pelos Tribunais inferiores, da tese fixada pelo</w:t>
      </w:r>
      <w:r w:rsidR="00021B6D">
        <w:rPr>
          <w:rFonts w:ascii="Arial" w:hAnsi="Arial" w:cs="Arial"/>
          <w:sz w:val="24"/>
          <w:szCs w:val="24"/>
        </w:rPr>
        <w:t xml:space="preserve"> STF</w:t>
      </w:r>
      <w:r w:rsidR="00ED3AA0">
        <w:rPr>
          <w:rFonts w:ascii="Arial" w:hAnsi="Arial" w:cs="Arial"/>
          <w:sz w:val="24"/>
          <w:szCs w:val="24"/>
        </w:rPr>
        <w:t xml:space="preserve"> no julgamento de recurso submetido à sistemática da repercussão geral, </w:t>
      </w:r>
      <w:r w:rsidR="00863DC1">
        <w:rPr>
          <w:rFonts w:ascii="Arial" w:hAnsi="Arial" w:cs="Arial"/>
          <w:sz w:val="24"/>
          <w:szCs w:val="24"/>
        </w:rPr>
        <w:t xml:space="preserve">há peculiaridades e aspectos específicos quanto ao cabimento da </w:t>
      </w:r>
      <w:r w:rsidR="00672178">
        <w:rPr>
          <w:rFonts w:ascii="Arial" w:hAnsi="Arial" w:cs="Arial"/>
          <w:sz w:val="24"/>
          <w:szCs w:val="24"/>
        </w:rPr>
        <w:t>r</w:t>
      </w:r>
      <w:r w:rsidR="00863DC1">
        <w:rPr>
          <w:rFonts w:ascii="Arial" w:hAnsi="Arial" w:cs="Arial"/>
          <w:sz w:val="24"/>
          <w:szCs w:val="24"/>
        </w:rPr>
        <w:t xml:space="preserve">eclamação que serão objeto de </w:t>
      </w:r>
      <w:r w:rsidR="00C362DF">
        <w:rPr>
          <w:rFonts w:ascii="Arial" w:hAnsi="Arial" w:cs="Arial"/>
          <w:sz w:val="24"/>
          <w:szCs w:val="24"/>
        </w:rPr>
        <w:t>nossa reflexão em</w:t>
      </w:r>
      <w:r w:rsidR="00ED3AA0">
        <w:rPr>
          <w:rFonts w:ascii="Arial" w:hAnsi="Arial" w:cs="Arial"/>
          <w:sz w:val="24"/>
          <w:szCs w:val="24"/>
        </w:rPr>
        <w:t xml:space="preserve"> momento adequado </w:t>
      </w:r>
      <w:r w:rsidR="00FE266A">
        <w:rPr>
          <w:rFonts w:ascii="Arial" w:hAnsi="Arial" w:cs="Arial"/>
          <w:sz w:val="24"/>
          <w:szCs w:val="24"/>
        </w:rPr>
        <w:t>do</w:t>
      </w:r>
      <w:r w:rsidR="00ED3AA0">
        <w:rPr>
          <w:rFonts w:ascii="Arial" w:hAnsi="Arial" w:cs="Arial"/>
          <w:sz w:val="24"/>
          <w:szCs w:val="24"/>
        </w:rPr>
        <w:t xml:space="preserve"> curso. Mas, </w:t>
      </w:r>
      <w:r w:rsidR="00ED3AA0">
        <w:rPr>
          <w:rFonts w:ascii="Arial" w:hAnsi="Arial" w:cs="Arial"/>
          <w:sz w:val="24"/>
          <w:szCs w:val="24"/>
        </w:rPr>
        <w:lastRenderedPageBreak/>
        <w:t>por enquanto, já guarde essa informação</w:t>
      </w:r>
      <w:r w:rsidR="00E40FDB">
        <w:rPr>
          <w:rFonts w:ascii="Arial" w:hAnsi="Arial" w:cs="Arial"/>
          <w:sz w:val="24"/>
          <w:szCs w:val="24"/>
        </w:rPr>
        <w:t>, tudo bem?</w:t>
      </w:r>
      <w:r w:rsidR="00B976E6">
        <w:rPr>
          <w:rFonts w:ascii="Arial" w:hAnsi="Arial" w:cs="Arial"/>
          <w:sz w:val="24"/>
          <w:szCs w:val="24"/>
        </w:rPr>
        <w:t xml:space="preserve"> </w:t>
      </w:r>
      <w:r w:rsidR="00D1637A">
        <w:rPr>
          <w:rFonts w:ascii="Arial" w:hAnsi="Arial" w:cs="Arial"/>
          <w:sz w:val="24"/>
          <w:szCs w:val="24"/>
        </w:rPr>
        <w:t xml:space="preserve">Por fim, </w:t>
      </w:r>
      <w:r w:rsidR="00232C04">
        <w:rPr>
          <w:rFonts w:ascii="Arial" w:hAnsi="Arial" w:cs="Arial"/>
          <w:sz w:val="24"/>
          <w:szCs w:val="24"/>
        </w:rPr>
        <w:t xml:space="preserve">apenas para conferir maior profundidade a nosso estudo, já se </w:t>
      </w:r>
      <w:r w:rsidR="006E7799">
        <w:rPr>
          <w:rFonts w:ascii="Arial" w:hAnsi="Arial" w:cs="Arial"/>
          <w:sz w:val="24"/>
          <w:szCs w:val="24"/>
        </w:rPr>
        <w:t xml:space="preserve">criaram </w:t>
      </w:r>
      <w:r w:rsidR="00232C04">
        <w:rPr>
          <w:rFonts w:ascii="Arial" w:hAnsi="Arial" w:cs="Arial"/>
          <w:sz w:val="24"/>
          <w:szCs w:val="24"/>
        </w:rPr>
        <w:t>na doutrina brasileira discussões sobre o verdadeiro alcance do</w:t>
      </w:r>
      <w:r w:rsidR="00D151C7">
        <w:rPr>
          <w:rFonts w:ascii="Arial" w:hAnsi="Arial" w:cs="Arial"/>
          <w:sz w:val="24"/>
          <w:szCs w:val="24"/>
        </w:rPr>
        <w:t xml:space="preserve"> sistema de precedentes vinculantes estipulado pelo</w:t>
      </w:r>
      <w:r w:rsidR="00232C04">
        <w:rPr>
          <w:rFonts w:ascii="Arial" w:hAnsi="Arial" w:cs="Arial"/>
          <w:sz w:val="24"/>
          <w:szCs w:val="24"/>
        </w:rPr>
        <w:t xml:space="preserve"> art. 927 do Novo CPC.</w:t>
      </w:r>
    </w:p>
    <w:p w14:paraId="55DD425B" w14:textId="0582F96C" w:rsidR="00D35A2B" w:rsidRDefault="00D151C7" w:rsidP="00D35A2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 primeira polêmica que se tem é quanto ao sentido que se deve atribuir ao termo “</w:t>
      </w:r>
      <w:r>
        <w:rPr>
          <w:rFonts w:ascii="Arial" w:hAnsi="Arial" w:cs="Arial"/>
          <w:i/>
          <w:sz w:val="24"/>
          <w:szCs w:val="24"/>
        </w:rPr>
        <w:t>observarão</w:t>
      </w:r>
      <w:r>
        <w:rPr>
          <w:rFonts w:ascii="Arial" w:hAnsi="Arial" w:cs="Arial"/>
          <w:sz w:val="24"/>
          <w:szCs w:val="24"/>
        </w:rPr>
        <w:t xml:space="preserve">”, previsto no </w:t>
      </w:r>
      <w:r>
        <w:rPr>
          <w:rFonts w:ascii="Arial" w:hAnsi="Arial" w:cs="Arial"/>
          <w:i/>
          <w:sz w:val="24"/>
          <w:szCs w:val="24"/>
        </w:rPr>
        <w:t>caput</w:t>
      </w:r>
      <w:r>
        <w:rPr>
          <w:rFonts w:ascii="Arial" w:hAnsi="Arial" w:cs="Arial"/>
          <w:sz w:val="24"/>
          <w:szCs w:val="24"/>
        </w:rPr>
        <w:t xml:space="preserve"> do art. 927. Há os que entendam que a expressão não cria </w:t>
      </w:r>
      <w:proofErr w:type="spellStart"/>
      <w:r>
        <w:rPr>
          <w:rFonts w:ascii="Arial" w:hAnsi="Arial" w:cs="Arial"/>
          <w:sz w:val="24"/>
          <w:szCs w:val="24"/>
        </w:rPr>
        <w:t>vinculatividade</w:t>
      </w:r>
      <w:proofErr w:type="spellEnd"/>
      <w:r>
        <w:rPr>
          <w:rFonts w:ascii="Arial" w:hAnsi="Arial" w:cs="Arial"/>
          <w:sz w:val="24"/>
          <w:szCs w:val="24"/>
        </w:rPr>
        <w:t xml:space="preserve"> quanto ao conteúdo dos precedentes, mas tão somente em relação ao dever de levar tais precedentes em consideração, ainda que para deles discordar. Para tal corrente, o órgão jurisdicional teria necessariamente que considerar os precedentes listados no art. 927, mas não estaria vinculado a segui-los,</w:t>
      </w:r>
      <w:r w:rsidR="00D35A2B">
        <w:rPr>
          <w:rFonts w:ascii="Arial" w:hAnsi="Arial" w:cs="Arial"/>
          <w:sz w:val="24"/>
          <w:szCs w:val="24"/>
        </w:rPr>
        <w:t xml:space="preserve"> desde que </w:t>
      </w:r>
      <w:r w:rsidR="00492243" w:rsidRPr="005B60AC">
        <w:rPr>
          <w:rFonts w:ascii="Arial" w:hAnsi="Arial" w:cs="Arial"/>
          <w:sz w:val="24"/>
          <w:szCs w:val="24"/>
        </w:rPr>
        <w:t xml:space="preserve">aponte </w:t>
      </w:r>
      <w:r w:rsidR="00D35A2B">
        <w:rPr>
          <w:rFonts w:ascii="Arial" w:hAnsi="Arial" w:cs="Arial"/>
          <w:sz w:val="24"/>
          <w:szCs w:val="24"/>
        </w:rPr>
        <w:t xml:space="preserve">fundamentação em que se </w:t>
      </w:r>
      <w:r w:rsidR="00D35A2B" w:rsidRPr="005B60AC">
        <w:rPr>
          <w:rFonts w:ascii="Arial" w:hAnsi="Arial" w:cs="Arial"/>
          <w:sz w:val="24"/>
          <w:szCs w:val="24"/>
        </w:rPr>
        <w:t xml:space="preserve">apresente </w:t>
      </w:r>
      <w:r w:rsidR="00D35A2B">
        <w:rPr>
          <w:rFonts w:ascii="Arial" w:hAnsi="Arial" w:cs="Arial"/>
          <w:sz w:val="24"/>
          <w:szCs w:val="24"/>
        </w:rPr>
        <w:t>a equivocidade do precedente. Por outro lado, e pode-se dizer que esta é a corrente majoritária até o momento, há os que aplicam ao termo o sentido de que os órgãos jurisdicionais devem obrigatoriamente seguir os precedentes ali listados, os quais teriam efetiva eficácia vinculante.</w:t>
      </w:r>
    </w:p>
    <w:p w14:paraId="24478D3A" w14:textId="0D101972" w:rsidR="00A93401" w:rsidRDefault="00A93401" w:rsidP="00D35A2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Considerad</w:t>
      </w:r>
      <w:r w:rsidR="00672178">
        <w:rPr>
          <w:rFonts w:ascii="Arial" w:hAnsi="Arial" w:cs="Arial"/>
          <w:sz w:val="24"/>
          <w:szCs w:val="24"/>
        </w:rPr>
        <w:t>o</w:t>
      </w:r>
      <w:r>
        <w:rPr>
          <w:rFonts w:ascii="Arial" w:hAnsi="Arial" w:cs="Arial"/>
          <w:sz w:val="24"/>
          <w:szCs w:val="24"/>
        </w:rPr>
        <w:t xml:space="preserve"> esse último sentido, surge a segunda polêmica: ao </w:t>
      </w:r>
      <w:r w:rsidR="00680ABD">
        <w:rPr>
          <w:rFonts w:ascii="Arial" w:hAnsi="Arial" w:cs="Arial"/>
          <w:sz w:val="24"/>
          <w:szCs w:val="24"/>
        </w:rPr>
        <w:t>enunciar casos de precedentes vinculantes não constantes d</w:t>
      </w:r>
      <w:r>
        <w:rPr>
          <w:rFonts w:ascii="Arial" w:hAnsi="Arial" w:cs="Arial"/>
          <w:sz w:val="24"/>
          <w:szCs w:val="24"/>
        </w:rPr>
        <w:t>a Constituição de 1988, o dispositivo seria constitucional?</w:t>
      </w:r>
      <w:r w:rsidR="007C4342">
        <w:rPr>
          <w:rFonts w:ascii="Arial" w:hAnsi="Arial" w:cs="Arial"/>
          <w:sz w:val="24"/>
          <w:szCs w:val="24"/>
        </w:rPr>
        <w:t xml:space="preserve"> </w:t>
      </w:r>
      <w:r w:rsidR="00680ABD">
        <w:rPr>
          <w:rFonts w:ascii="Arial" w:hAnsi="Arial" w:cs="Arial"/>
          <w:sz w:val="24"/>
          <w:szCs w:val="24"/>
        </w:rPr>
        <w:t>O questionamento é levantado já que</w:t>
      </w:r>
      <w:r w:rsidR="00672178">
        <w:rPr>
          <w:rFonts w:ascii="Arial" w:hAnsi="Arial" w:cs="Arial"/>
          <w:sz w:val="24"/>
          <w:szCs w:val="24"/>
        </w:rPr>
        <w:t>,</w:t>
      </w:r>
      <w:r w:rsidR="00680ABD">
        <w:rPr>
          <w:rFonts w:ascii="Arial" w:hAnsi="Arial" w:cs="Arial"/>
          <w:sz w:val="24"/>
          <w:szCs w:val="24"/>
        </w:rPr>
        <w:t xml:space="preserve"> das hipóteses do art. 927, apenas as previstas nos incisos I (</w:t>
      </w:r>
      <w:r w:rsidR="00680ABD" w:rsidRPr="00680ABD">
        <w:rPr>
          <w:rFonts w:ascii="Arial" w:hAnsi="Arial" w:cs="Arial"/>
          <w:i/>
          <w:sz w:val="24"/>
          <w:szCs w:val="24"/>
        </w:rPr>
        <w:t>as decisões do Supremo Tribunal Federal em controle concentrado de constitucionalidade</w:t>
      </w:r>
      <w:r w:rsidR="00680ABD">
        <w:rPr>
          <w:rFonts w:ascii="Arial" w:hAnsi="Arial" w:cs="Arial"/>
          <w:sz w:val="24"/>
          <w:szCs w:val="24"/>
        </w:rPr>
        <w:t>) e II (</w:t>
      </w:r>
      <w:r w:rsidR="00680ABD" w:rsidRPr="00680ABD">
        <w:rPr>
          <w:rFonts w:ascii="Arial" w:hAnsi="Arial" w:cs="Arial"/>
          <w:i/>
          <w:sz w:val="24"/>
          <w:szCs w:val="24"/>
        </w:rPr>
        <w:t>os enunciados de súmula vinculante</w:t>
      </w:r>
      <w:r w:rsidR="00680ABD">
        <w:rPr>
          <w:rFonts w:ascii="Arial" w:hAnsi="Arial" w:cs="Arial"/>
          <w:sz w:val="24"/>
          <w:szCs w:val="24"/>
        </w:rPr>
        <w:t>) possuem previsão constitucional expressa, conforme se observa do</w:t>
      </w:r>
      <w:r w:rsidR="006E7799">
        <w:rPr>
          <w:rFonts w:ascii="Arial" w:hAnsi="Arial" w:cs="Arial"/>
          <w:sz w:val="24"/>
          <w:szCs w:val="24"/>
        </w:rPr>
        <w:t>s</w:t>
      </w:r>
      <w:r w:rsidR="00680ABD">
        <w:rPr>
          <w:rFonts w:ascii="Arial" w:hAnsi="Arial" w:cs="Arial"/>
          <w:sz w:val="24"/>
          <w:szCs w:val="24"/>
        </w:rPr>
        <w:t xml:space="preserve"> </w:t>
      </w:r>
      <w:proofErr w:type="spellStart"/>
      <w:r w:rsidR="00680ABD">
        <w:rPr>
          <w:rFonts w:ascii="Arial" w:hAnsi="Arial" w:cs="Arial"/>
          <w:sz w:val="24"/>
          <w:szCs w:val="24"/>
        </w:rPr>
        <w:t>art</w:t>
      </w:r>
      <w:r w:rsidR="006E7799">
        <w:rPr>
          <w:rFonts w:ascii="Arial" w:hAnsi="Arial" w:cs="Arial"/>
          <w:sz w:val="24"/>
          <w:szCs w:val="24"/>
        </w:rPr>
        <w:t>s</w:t>
      </w:r>
      <w:proofErr w:type="spellEnd"/>
      <w:r w:rsidR="00680ABD">
        <w:rPr>
          <w:rFonts w:ascii="Arial" w:hAnsi="Arial" w:cs="Arial"/>
          <w:sz w:val="24"/>
          <w:szCs w:val="24"/>
        </w:rPr>
        <w:t>. 102, § 2º, e 103-A da CRFB/</w:t>
      </w:r>
      <w:r w:rsidR="006E7799">
        <w:rPr>
          <w:rFonts w:ascii="Arial" w:hAnsi="Arial" w:cs="Arial"/>
          <w:sz w:val="24"/>
          <w:szCs w:val="24"/>
        </w:rPr>
        <w:t>19</w:t>
      </w:r>
      <w:r w:rsidR="00680ABD">
        <w:rPr>
          <w:rFonts w:ascii="Arial" w:hAnsi="Arial" w:cs="Arial"/>
          <w:sz w:val="24"/>
          <w:szCs w:val="24"/>
        </w:rPr>
        <w:t>88, respectivamente. Os incisos III (</w:t>
      </w:r>
      <w:r w:rsidR="00680ABD" w:rsidRPr="00680ABD">
        <w:rPr>
          <w:rFonts w:ascii="Arial" w:hAnsi="Arial" w:cs="Arial"/>
          <w:i/>
          <w:sz w:val="24"/>
          <w:szCs w:val="24"/>
        </w:rPr>
        <w:t>os acórdãos em incidente de assunção de competência ou de resolução de demandas repetitivas e em julgamento de recursos extraordinário e especial repetitivos</w:t>
      </w:r>
      <w:r w:rsidR="00680ABD">
        <w:rPr>
          <w:rFonts w:ascii="Arial" w:hAnsi="Arial" w:cs="Arial"/>
          <w:sz w:val="24"/>
          <w:szCs w:val="24"/>
        </w:rPr>
        <w:t>), IV (</w:t>
      </w:r>
      <w:r w:rsidR="00680ABD" w:rsidRPr="00680ABD">
        <w:rPr>
          <w:rFonts w:ascii="Arial" w:hAnsi="Arial" w:cs="Arial"/>
          <w:i/>
          <w:sz w:val="24"/>
          <w:szCs w:val="24"/>
        </w:rPr>
        <w:t>os enunciados das súmulas do Supremo Tribunal Federal em matéria constitucional e do Superior Tribunal de Justiça em matéria infraconstituciona</w:t>
      </w:r>
      <w:r w:rsidR="00680ABD" w:rsidRPr="00680ABD">
        <w:rPr>
          <w:rFonts w:ascii="Arial" w:hAnsi="Arial" w:cs="Arial"/>
          <w:sz w:val="24"/>
          <w:szCs w:val="24"/>
        </w:rPr>
        <w:t>l</w:t>
      </w:r>
      <w:r w:rsidR="00680ABD">
        <w:rPr>
          <w:rFonts w:ascii="Arial" w:hAnsi="Arial" w:cs="Arial"/>
          <w:sz w:val="24"/>
          <w:szCs w:val="24"/>
        </w:rPr>
        <w:t>) e V (</w:t>
      </w:r>
      <w:r w:rsidR="00680ABD" w:rsidRPr="00680ABD">
        <w:rPr>
          <w:rFonts w:ascii="Arial" w:hAnsi="Arial" w:cs="Arial"/>
          <w:i/>
          <w:sz w:val="24"/>
          <w:szCs w:val="24"/>
        </w:rPr>
        <w:t xml:space="preserve">a orientação do plenário ou do órgão especial </w:t>
      </w:r>
      <w:r w:rsidR="00680ABD" w:rsidRPr="00205DE7">
        <w:rPr>
          <w:rFonts w:ascii="Arial" w:hAnsi="Arial" w:cs="Arial"/>
          <w:i/>
          <w:sz w:val="24"/>
          <w:szCs w:val="24"/>
        </w:rPr>
        <w:t>aos quais estiverem vinculados</w:t>
      </w:r>
      <w:r w:rsidR="00680ABD">
        <w:rPr>
          <w:rFonts w:ascii="Arial" w:hAnsi="Arial" w:cs="Arial"/>
          <w:sz w:val="24"/>
          <w:szCs w:val="24"/>
        </w:rPr>
        <w:t>), de modo diverso, apenas possuem previsão infraconstitucional.</w:t>
      </w:r>
    </w:p>
    <w:p w14:paraId="6801C0AF" w14:textId="3DACDB58" w:rsidR="00680ABD" w:rsidRPr="00D151C7" w:rsidRDefault="00680ABD" w:rsidP="00D35A2B">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Diante desse contexto, afirma-se que esses casos de vinculação obrigatória </w:t>
      </w:r>
      <w:r w:rsidR="002365A0">
        <w:rPr>
          <w:rFonts w:ascii="Arial" w:hAnsi="Arial" w:cs="Arial"/>
          <w:sz w:val="24"/>
          <w:szCs w:val="24"/>
        </w:rPr>
        <w:t xml:space="preserve">atribuiriam </w:t>
      </w:r>
      <w:r>
        <w:rPr>
          <w:rFonts w:ascii="Arial" w:hAnsi="Arial" w:cs="Arial"/>
          <w:sz w:val="24"/>
          <w:szCs w:val="24"/>
        </w:rPr>
        <w:t>ao Poder Judiciário a competência para a criação de verdadeiras normas jurídicas, o que representaria invasão de áreas de atuação reservada ao Legislativo</w:t>
      </w:r>
      <w:r w:rsidR="00A47F70">
        <w:rPr>
          <w:rFonts w:ascii="Arial" w:hAnsi="Arial" w:cs="Arial"/>
          <w:sz w:val="24"/>
          <w:szCs w:val="24"/>
        </w:rPr>
        <w:t>, pelo que exsurgiria a inconstitucionalidade dos incisos III, IV e V do art. 927 do Novo CPC. Entretanto, imagina-se que deve prevalecer o entendimento de que os dispositivos são constitucionais, na medida em que instrumentalizam o dever de coerência, integridade e estabilidade da jurisprudência dos Tribunais (art. 926 do CPC/2015), não se tratando de atividade normativa executada pelo Judiciário.</w:t>
      </w:r>
    </w:p>
    <w:p w14:paraId="2649F8E1" w14:textId="77777777" w:rsidR="00CC1F43" w:rsidRDefault="00CC1F43" w:rsidP="00863DC1">
      <w:pPr>
        <w:tabs>
          <w:tab w:val="left" w:pos="851"/>
          <w:tab w:val="left" w:pos="8364"/>
          <w:tab w:val="left" w:pos="8789"/>
        </w:tabs>
        <w:spacing w:before="120" w:after="120" w:line="360" w:lineRule="auto"/>
        <w:jc w:val="both"/>
        <w:rPr>
          <w:rFonts w:ascii="Arial" w:hAnsi="Arial" w:cs="Arial"/>
          <w:sz w:val="24"/>
          <w:szCs w:val="24"/>
        </w:rPr>
      </w:pPr>
    </w:p>
    <w:p w14:paraId="7EDD9A83" w14:textId="77777777" w:rsidR="003E2B05" w:rsidRPr="00CC1F43" w:rsidRDefault="00CC1F43" w:rsidP="00CC1F43">
      <w:pPr>
        <w:pStyle w:val="PargrafodaLista"/>
        <w:numPr>
          <w:ilvl w:val="0"/>
          <w:numId w:val="3"/>
        </w:numPr>
        <w:tabs>
          <w:tab w:val="left" w:pos="851"/>
          <w:tab w:val="left" w:pos="8364"/>
          <w:tab w:val="left" w:pos="8789"/>
        </w:tabs>
        <w:spacing w:before="120" w:after="120" w:line="360" w:lineRule="auto"/>
        <w:jc w:val="both"/>
        <w:rPr>
          <w:rFonts w:ascii="Arial" w:hAnsi="Arial" w:cs="Arial"/>
          <w:b/>
          <w:sz w:val="24"/>
          <w:szCs w:val="24"/>
        </w:rPr>
      </w:pPr>
      <w:r w:rsidRPr="00CC1F43">
        <w:rPr>
          <w:rFonts w:ascii="Arial" w:hAnsi="Arial" w:cs="Arial"/>
          <w:b/>
          <w:sz w:val="24"/>
          <w:szCs w:val="24"/>
        </w:rPr>
        <w:t>Conclusão</w:t>
      </w:r>
    </w:p>
    <w:p w14:paraId="6C33D220" w14:textId="3E22089B" w:rsidR="008C22BD" w:rsidRDefault="00CC1F43" w:rsidP="0061443E">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Com essas considerações, chegam</w:t>
      </w:r>
      <w:r w:rsidR="008C22BD">
        <w:rPr>
          <w:rFonts w:ascii="Arial" w:hAnsi="Arial" w:cs="Arial"/>
          <w:sz w:val="24"/>
          <w:szCs w:val="24"/>
        </w:rPr>
        <w:t>os ao fim de nossa primeira aula</w:t>
      </w:r>
      <w:r>
        <w:rPr>
          <w:rFonts w:ascii="Arial" w:hAnsi="Arial" w:cs="Arial"/>
          <w:sz w:val="24"/>
          <w:szCs w:val="24"/>
        </w:rPr>
        <w:t>!</w:t>
      </w:r>
      <w:r w:rsidR="0061443E">
        <w:rPr>
          <w:rFonts w:ascii="Arial" w:hAnsi="Arial" w:cs="Arial"/>
          <w:sz w:val="24"/>
          <w:szCs w:val="24"/>
        </w:rPr>
        <w:t xml:space="preserve"> </w:t>
      </w:r>
    </w:p>
    <w:p w14:paraId="1B11129C" w14:textId="77777777" w:rsidR="00B32A6D" w:rsidRDefault="008C22BD" w:rsidP="005C17F4">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5C17F4">
        <w:rPr>
          <w:rFonts w:ascii="Arial" w:hAnsi="Arial" w:cs="Arial"/>
          <w:sz w:val="24"/>
          <w:szCs w:val="24"/>
        </w:rPr>
        <w:t xml:space="preserve">De modo geral, creio que conseguimos alcançar nosso objetivo principal de </w:t>
      </w:r>
      <w:r w:rsidR="00E40FDB">
        <w:rPr>
          <w:rFonts w:ascii="Arial" w:hAnsi="Arial" w:cs="Arial"/>
          <w:sz w:val="24"/>
          <w:szCs w:val="24"/>
        </w:rPr>
        <w:t xml:space="preserve">desenvolver </w:t>
      </w:r>
      <w:r w:rsidR="005C17F4">
        <w:rPr>
          <w:rFonts w:ascii="Arial" w:hAnsi="Arial" w:cs="Arial"/>
          <w:sz w:val="24"/>
          <w:szCs w:val="24"/>
        </w:rPr>
        <w:t>uma</w:t>
      </w:r>
      <w:r w:rsidR="0061443E">
        <w:rPr>
          <w:rFonts w:ascii="Arial" w:hAnsi="Arial" w:cs="Arial"/>
          <w:sz w:val="24"/>
          <w:szCs w:val="24"/>
        </w:rPr>
        <w:t xml:space="preserve"> abordagem </w:t>
      </w:r>
      <w:r w:rsidR="00E40FDB">
        <w:rPr>
          <w:rFonts w:ascii="Arial" w:hAnsi="Arial" w:cs="Arial"/>
          <w:sz w:val="24"/>
          <w:szCs w:val="24"/>
        </w:rPr>
        <w:t>inicial</w:t>
      </w:r>
      <w:r w:rsidR="0061443E">
        <w:rPr>
          <w:rFonts w:ascii="Arial" w:hAnsi="Arial" w:cs="Arial"/>
          <w:sz w:val="24"/>
          <w:szCs w:val="24"/>
        </w:rPr>
        <w:t>, introduzi</w:t>
      </w:r>
      <w:r w:rsidR="005C17F4">
        <w:rPr>
          <w:rFonts w:ascii="Arial" w:hAnsi="Arial" w:cs="Arial"/>
          <w:sz w:val="24"/>
          <w:szCs w:val="24"/>
        </w:rPr>
        <w:t>ndo o tema da repercussão geral e</w:t>
      </w:r>
      <w:r w:rsidR="0061443E">
        <w:rPr>
          <w:rFonts w:ascii="Arial" w:hAnsi="Arial" w:cs="Arial"/>
          <w:sz w:val="24"/>
          <w:szCs w:val="24"/>
        </w:rPr>
        <w:t xml:space="preserve"> trata</w:t>
      </w:r>
      <w:r w:rsidR="005C17F4">
        <w:rPr>
          <w:rFonts w:ascii="Arial" w:hAnsi="Arial" w:cs="Arial"/>
          <w:sz w:val="24"/>
          <w:szCs w:val="24"/>
        </w:rPr>
        <w:t>ndo</w:t>
      </w:r>
      <w:r w:rsidR="0061443E">
        <w:rPr>
          <w:rFonts w:ascii="Arial" w:hAnsi="Arial" w:cs="Arial"/>
          <w:sz w:val="24"/>
          <w:szCs w:val="24"/>
        </w:rPr>
        <w:t xml:space="preserve"> de</w:t>
      </w:r>
      <w:r w:rsidR="00F550C8">
        <w:rPr>
          <w:rFonts w:ascii="Arial" w:hAnsi="Arial" w:cs="Arial"/>
          <w:sz w:val="24"/>
          <w:szCs w:val="24"/>
        </w:rPr>
        <w:t xml:space="preserve"> alguns</w:t>
      </w:r>
      <w:r w:rsidR="0061443E">
        <w:rPr>
          <w:rFonts w:ascii="Arial" w:hAnsi="Arial" w:cs="Arial"/>
          <w:sz w:val="24"/>
          <w:szCs w:val="24"/>
        </w:rPr>
        <w:t xml:space="preserve"> </w:t>
      </w:r>
      <w:r>
        <w:rPr>
          <w:rFonts w:ascii="Arial" w:hAnsi="Arial" w:cs="Arial"/>
          <w:sz w:val="24"/>
          <w:szCs w:val="24"/>
        </w:rPr>
        <w:t>temas</w:t>
      </w:r>
      <w:r w:rsidR="0061443E">
        <w:rPr>
          <w:rFonts w:ascii="Arial" w:hAnsi="Arial" w:cs="Arial"/>
          <w:sz w:val="24"/>
          <w:szCs w:val="24"/>
        </w:rPr>
        <w:t xml:space="preserve"> </w:t>
      </w:r>
      <w:r w:rsidR="00F550C8">
        <w:rPr>
          <w:rFonts w:ascii="Arial" w:hAnsi="Arial" w:cs="Arial"/>
          <w:sz w:val="24"/>
          <w:szCs w:val="24"/>
        </w:rPr>
        <w:t xml:space="preserve">conexos e </w:t>
      </w:r>
      <w:r w:rsidR="0061443E">
        <w:rPr>
          <w:rFonts w:ascii="Arial" w:hAnsi="Arial" w:cs="Arial"/>
          <w:sz w:val="24"/>
          <w:szCs w:val="24"/>
        </w:rPr>
        <w:t>adicionais</w:t>
      </w:r>
      <w:r w:rsidR="005C17F4">
        <w:rPr>
          <w:rFonts w:ascii="Arial" w:hAnsi="Arial" w:cs="Arial"/>
          <w:sz w:val="24"/>
          <w:szCs w:val="24"/>
        </w:rPr>
        <w:t>, tais</w:t>
      </w:r>
      <w:r w:rsidR="0061443E">
        <w:rPr>
          <w:rFonts w:ascii="Arial" w:hAnsi="Arial" w:cs="Arial"/>
          <w:sz w:val="24"/>
          <w:szCs w:val="24"/>
        </w:rPr>
        <w:t xml:space="preserve"> como os casos de competência originária e recursal do </w:t>
      </w:r>
      <w:r w:rsidR="00E40FDB">
        <w:rPr>
          <w:rFonts w:ascii="Arial" w:hAnsi="Arial" w:cs="Arial"/>
          <w:sz w:val="24"/>
          <w:szCs w:val="24"/>
        </w:rPr>
        <w:t>STF</w:t>
      </w:r>
      <w:r w:rsidR="005C17F4">
        <w:rPr>
          <w:rFonts w:ascii="Arial" w:hAnsi="Arial" w:cs="Arial"/>
          <w:sz w:val="24"/>
          <w:szCs w:val="24"/>
        </w:rPr>
        <w:t xml:space="preserve"> (</w:t>
      </w:r>
      <w:r w:rsidR="005C17F4" w:rsidRPr="00B821D8">
        <w:rPr>
          <w:rFonts w:ascii="Arial" w:hAnsi="Arial" w:cs="Arial"/>
          <w:sz w:val="24"/>
          <w:szCs w:val="24"/>
        </w:rPr>
        <w:t>no qual</w:t>
      </w:r>
      <w:r w:rsidR="005C17F4">
        <w:rPr>
          <w:rFonts w:ascii="Arial" w:hAnsi="Arial" w:cs="Arial"/>
          <w:sz w:val="24"/>
          <w:szCs w:val="24"/>
        </w:rPr>
        <w:t xml:space="preserve"> se inclui a repercussão geral), </w:t>
      </w:r>
      <w:r w:rsidR="0061443E">
        <w:rPr>
          <w:rFonts w:ascii="Arial" w:hAnsi="Arial" w:cs="Arial"/>
          <w:sz w:val="24"/>
          <w:szCs w:val="24"/>
        </w:rPr>
        <w:t xml:space="preserve">bem como as distinções entre os sistemas de </w:t>
      </w:r>
      <w:r w:rsidR="0061443E">
        <w:rPr>
          <w:rFonts w:ascii="Arial" w:hAnsi="Arial" w:cs="Arial"/>
          <w:i/>
          <w:sz w:val="24"/>
          <w:szCs w:val="24"/>
        </w:rPr>
        <w:t xml:space="preserve">common </w:t>
      </w:r>
      <w:proofErr w:type="spellStart"/>
      <w:r w:rsidR="0061443E">
        <w:rPr>
          <w:rFonts w:ascii="Arial" w:hAnsi="Arial" w:cs="Arial"/>
          <w:i/>
          <w:sz w:val="24"/>
          <w:szCs w:val="24"/>
        </w:rPr>
        <w:t>law</w:t>
      </w:r>
      <w:proofErr w:type="spellEnd"/>
      <w:r w:rsidR="0061443E">
        <w:rPr>
          <w:rFonts w:ascii="Arial" w:hAnsi="Arial" w:cs="Arial"/>
          <w:sz w:val="24"/>
          <w:szCs w:val="24"/>
        </w:rPr>
        <w:t xml:space="preserve"> e de </w:t>
      </w:r>
      <w:r w:rsidR="0061443E">
        <w:rPr>
          <w:rFonts w:ascii="Arial" w:hAnsi="Arial" w:cs="Arial"/>
          <w:i/>
          <w:sz w:val="24"/>
          <w:szCs w:val="24"/>
        </w:rPr>
        <w:t xml:space="preserve">civil </w:t>
      </w:r>
      <w:proofErr w:type="spellStart"/>
      <w:r w:rsidR="0061443E">
        <w:rPr>
          <w:rFonts w:ascii="Arial" w:hAnsi="Arial" w:cs="Arial"/>
          <w:i/>
          <w:sz w:val="24"/>
          <w:szCs w:val="24"/>
        </w:rPr>
        <w:t>law</w:t>
      </w:r>
      <w:proofErr w:type="spellEnd"/>
      <w:r w:rsidR="005C17F4">
        <w:rPr>
          <w:rFonts w:ascii="Arial" w:hAnsi="Arial" w:cs="Arial"/>
          <w:sz w:val="24"/>
          <w:szCs w:val="24"/>
        </w:rPr>
        <w:t xml:space="preserve">, sua relação </w:t>
      </w:r>
      <w:r w:rsidR="004D716F">
        <w:rPr>
          <w:rFonts w:ascii="Arial" w:hAnsi="Arial" w:cs="Arial"/>
          <w:sz w:val="24"/>
          <w:szCs w:val="24"/>
        </w:rPr>
        <w:t>com a ideia geral do Novo Código de Processo Civil quanto ao sistema de precedentes obrigatórios, além de desdobramentos teóricos e práticos que decorrem dessa relação.</w:t>
      </w:r>
    </w:p>
    <w:p w14:paraId="79039D3F" w14:textId="77777777" w:rsidR="004D716F" w:rsidRDefault="004D716F" w:rsidP="004D716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Espero que tenha sido proveitoso para você! </w:t>
      </w:r>
    </w:p>
    <w:p w14:paraId="1AB46B08" w14:textId="77777777" w:rsidR="003464F6" w:rsidRDefault="004D716F" w:rsidP="004D716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413F2C">
        <w:rPr>
          <w:rFonts w:ascii="Arial" w:hAnsi="Arial" w:cs="Arial"/>
          <w:sz w:val="24"/>
          <w:szCs w:val="24"/>
        </w:rPr>
        <w:t>Vemo-nos</w:t>
      </w:r>
      <w:r w:rsidR="003464F6">
        <w:rPr>
          <w:rFonts w:ascii="Arial" w:hAnsi="Arial" w:cs="Arial"/>
          <w:sz w:val="24"/>
          <w:szCs w:val="24"/>
        </w:rPr>
        <w:t xml:space="preserve"> na próxima aula!</w:t>
      </w:r>
    </w:p>
    <w:p w14:paraId="167AD02D" w14:textId="77777777" w:rsidR="00403BE5" w:rsidRDefault="00403BE5" w:rsidP="004D716F">
      <w:pPr>
        <w:tabs>
          <w:tab w:val="left" w:pos="851"/>
          <w:tab w:val="left" w:pos="8364"/>
          <w:tab w:val="left" w:pos="8789"/>
        </w:tabs>
        <w:spacing w:before="120" w:after="120" w:line="360" w:lineRule="auto"/>
        <w:jc w:val="both"/>
        <w:rPr>
          <w:rFonts w:ascii="Arial" w:hAnsi="Arial" w:cs="Arial"/>
          <w:sz w:val="24"/>
          <w:szCs w:val="24"/>
        </w:rPr>
      </w:pPr>
    </w:p>
    <w:p w14:paraId="0090FFA8" w14:textId="77777777" w:rsidR="00403BE5" w:rsidRDefault="00403BE5" w:rsidP="004D716F">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Referências</w:t>
      </w:r>
    </w:p>
    <w:p w14:paraId="5A4D91C3" w14:textId="77777777" w:rsidR="00170461" w:rsidRDefault="00170461" w:rsidP="004D716F">
      <w:pPr>
        <w:tabs>
          <w:tab w:val="left" w:pos="851"/>
          <w:tab w:val="left" w:pos="8364"/>
          <w:tab w:val="left" w:pos="8789"/>
        </w:tabs>
        <w:spacing w:before="120" w:after="120" w:line="360" w:lineRule="auto"/>
        <w:jc w:val="both"/>
        <w:rPr>
          <w:rFonts w:ascii="Arial" w:hAnsi="Arial" w:cs="Arial"/>
          <w:sz w:val="24"/>
          <w:szCs w:val="24"/>
        </w:rPr>
      </w:pPr>
    </w:p>
    <w:p w14:paraId="55AC7113" w14:textId="079CB62E" w:rsidR="00403BE5" w:rsidRDefault="007236BD" w:rsidP="005B60AC">
      <w:pPr>
        <w:tabs>
          <w:tab w:val="left" w:pos="851"/>
          <w:tab w:val="left" w:pos="8364"/>
          <w:tab w:val="left" w:pos="8789"/>
        </w:tabs>
        <w:spacing w:after="0" w:line="240" w:lineRule="auto"/>
        <w:jc w:val="both"/>
        <w:rPr>
          <w:rFonts w:ascii="Arial" w:hAnsi="Arial" w:cs="Arial"/>
          <w:sz w:val="24"/>
          <w:szCs w:val="24"/>
        </w:rPr>
      </w:pPr>
      <w:r w:rsidRPr="00802670">
        <w:rPr>
          <w:rFonts w:ascii="Arial" w:hAnsi="Arial" w:cs="Arial"/>
          <w:sz w:val="24"/>
          <w:szCs w:val="24"/>
        </w:rPr>
        <w:t xml:space="preserve">ALBUQUERQUE, Maurício de. </w:t>
      </w:r>
      <w:r w:rsidRPr="005B60AC">
        <w:rPr>
          <w:rFonts w:ascii="Arial" w:hAnsi="Arial" w:cs="Arial"/>
          <w:b/>
          <w:sz w:val="24"/>
          <w:szCs w:val="24"/>
        </w:rPr>
        <w:t xml:space="preserve">Aproximação da </w:t>
      </w:r>
      <w:r w:rsidRPr="005B60AC">
        <w:rPr>
          <w:rFonts w:ascii="Arial" w:hAnsi="Arial" w:cs="Arial"/>
          <w:b/>
          <w:i/>
          <w:sz w:val="24"/>
          <w:szCs w:val="24"/>
        </w:rPr>
        <w:t xml:space="preserve">civil </w:t>
      </w:r>
      <w:proofErr w:type="spellStart"/>
      <w:r w:rsidRPr="005B60AC">
        <w:rPr>
          <w:rFonts w:ascii="Arial" w:hAnsi="Arial" w:cs="Arial"/>
          <w:b/>
          <w:i/>
          <w:sz w:val="24"/>
          <w:szCs w:val="24"/>
        </w:rPr>
        <w:t>law</w:t>
      </w:r>
      <w:proofErr w:type="spellEnd"/>
      <w:r w:rsidRPr="005B60AC">
        <w:rPr>
          <w:rFonts w:ascii="Arial" w:hAnsi="Arial" w:cs="Arial"/>
          <w:b/>
          <w:sz w:val="24"/>
          <w:szCs w:val="24"/>
        </w:rPr>
        <w:t xml:space="preserve"> com a </w:t>
      </w:r>
      <w:r w:rsidRPr="005B60AC">
        <w:rPr>
          <w:rFonts w:ascii="Arial" w:hAnsi="Arial" w:cs="Arial"/>
          <w:b/>
          <w:i/>
          <w:sz w:val="24"/>
          <w:szCs w:val="24"/>
        </w:rPr>
        <w:t xml:space="preserve">common </w:t>
      </w:r>
      <w:proofErr w:type="spellStart"/>
      <w:r w:rsidRPr="005B60AC">
        <w:rPr>
          <w:rFonts w:ascii="Arial" w:hAnsi="Arial" w:cs="Arial"/>
          <w:b/>
          <w:i/>
          <w:sz w:val="24"/>
          <w:szCs w:val="24"/>
        </w:rPr>
        <w:t>law</w:t>
      </w:r>
      <w:proofErr w:type="spellEnd"/>
      <w:r w:rsidRPr="005B60AC">
        <w:rPr>
          <w:rFonts w:ascii="Arial" w:hAnsi="Arial" w:cs="Arial"/>
          <w:b/>
          <w:sz w:val="24"/>
          <w:szCs w:val="24"/>
        </w:rPr>
        <w:t xml:space="preserve"> no novo Código de Processo Civil.</w:t>
      </w:r>
      <w:r w:rsidRPr="00802670">
        <w:rPr>
          <w:rFonts w:ascii="Arial" w:hAnsi="Arial" w:cs="Arial"/>
          <w:sz w:val="24"/>
          <w:szCs w:val="24"/>
        </w:rPr>
        <w:t xml:space="preserve"> Disponível em: &lt;</w:t>
      </w:r>
      <w:hyperlink r:id="rId23" w:history="1">
        <w:r w:rsidRPr="00802670">
          <w:rPr>
            <w:rStyle w:val="Hyperlink"/>
            <w:rFonts w:ascii="Arial" w:hAnsi="Arial" w:cs="Arial"/>
            <w:sz w:val="24"/>
            <w:szCs w:val="24"/>
          </w:rPr>
          <w:t>http://www.migalhas.com.br/dePeso/16,MI234946,81042-Aproximacao+da+civil+law+com+a+common+law+no+novo+Codigo+de+Processo</w:t>
        </w:r>
      </w:hyperlink>
      <w:r w:rsidRPr="00802670">
        <w:rPr>
          <w:rStyle w:val="Hyperlink"/>
          <w:rFonts w:ascii="Arial" w:hAnsi="Arial" w:cs="Arial"/>
          <w:sz w:val="24"/>
          <w:szCs w:val="24"/>
        </w:rPr>
        <w:t>&gt;</w:t>
      </w:r>
      <w:r w:rsidRPr="00802670">
        <w:rPr>
          <w:rFonts w:ascii="Arial" w:hAnsi="Arial" w:cs="Arial"/>
          <w:sz w:val="24"/>
          <w:szCs w:val="24"/>
        </w:rPr>
        <w:t xml:space="preserve">. </w:t>
      </w:r>
      <w:r w:rsidRPr="00785FDA">
        <w:rPr>
          <w:rFonts w:ascii="Arial" w:hAnsi="Arial" w:cs="Arial"/>
          <w:sz w:val="24"/>
          <w:szCs w:val="24"/>
        </w:rPr>
        <w:t>Acesso em:</w:t>
      </w:r>
      <w:r w:rsidRPr="00802670">
        <w:rPr>
          <w:rFonts w:ascii="Arial" w:hAnsi="Arial" w:cs="Arial"/>
          <w:sz w:val="24"/>
          <w:szCs w:val="24"/>
        </w:rPr>
        <w:t xml:space="preserve"> </w:t>
      </w:r>
      <w:r w:rsidR="00785FDA">
        <w:rPr>
          <w:rFonts w:ascii="Arial" w:hAnsi="Arial" w:cs="Arial"/>
          <w:sz w:val="24"/>
          <w:szCs w:val="24"/>
        </w:rPr>
        <w:t>11 abr. 2017</w:t>
      </w:r>
      <w:r w:rsidR="008E09F7">
        <w:rPr>
          <w:rFonts w:ascii="Arial" w:hAnsi="Arial" w:cs="Arial"/>
          <w:sz w:val="24"/>
          <w:szCs w:val="24"/>
        </w:rPr>
        <w:t>.</w:t>
      </w:r>
    </w:p>
    <w:p w14:paraId="4231D5CF" w14:textId="77777777" w:rsidR="00170461" w:rsidRDefault="00170461" w:rsidP="005B60AC">
      <w:pPr>
        <w:tabs>
          <w:tab w:val="left" w:pos="851"/>
          <w:tab w:val="left" w:pos="8364"/>
          <w:tab w:val="left" w:pos="8789"/>
        </w:tabs>
        <w:spacing w:after="0" w:line="240" w:lineRule="auto"/>
        <w:jc w:val="both"/>
        <w:rPr>
          <w:rFonts w:ascii="Arial" w:hAnsi="Arial" w:cs="Arial"/>
          <w:sz w:val="24"/>
          <w:szCs w:val="24"/>
        </w:rPr>
      </w:pPr>
    </w:p>
    <w:p w14:paraId="009FB600" w14:textId="2DF96C43" w:rsidR="00170461" w:rsidRDefault="00170461" w:rsidP="00170461">
      <w:pPr>
        <w:autoSpaceDE w:val="0"/>
        <w:autoSpaceDN w:val="0"/>
        <w:adjustRightInd w:val="0"/>
        <w:spacing w:after="0" w:line="240" w:lineRule="auto"/>
        <w:jc w:val="both"/>
        <w:rPr>
          <w:rFonts w:ascii="Arial" w:hAnsi="Arial" w:cs="Arial"/>
          <w:sz w:val="24"/>
          <w:szCs w:val="24"/>
        </w:rPr>
      </w:pPr>
      <w:r w:rsidRPr="00724CBF">
        <w:rPr>
          <w:rFonts w:ascii="Arial" w:hAnsi="Arial" w:cs="Arial"/>
          <w:sz w:val="24"/>
          <w:szCs w:val="24"/>
        </w:rPr>
        <w:t xml:space="preserve">ARABI, Abhner Youssif Mota. </w:t>
      </w:r>
      <w:r w:rsidRPr="00724CBF">
        <w:rPr>
          <w:rFonts w:ascii="Arial" w:hAnsi="Arial" w:cs="Arial"/>
          <w:b/>
          <w:sz w:val="24"/>
          <w:szCs w:val="24"/>
        </w:rPr>
        <w:t>A tensão institucional entre Judiciário e Legislativo</w:t>
      </w:r>
      <w:r w:rsidRPr="00724CBF">
        <w:rPr>
          <w:rFonts w:ascii="Arial" w:hAnsi="Arial" w:cs="Arial"/>
          <w:sz w:val="24"/>
          <w:szCs w:val="24"/>
        </w:rPr>
        <w:t>: diálogo, controle de constitucionalidade e a legitimidade da atuação do Supremo Tribunal Federal. Curitiba: Prismas, 2015.</w:t>
      </w:r>
    </w:p>
    <w:p w14:paraId="0420F404" w14:textId="77777777" w:rsidR="006E4DE0" w:rsidRDefault="006E4DE0" w:rsidP="00170461">
      <w:pPr>
        <w:autoSpaceDE w:val="0"/>
        <w:autoSpaceDN w:val="0"/>
        <w:adjustRightInd w:val="0"/>
        <w:spacing w:after="0" w:line="240" w:lineRule="auto"/>
        <w:jc w:val="both"/>
        <w:rPr>
          <w:rFonts w:ascii="Arial" w:hAnsi="Arial" w:cs="Arial"/>
          <w:sz w:val="24"/>
          <w:szCs w:val="24"/>
        </w:rPr>
      </w:pPr>
    </w:p>
    <w:p w14:paraId="2F19D0FE" w14:textId="2205AE3F" w:rsidR="006E4DE0" w:rsidRPr="00724CBF" w:rsidRDefault="006E4DE0" w:rsidP="0017046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CARTA precatória x carta rogatória. Disponível em: &lt;</w:t>
      </w:r>
      <w:hyperlink r:id="rId24" w:history="1">
        <w:r w:rsidRPr="00FE1AF7">
          <w:rPr>
            <w:rStyle w:val="Hyperlink"/>
            <w:rFonts w:ascii="Arial" w:hAnsi="Arial" w:cs="Arial"/>
          </w:rPr>
          <w:t>http://www.tjdft.jus.br/institucional/imprensa/direito-facil/carta-precatoria-x-carta-rogatoria-1</w:t>
        </w:r>
      </w:hyperlink>
      <w:r>
        <w:rPr>
          <w:rFonts w:ascii="Arial" w:hAnsi="Arial" w:cs="Arial"/>
          <w:sz w:val="24"/>
          <w:szCs w:val="24"/>
        </w:rPr>
        <w:t xml:space="preserve">&gt;. </w:t>
      </w:r>
      <w:r w:rsidRPr="00785FDA">
        <w:rPr>
          <w:rFonts w:ascii="Arial" w:hAnsi="Arial" w:cs="Arial"/>
          <w:sz w:val="24"/>
          <w:szCs w:val="24"/>
        </w:rPr>
        <w:t>Acesso em:</w:t>
      </w:r>
      <w:r w:rsidR="00785FDA">
        <w:rPr>
          <w:rFonts w:ascii="Arial" w:hAnsi="Arial" w:cs="Arial"/>
          <w:sz w:val="24"/>
          <w:szCs w:val="24"/>
        </w:rPr>
        <w:t xml:space="preserve"> 11 abr. 2017</w:t>
      </w:r>
      <w:r w:rsidR="008E09F7">
        <w:rPr>
          <w:rFonts w:ascii="Arial" w:hAnsi="Arial" w:cs="Arial"/>
          <w:sz w:val="24"/>
          <w:szCs w:val="24"/>
        </w:rPr>
        <w:t>.</w:t>
      </w:r>
    </w:p>
    <w:p w14:paraId="4FB5CB24" w14:textId="77777777" w:rsidR="007236BD" w:rsidRPr="00802670" w:rsidRDefault="007236BD" w:rsidP="005B60AC">
      <w:pPr>
        <w:tabs>
          <w:tab w:val="left" w:pos="851"/>
          <w:tab w:val="left" w:pos="8364"/>
          <w:tab w:val="left" w:pos="8789"/>
        </w:tabs>
        <w:spacing w:after="0" w:line="240" w:lineRule="auto"/>
        <w:jc w:val="both"/>
        <w:rPr>
          <w:rFonts w:ascii="Arial" w:hAnsi="Arial" w:cs="Arial"/>
          <w:sz w:val="24"/>
          <w:szCs w:val="24"/>
        </w:rPr>
      </w:pPr>
    </w:p>
    <w:p w14:paraId="5CA5F958" w14:textId="4EFA6ED1" w:rsidR="007236BD" w:rsidRDefault="007236BD" w:rsidP="005B60AC">
      <w:pPr>
        <w:tabs>
          <w:tab w:val="left" w:pos="851"/>
        </w:tabs>
        <w:spacing w:after="0" w:line="240" w:lineRule="auto"/>
        <w:jc w:val="both"/>
        <w:rPr>
          <w:rFonts w:ascii="Arial" w:hAnsi="Arial" w:cs="Arial"/>
          <w:sz w:val="24"/>
          <w:szCs w:val="24"/>
        </w:rPr>
      </w:pPr>
      <w:r w:rsidRPr="00802670">
        <w:rPr>
          <w:rFonts w:ascii="Arial" w:hAnsi="Arial" w:cs="Arial"/>
          <w:sz w:val="24"/>
          <w:szCs w:val="24"/>
        </w:rPr>
        <w:t>MARINONI, Luiz Guilherme.</w:t>
      </w:r>
      <w:r w:rsidR="00E64742" w:rsidRPr="00802670">
        <w:rPr>
          <w:rFonts w:ascii="Arial" w:hAnsi="Arial" w:cs="Arial"/>
          <w:sz w:val="24"/>
          <w:szCs w:val="24"/>
        </w:rPr>
        <w:t xml:space="preserve"> </w:t>
      </w:r>
      <w:r w:rsidR="00E64742" w:rsidRPr="005B60AC">
        <w:rPr>
          <w:rFonts w:ascii="Arial" w:hAnsi="Arial" w:cs="Arial"/>
          <w:b/>
          <w:sz w:val="24"/>
          <w:szCs w:val="24"/>
        </w:rPr>
        <w:t xml:space="preserve">Aproximação crítica entre as jurisdições de </w:t>
      </w:r>
      <w:r w:rsidR="00E64742" w:rsidRPr="005B60AC">
        <w:rPr>
          <w:rFonts w:ascii="Arial" w:hAnsi="Arial" w:cs="Arial"/>
          <w:b/>
          <w:i/>
          <w:sz w:val="24"/>
          <w:szCs w:val="24"/>
        </w:rPr>
        <w:t xml:space="preserve">civil </w:t>
      </w:r>
      <w:proofErr w:type="spellStart"/>
      <w:r w:rsidR="00E64742" w:rsidRPr="005B60AC">
        <w:rPr>
          <w:rFonts w:ascii="Arial" w:hAnsi="Arial" w:cs="Arial"/>
          <w:b/>
          <w:i/>
          <w:sz w:val="24"/>
          <w:szCs w:val="24"/>
        </w:rPr>
        <w:t>law</w:t>
      </w:r>
      <w:proofErr w:type="spellEnd"/>
      <w:r w:rsidR="00E64742" w:rsidRPr="005B60AC">
        <w:rPr>
          <w:rFonts w:ascii="Arial" w:hAnsi="Arial" w:cs="Arial"/>
          <w:b/>
          <w:sz w:val="24"/>
          <w:szCs w:val="24"/>
        </w:rPr>
        <w:t xml:space="preserve"> e de </w:t>
      </w:r>
      <w:r w:rsidR="00E64742" w:rsidRPr="005B60AC">
        <w:rPr>
          <w:rFonts w:ascii="Arial" w:hAnsi="Arial" w:cs="Arial"/>
          <w:b/>
          <w:i/>
          <w:sz w:val="24"/>
          <w:szCs w:val="24"/>
        </w:rPr>
        <w:t xml:space="preserve">common </w:t>
      </w:r>
      <w:proofErr w:type="spellStart"/>
      <w:r w:rsidR="00E64742" w:rsidRPr="005B60AC">
        <w:rPr>
          <w:rFonts w:ascii="Arial" w:hAnsi="Arial" w:cs="Arial"/>
          <w:b/>
          <w:i/>
          <w:sz w:val="24"/>
          <w:szCs w:val="24"/>
        </w:rPr>
        <w:t>law</w:t>
      </w:r>
      <w:proofErr w:type="spellEnd"/>
      <w:r w:rsidR="00E64742" w:rsidRPr="005B60AC">
        <w:rPr>
          <w:rFonts w:ascii="Arial" w:hAnsi="Arial" w:cs="Arial"/>
          <w:b/>
          <w:sz w:val="24"/>
          <w:szCs w:val="24"/>
        </w:rPr>
        <w:t xml:space="preserve"> e a necessidade de respeito aos precedentes no brasil.</w:t>
      </w:r>
      <w:r w:rsidR="00E64742" w:rsidRPr="00802670">
        <w:rPr>
          <w:rFonts w:ascii="Arial" w:hAnsi="Arial" w:cs="Arial"/>
          <w:sz w:val="24"/>
          <w:szCs w:val="24"/>
        </w:rPr>
        <w:t xml:space="preserve"> In: </w:t>
      </w:r>
      <w:r w:rsidRPr="005B60AC">
        <w:rPr>
          <w:rFonts w:ascii="Arial" w:hAnsi="Arial" w:cs="Arial"/>
          <w:sz w:val="24"/>
          <w:szCs w:val="24"/>
        </w:rPr>
        <w:t>Revista da Faculdade de Direito da Universidade Federal do Paraná</w:t>
      </w:r>
      <w:r w:rsidRPr="00802670">
        <w:rPr>
          <w:rFonts w:ascii="Arial" w:hAnsi="Arial" w:cs="Arial"/>
          <w:sz w:val="24"/>
          <w:szCs w:val="24"/>
        </w:rPr>
        <w:t>, n</w:t>
      </w:r>
      <w:r w:rsidR="00E64742" w:rsidRPr="00802670">
        <w:rPr>
          <w:rFonts w:ascii="Arial" w:hAnsi="Arial" w:cs="Arial"/>
          <w:sz w:val="24"/>
          <w:szCs w:val="24"/>
        </w:rPr>
        <w:t>.</w:t>
      </w:r>
      <w:r w:rsidRPr="00802670">
        <w:rPr>
          <w:rFonts w:ascii="Arial" w:hAnsi="Arial" w:cs="Arial"/>
          <w:sz w:val="24"/>
          <w:szCs w:val="24"/>
        </w:rPr>
        <w:t xml:space="preserve"> 49</w:t>
      </w:r>
      <w:r w:rsidR="00E64742" w:rsidRPr="00802670">
        <w:rPr>
          <w:rFonts w:ascii="Arial" w:hAnsi="Arial" w:cs="Arial"/>
          <w:sz w:val="24"/>
          <w:szCs w:val="24"/>
        </w:rPr>
        <w:t>,</w:t>
      </w:r>
      <w:r w:rsidRPr="00802670">
        <w:rPr>
          <w:rFonts w:ascii="Arial" w:hAnsi="Arial" w:cs="Arial"/>
          <w:sz w:val="24"/>
          <w:szCs w:val="24"/>
        </w:rPr>
        <w:t xml:space="preserve"> 2009</w:t>
      </w:r>
      <w:r w:rsidR="00E64742" w:rsidRPr="00802670">
        <w:rPr>
          <w:rFonts w:ascii="Arial" w:hAnsi="Arial" w:cs="Arial"/>
          <w:sz w:val="24"/>
          <w:szCs w:val="24"/>
        </w:rPr>
        <w:t xml:space="preserve">. Disponível em: </w:t>
      </w:r>
      <w:r w:rsidRPr="005B60AC">
        <w:rPr>
          <w:rFonts w:ascii="Arial" w:hAnsi="Arial" w:cs="Arial"/>
          <w:sz w:val="24"/>
          <w:szCs w:val="24"/>
        </w:rPr>
        <w:t>&lt;</w:t>
      </w:r>
      <w:hyperlink r:id="rId25" w:history="1">
        <w:r w:rsidRPr="00802670">
          <w:rPr>
            <w:rStyle w:val="Hyperlink"/>
            <w:rFonts w:ascii="Arial" w:hAnsi="Arial" w:cs="Arial"/>
            <w:sz w:val="24"/>
            <w:szCs w:val="24"/>
          </w:rPr>
          <w:t>http://revistas.ufpr.br/direito/article/viewFile/17031/11238</w:t>
        </w:r>
      </w:hyperlink>
      <w:r w:rsidRPr="00785FDA">
        <w:rPr>
          <w:rFonts w:ascii="Arial" w:hAnsi="Arial" w:cs="Arial"/>
          <w:sz w:val="24"/>
          <w:szCs w:val="24"/>
        </w:rPr>
        <w:t>&gt;.</w:t>
      </w:r>
      <w:r w:rsidR="00E64742" w:rsidRPr="00785FDA">
        <w:rPr>
          <w:rFonts w:ascii="Arial" w:hAnsi="Arial" w:cs="Arial"/>
          <w:sz w:val="24"/>
          <w:szCs w:val="24"/>
        </w:rPr>
        <w:t xml:space="preserve"> Acesso em:</w:t>
      </w:r>
      <w:r w:rsidR="00785FDA">
        <w:rPr>
          <w:rFonts w:ascii="Arial" w:hAnsi="Arial" w:cs="Arial"/>
          <w:sz w:val="24"/>
          <w:szCs w:val="24"/>
        </w:rPr>
        <w:t xml:space="preserve"> 11 abr. 2017</w:t>
      </w:r>
      <w:r w:rsidR="008E09F7">
        <w:rPr>
          <w:rFonts w:ascii="Arial" w:hAnsi="Arial" w:cs="Arial"/>
          <w:sz w:val="24"/>
          <w:szCs w:val="24"/>
        </w:rPr>
        <w:t>.</w:t>
      </w:r>
    </w:p>
    <w:p w14:paraId="6F75E3FF" w14:textId="77777777" w:rsidR="00170461" w:rsidRDefault="00170461" w:rsidP="005B60AC">
      <w:pPr>
        <w:tabs>
          <w:tab w:val="left" w:pos="851"/>
        </w:tabs>
        <w:spacing w:after="0" w:line="240" w:lineRule="auto"/>
        <w:jc w:val="both"/>
        <w:rPr>
          <w:rFonts w:ascii="Arial" w:hAnsi="Arial" w:cs="Arial"/>
          <w:sz w:val="24"/>
          <w:szCs w:val="24"/>
        </w:rPr>
      </w:pPr>
    </w:p>
    <w:p w14:paraId="7C5FC08E" w14:textId="0CCA77A3" w:rsidR="00DF0CA9" w:rsidRDefault="00DF0CA9" w:rsidP="00802670">
      <w:pPr>
        <w:tabs>
          <w:tab w:val="left" w:pos="851"/>
          <w:tab w:val="left" w:pos="8364"/>
          <w:tab w:val="left" w:pos="8789"/>
        </w:tabs>
        <w:spacing w:after="0" w:line="240" w:lineRule="auto"/>
        <w:jc w:val="both"/>
        <w:rPr>
          <w:rFonts w:ascii="Arial" w:hAnsi="Arial" w:cs="Arial"/>
          <w:sz w:val="24"/>
          <w:szCs w:val="24"/>
        </w:rPr>
      </w:pPr>
      <w:r w:rsidRPr="005B60AC">
        <w:rPr>
          <w:rFonts w:ascii="Arial" w:hAnsi="Arial" w:cs="Arial"/>
          <w:sz w:val="24"/>
          <w:szCs w:val="24"/>
        </w:rPr>
        <w:t xml:space="preserve">MELLO, Patrícia Perrone Campos. </w:t>
      </w:r>
      <w:r w:rsidRPr="005B60AC">
        <w:rPr>
          <w:rFonts w:ascii="Arial" w:hAnsi="Arial" w:cs="Arial"/>
          <w:b/>
          <w:sz w:val="24"/>
          <w:szCs w:val="24"/>
        </w:rPr>
        <w:t>Como se opera com precedentes segundo o Novo CPC?</w:t>
      </w:r>
      <w:r w:rsidRPr="005B60AC">
        <w:rPr>
          <w:rFonts w:ascii="Arial" w:hAnsi="Arial" w:cs="Arial"/>
          <w:sz w:val="24"/>
          <w:szCs w:val="24"/>
        </w:rPr>
        <w:t xml:space="preserve"> </w:t>
      </w:r>
      <w:r w:rsidRPr="005B60AC">
        <w:rPr>
          <w:rFonts w:ascii="Arial" w:hAnsi="Arial" w:cs="Arial"/>
          <w:i/>
          <w:sz w:val="24"/>
          <w:szCs w:val="24"/>
        </w:rPr>
        <w:t>In</w:t>
      </w:r>
      <w:r w:rsidRPr="005B60AC">
        <w:rPr>
          <w:rFonts w:ascii="Arial" w:hAnsi="Arial" w:cs="Arial"/>
          <w:sz w:val="24"/>
          <w:szCs w:val="24"/>
        </w:rPr>
        <w:t>: Jota. Disponível em &lt;</w:t>
      </w:r>
      <w:hyperlink r:id="rId26" w:history="1">
        <w:r w:rsidRPr="005B60AC">
          <w:rPr>
            <w:rStyle w:val="Hyperlink"/>
            <w:rFonts w:ascii="Arial" w:hAnsi="Arial" w:cs="Arial"/>
            <w:sz w:val="24"/>
            <w:szCs w:val="24"/>
          </w:rPr>
          <w:t>http://jota.uol.com.br/como-se-opera-com-precedentes-segundo-o-novo-cpc</w:t>
        </w:r>
      </w:hyperlink>
      <w:r w:rsidRPr="005B60AC">
        <w:rPr>
          <w:rFonts w:ascii="Arial" w:hAnsi="Arial" w:cs="Arial"/>
          <w:sz w:val="24"/>
          <w:szCs w:val="24"/>
        </w:rPr>
        <w:t>&gt;. Acesso em: 22 mar</w:t>
      </w:r>
      <w:r w:rsidR="003E7213">
        <w:rPr>
          <w:rFonts w:ascii="Arial" w:hAnsi="Arial" w:cs="Arial"/>
          <w:sz w:val="24"/>
          <w:szCs w:val="24"/>
        </w:rPr>
        <w:t>.</w:t>
      </w:r>
      <w:r w:rsidRPr="005B60AC">
        <w:rPr>
          <w:rFonts w:ascii="Arial" w:hAnsi="Arial" w:cs="Arial"/>
          <w:sz w:val="24"/>
          <w:szCs w:val="24"/>
        </w:rPr>
        <w:t xml:space="preserve"> 2016.</w:t>
      </w:r>
    </w:p>
    <w:p w14:paraId="7E0FC921" w14:textId="77777777" w:rsidR="00300832" w:rsidRDefault="00300832" w:rsidP="00802670">
      <w:pPr>
        <w:tabs>
          <w:tab w:val="left" w:pos="851"/>
          <w:tab w:val="left" w:pos="8364"/>
          <w:tab w:val="left" w:pos="8789"/>
        </w:tabs>
        <w:spacing w:after="0" w:line="240" w:lineRule="auto"/>
        <w:jc w:val="both"/>
        <w:rPr>
          <w:rFonts w:ascii="Arial" w:hAnsi="Arial" w:cs="Arial"/>
          <w:sz w:val="24"/>
          <w:szCs w:val="24"/>
        </w:rPr>
      </w:pPr>
    </w:p>
    <w:p w14:paraId="308044E1" w14:textId="787A3026" w:rsidR="00300832" w:rsidRDefault="00300832" w:rsidP="00300832">
      <w:pPr>
        <w:tabs>
          <w:tab w:val="left" w:pos="851"/>
          <w:tab w:val="left" w:pos="8364"/>
          <w:tab w:val="left" w:pos="8789"/>
        </w:tabs>
        <w:spacing w:after="0" w:line="240" w:lineRule="auto"/>
        <w:jc w:val="both"/>
        <w:rPr>
          <w:rFonts w:ascii="Arial" w:hAnsi="Arial" w:cs="Arial"/>
          <w:sz w:val="24"/>
          <w:szCs w:val="24"/>
        </w:rPr>
      </w:pPr>
      <w:r w:rsidRPr="00E37BBD">
        <w:rPr>
          <w:rFonts w:ascii="Arial" w:hAnsi="Arial" w:cs="Arial"/>
          <w:sz w:val="24"/>
          <w:szCs w:val="24"/>
        </w:rPr>
        <w:t>MELLO, Patrícia Perrone Campos.</w:t>
      </w:r>
      <w:r>
        <w:rPr>
          <w:rFonts w:ascii="Arial" w:hAnsi="Arial" w:cs="Arial"/>
          <w:sz w:val="24"/>
          <w:szCs w:val="24"/>
        </w:rPr>
        <w:t xml:space="preserve"> </w:t>
      </w:r>
      <w:r w:rsidRPr="009E27CA">
        <w:rPr>
          <w:rFonts w:ascii="Arial" w:hAnsi="Arial" w:cs="Arial"/>
          <w:b/>
          <w:sz w:val="24"/>
          <w:szCs w:val="24"/>
        </w:rPr>
        <w:t>Os precedentes no Novo CPC:</w:t>
      </w:r>
      <w:r>
        <w:rPr>
          <w:rFonts w:ascii="Arial" w:hAnsi="Arial" w:cs="Arial"/>
          <w:sz w:val="24"/>
          <w:szCs w:val="24"/>
        </w:rPr>
        <w:t xml:space="preserve"> o</w:t>
      </w:r>
      <w:r w:rsidRPr="00691B8E">
        <w:rPr>
          <w:rFonts w:ascii="Arial" w:hAnsi="Arial" w:cs="Arial"/>
          <w:sz w:val="24"/>
          <w:szCs w:val="24"/>
        </w:rPr>
        <w:t xml:space="preserve"> Novo CP</w:t>
      </w:r>
      <w:r>
        <w:rPr>
          <w:rFonts w:ascii="Arial" w:hAnsi="Arial" w:cs="Arial"/>
          <w:sz w:val="24"/>
          <w:szCs w:val="24"/>
        </w:rPr>
        <w:t>C e a força dos precedentes no d</w:t>
      </w:r>
      <w:r w:rsidRPr="00691B8E">
        <w:rPr>
          <w:rFonts w:ascii="Arial" w:hAnsi="Arial" w:cs="Arial"/>
          <w:sz w:val="24"/>
          <w:szCs w:val="24"/>
        </w:rPr>
        <w:t>ireito brasileiro</w:t>
      </w:r>
      <w:r>
        <w:rPr>
          <w:rFonts w:ascii="Arial" w:hAnsi="Arial" w:cs="Arial"/>
          <w:sz w:val="24"/>
          <w:szCs w:val="24"/>
        </w:rPr>
        <w:t xml:space="preserve">. </w:t>
      </w:r>
      <w:r w:rsidRPr="009E27CA">
        <w:rPr>
          <w:rFonts w:ascii="Arial" w:hAnsi="Arial" w:cs="Arial"/>
          <w:i/>
          <w:sz w:val="24"/>
          <w:szCs w:val="24"/>
        </w:rPr>
        <w:t>In:</w:t>
      </w:r>
      <w:r>
        <w:rPr>
          <w:rFonts w:ascii="Arial" w:hAnsi="Arial" w:cs="Arial"/>
          <w:sz w:val="24"/>
          <w:szCs w:val="24"/>
        </w:rPr>
        <w:t xml:space="preserve"> Jota. Disponível em: &lt;</w:t>
      </w:r>
      <w:r w:rsidRPr="00691B8E">
        <w:t xml:space="preserve"> </w:t>
      </w:r>
      <w:hyperlink r:id="rId27" w:history="1">
        <w:r w:rsidRPr="0044036E">
          <w:rPr>
            <w:rStyle w:val="Hyperlink"/>
            <w:rFonts w:ascii="Arial" w:hAnsi="Arial" w:cs="Arial"/>
            <w:sz w:val="24"/>
            <w:szCs w:val="24"/>
          </w:rPr>
          <w:t>https://jota.info/artigos/serie-os-precedentes-no-novo-cpc-08032016</w:t>
        </w:r>
      </w:hyperlink>
      <w:r w:rsidRPr="00300832">
        <w:rPr>
          <w:rFonts w:ascii="Arial" w:hAnsi="Arial" w:cs="Arial"/>
          <w:sz w:val="24"/>
          <w:szCs w:val="24"/>
        </w:rPr>
        <w:t>&gt;. Acesso em:</w:t>
      </w:r>
      <w:r>
        <w:rPr>
          <w:rFonts w:ascii="Arial" w:hAnsi="Arial" w:cs="Arial"/>
          <w:sz w:val="24"/>
          <w:szCs w:val="24"/>
        </w:rPr>
        <w:t xml:space="preserve"> 11 abr. 2017</w:t>
      </w:r>
      <w:r w:rsidR="008E09F7">
        <w:rPr>
          <w:rFonts w:ascii="Arial" w:hAnsi="Arial" w:cs="Arial"/>
          <w:sz w:val="24"/>
          <w:szCs w:val="24"/>
        </w:rPr>
        <w:t>.</w:t>
      </w:r>
    </w:p>
    <w:p w14:paraId="3EA3E475" w14:textId="77777777" w:rsidR="00300832" w:rsidRPr="005B60AC" w:rsidRDefault="00300832" w:rsidP="00802670">
      <w:pPr>
        <w:tabs>
          <w:tab w:val="left" w:pos="851"/>
          <w:tab w:val="left" w:pos="8364"/>
          <w:tab w:val="left" w:pos="8789"/>
        </w:tabs>
        <w:spacing w:after="0" w:line="240" w:lineRule="auto"/>
        <w:jc w:val="both"/>
        <w:rPr>
          <w:rFonts w:ascii="Arial" w:hAnsi="Arial" w:cs="Arial"/>
          <w:sz w:val="24"/>
          <w:szCs w:val="24"/>
        </w:rPr>
      </w:pPr>
    </w:p>
    <w:p w14:paraId="3864D2B1" w14:textId="77777777" w:rsidR="00DF0CA9" w:rsidRPr="005B60AC" w:rsidRDefault="00DF0CA9" w:rsidP="00802670">
      <w:pPr>
        <w:tabs>
          <w:tab w:val="left" w:pos="851"/>
          <w:tab w:val="left" w:pos="8364"/>
          <w:tab w:val="left" w:pos="8789"/>
        </w:tabs>
        <w:spacing w:after="0" w:line="240" w:lineRule="auto"/>
        <w:jc w:val="both"/>
        <w:rPr>
          <w:rFonts w:ascii="Arial" w:hAnsi="Arial" w:cs="Arial"/>
          <w:sz w:val="24"/>
          <w:szCs w:val="24"/>
        </w:rPr>
      </w:pPr>
    </w:p>
    <w:p w14:paraId="7716A7FE" w14:textId="32B0D683" w:rsidR="00DF0CA9" w:rsidRDefault="00DF0CA9" w:rsidP="00802670">
      <w:pPr>
        <w:tabs>
          <w:tab w:val="left" w:pos="851"/>
          <w:tab w:val="left" w:pos="8364"/>
          <w:tab w:val="left" w:pos="8789"/>
        </w:tabs>
        <w:spacing w:after="0" w:line="240" w:lineRule="auto"/>
        <w:jc w:val="both"/>
        <w:rPr>
          <w:rFonts w:ascii="Arial" w:hAnsi="Arial" w:cs="Arial"/>
          <w:sz w:val="24"/>
          <w:szCs w:val="24"/>
        </w:rPr>
      </w:pPr>
      <w:r w:rsidRPr="005B60AC">
        <w:rPr>
          <w:rFonts w:ascii="Arial" w:hAnsi="Arial" w:cs="Arial"/>
          <w:sz w:val="24"/>
          <w:szCs w:val="24"/>
        </w:rPr>
        <w:t xml:space="preserve">NEVES, Daniel Amorim Assumpção. </w:t>
      </w:r>
      <w:r w:rsidRPr="005B60AC">
        <w:rPr>
          <w:rFonts w:ascii="Arial" w:hAnsi="Arial" w:cs="Arial"/>
          <w:b/>
          <w:sz w:val="24"/>
          <w:szCs w:val="24"/>
        </w:rPr>
        <w:t>Novo Código de Processo Civil comentado</w:t>
      </w:r>
      <w:r w:rsidRPr="005B60AC">
        <w:rPr>
          <w:rFonts w:ascii="Arial" w:hAnsi="Arial" w:cs="Arial"/>
          <w:sz w:val="24"/>
          <w:szCs w:val="24"/>
        </w:rPr>
        <w:t xml:space="preserve">. Salvador: </w:t>
      </w:r>
      <w:proofErr w:type="spellStart"/>
      <w:r w:rsidRPr="005B60AC">
        <w:rPr>
          <w:rFonts w:ascii="Arial" w:hAnsi="Arial" w:cs="Arial"/>
          <w:sz w:val="24"/>
          <w:szCs w:val="24"/>
        </w:rPr>
        <w:t>JusPodivm</w:t>
      </w:r>
      <w:proofErr w:type="spellEnd"/>
      <w:r w:rsidRPr="005B60AC">
        <w:rPr>
          <w:rFonts w:ascii="Arial" w:hAnsi="Arial" w:cs="Arial"/>
          <w:sz w:val="24"/>
          <w:szCs w:val="24"/>
        </w:rPr>
        <w:t>, 2016.</w:t>
      </w:r>
    </w:p>
    <w:p w14:paraId="67A26EC1" w14:textId="77777777" w:rsidR="00300832" w:rsidRDefault="00300832" w:rsidP="00802670">
      <w:pPr>
        <w:tabs>
          <w:tab w:val="left" w:pos="851"/>
          <w:tab w:val="left" w:pos="8364"/>
          <w:tab w:val="left" w:pos="8789"/>
        </w:tabs>
        <w:spacing w:after="0" w:line="240" w:lineRule="auto"/>
        <w:jc w:val="both"/>
        <w:rPr>
          <w:rFonts w:ascii="Arial" w:hAnsi="Arial" w:cs="Arial"/>
          <w:sz w:val="24"/>
          <w:szCs w:val="24"/>
        </w:rPr>
      </w:pPr>
    </w:p>
    <w:p w14:paraId="0BC14A21" w14:textId="0296150C" w:rsidR="00300832" w:rsidRPr="009E27CA" w:rsidRDefault="00300832" w:rsidP="00300832">
      <w:pPr>
        <w:tabs>
          <w:tab w:val="left" w:pos="851"/>
          <w:tab w:val="left" w:pos="8364"/>
          <w:tab w:val="left" w:pos="8789"/>
        </w:tabs>
        <w:spacing w:after="0" w:line="240" w:lineRule="auto"/>
        <w:jc w:val="both"/>
        <w:rPr>
          <w:rFonts w:ascii="Arial" w:hAnsi="Arial" w:cs="Arial"/>
          <w:sz w:val="24"/>
          <w:szCs w:val="24"/>
        </w:rPr>
      </w:pPr>
      <w:r w:rsidRPr="00691B8E">
        <w:rPr>
          <w:rFonts w:ascii="Arial" w:hAnsi="Arial" w:cs="Arial"/>
          <w:sz w:val="24"/>
          <w:szCs w:val="24"/>
        </w:rPr>
        <w:t>VALORIZAÇÃO de precedentes jurisprudenciais é destaque do novo CPC que entra em vigor hoje</w:t>
      </w:r>
      <w:r>
        <w:rPr>
          <w:rFonts w:ascii="Arial" w:hAnsi="Arial" w:cs="Arial"/>
          <w:sz w:val="24"/>
          <w:szCs w:val="24"/>
        </w:rPr>
        <w:t>. Disponível em: &lt;</w:t>
      </w:r>
      <w:r w:rsidRPr="00691B8E">
        <w:t xml:space="preserve"> </w:t>
      </w:r>
      <w:r w:rsidRPr="00691B8E">
        <w:rPr>
          <w:rFonts w:ascii="Arial" w:hAnsi="Arial" w:cs="Arial"/>
          <w:sz w:val="24"/>
          <w:szCs w:val="24"/>
        </w:rPr>
        <w:t>https://coad.jusbrasil.com.br/noticias/315768762/valorizacao-de-precedentes-jurisprudenciais-e-destaque-do-novo-cpc-que-entra-em-vigor-hoje</w:t>
      </w:r>
      <w:r>
        <w:rPr>
          <w:rFonts w:ascii="Arial" w:hAnsi="Arial" w:cs="Arial"/>
          <w:sz w:val="24"/>
          <w:szCs w:val="24"/>
        </w:rPr>
        <w:t xml:space="preserve">&gt;. </w:t>
      </w:r>
      <w:r w:rsidRPr="00300832">
        <w:rPr>
          <w:rFonts w:ascii="Arial" w:hAnsi="Arial" w:cs="Arial"/>
          <w:sz w:val="24"/>
          <w:szCs w:val="24"/>
        </w:rPr>
        <w:t>Acesso em: 11</w:t>
      </w:r>
      <w:r>
        <w:rPr>
          <w:rFonts w:ascii="Arial" w:hAnsi="Arial" w:cs="Arial"/>
          <w:sz w:val="24"/>
          <w:szCs w:val="24"/>
        </w:rPr>
        <w:t xml:space="preserve"> abr. 2017</w:t>
      </w:r>
      <w:r w:rsidR="008E09F7">
        <w:rPr>
          <w:rFonts w:ascii="Arial" w:hAnsi="Arial" w:cs="Arial"/>
          <w:sz w:val="24"/>
          <w:szCs w:val="24"/>
        </w:rPr>
        <w:t>.</w:t>
      </w:r>
    </w:p>
    <w:p w14:paraId="5D7FD2A7" w14:textId="77777777" w:rsidR="00300832" w:rsidRPr="005B60AC" w:rsidRDefault="00300832" w:rsidP="00802670">
      <w:pPr>
        <w:tabs>
          <w:tab w:val="left" w:pos="851"/>
          <w:tab w:val="left" w:pos="8364"/>
          <w:tab w:val="left" w:pos="8789"/>
        </w:tabs>
        <w:spacing w:after="0" w:line="240" w:lineRule="auto"/>
        <w:jc w:val="both"/>
        <w:rPr>
          <w:rFonts w:ascii="Arial" w:hAnsi="Arial" w:cs="Arial"/>
          <w:sz w:val="24"/>
          <w:szCs w:val="24"/>
        </w:rPr>
      </w:pPr>
    </w:p>
    <w:p w14:paraId="2D83A435" w14:textId="77777777" w:rsidR="00DF0CA9" w:rsidRPr="005B60AC" w:rsidRDefault="00DF0CA9" w:rsidP="005B60AC">
      <w:pPr>
        <w:tabs>
          <w:tab w:val="left" w:pos="851"/>
          <w:tab w:val="left" w:pos="8364"/>
          <w:tab w:val="left" w:pos="8789"/>
        </w:tabs>
        <w:spacing w:after="0" w:line="240" w:lineRule="auto"/>
        <w:jc w:val="both"/>
        <w:rPr>
          <w:rFonts w:ascii="Arial" w:hAnsi="Arial" w:cs="Arial"/>
          <w:sz w:val="24"/>
          <w:szCs w:val="24"/>
        </w:rPr>
      </w:pPr>
    </w:p>
    <w:p w14:paraId="0E31C36F" w14:textId="18BEEB1B" w:rsidR="007236BD" w:rsidRPr="005B60AC" w:rsidRDefault="008E09F7" w:rsidP="005B60AC">
      <w:pPr>
        <w:tabs>
          <w:tab w:val="left" w:pos="851"/>
          <w:tab w:val="left" w:pos="8364"/>
          <w:tab w:val="left" w:pos="8789"/>
        </w:tabs>
        <w:spacing w:after="0" w:line="240" w:lineRule="auto"/>
        <w:jc w:val="both"/>
        <w:rPr>
          <w:rFonts w:ascii="Arial" w:hAnsi="Arial" w:cs="Arial"/>
          <w:sz w:val="24"/>
          <w:szCs w:val="24"/>
        </w:rPr>
      </w:pPr>
      <w:r>
        <w:rPr>
          <w:rFonts w:ascii="Arial" w:hAnsi="Arial" w:cs="Arial"/>
          <w:sz w:val="24"/>
          <w:szCs w:val="24"/>
        </w:rPr>
        <w:t>WAMBIER, Teresa Arruda Alvim;</w:t>
      </w:r>
      <w:r w:rsidR="007236BD" w:rsidRPr="005B60AC">
        <w:rPr>
          <w:rFonts w:ascii="Arial" w:hAnsi="Arial" w:cs="Arial"/>
          <w:sz w:val="24"/>
          <w:szCs w:val="24"/>
        </w:rPr>
        <w:t xml:space="preserve"> DANTAS, Bruno. </w:t>
      </w:r>
      <w:r w:rsidR="007236BD" w:rsidRPr="005B60AC">
        <w:rPr>
          <w:rFonts w:ascii="Arial" w:hAnsi="Arial" w:cs="Arial"/>
          <w:b/>
          <w:sz w:val="24"/>
          <w:szCs w:val="24"/>
        </w:rPr>
        <w:t>Recurso especial, recurso extraordinário e a nova função dos tribunais superiores no direito brasileiro</w:t>
      </w:r>
      <w:r w:rsidR="007236BD" w:rsidRPr="005B60AC">
        <w:rPr>
          <w:rFonts w:ascii="Arial" w:hAnsi="Arial" w:cs="Arial"/>
          <w:sz w:val="24"/>
          <w:szCs w:val="24"/>
        </w:rPr>
        <w:t>. São Paulo: Revista dos Tribunais, 2016.</w:t>
      </w:r>
    </w:p>
    <w:p w14:paraId="2BEA3570" w14:textId="77777777" w:rsidR="007236BD" w:rsidRPr="005B60AC" w:rsidRDefault="007236BD" w:rsidP="00F728E5">
      <w:pPr>
        <w:tabs>
          <w:tab w:val="left" w:pos="851"/>
        </w:tabs>
        <w:spacing w:after="0" w:line="240" w:lineRule="auto"/>
        <w:jc w:val="both"/>
        <w:rPr>
          <w:rFonts w:ascii="Arial" w:hAnsi="Arial" w:cs="Arial"/>
          <w:sz w:val="24"/>
          <w:szCs w:val="24"/>
        </w:rPr>
      </w:pPr>
    </w:p>
    <w:p w14:paraId="10F7132C" w14:textId="77777777" w:rsidR="007236BD" w:rsidRPr="005B60AC" w:rsidRDefault="007236BD" w:rsidP="00F728E5">
      <w:pPr>
        <w:tabs>
          <w:tab w:val="left" w:pos="851"/>
        </w:tabs>
        <w:spacing w:after="0" w:line="240" w:lineRule="auto"/>
        <w:jc w:val="both"/>
        <w:rPr>
          <w:rFonts w:ascii="Arial" w:hAnsi="Arial" w:cs="Arial"/>
          <w:sz w:val="24"/>
          <w:szCs w:val="24"/>
        </w:rPr>
      </w:pPr>
    </w:p>
    <w:p w14:paraId="72057C10" w14:textId="77777777" w:rsidR="00DF0CA9" w:rsidRPr="005B60AC" w:rsidRDefault="00DF0CA9" w:rsidP="00F728E5">
      <w:pPr>
        <w:tabs>
          <w:tab w:val="left" w:pos="851"/>
          <w:tab w:val="left" w:pos="8364"/>
          <w:tab w:val="left" w:pos="8789"/>
        </w:tabs>
        <w:spacing w:after="0" w:line="240" w:lineRule="auto"/>
        <w:jc w:val="both"/>
        <w:rPr>
          <w:rFonts w:ascii="Arial" w:hAnsi="Arial" w:cs="Arial"/>
          <w:sz w:val="24"/>
          <w:szCs w:val="24"/>
        </w:rPr>
      </w:pPr>
    </w:p>
    <w:p w14:paraId="4AFB2129" w14:textId="77777777" w:rsidR="007236BD" w:rsidRPr="003464F6" w:rsidRDefault="007236BD" w:rsidP="004D716F">
      <w:pPr>
        <w:tabs>
          <w:tab w:val="left" w:pos="851"/>
          <w:tab w:val="left" w:pos="8364"/>
          <w:tab w:val="left" w:pos="8789"/>
        </w:tabs>
        <w:spacing w:before="120" w:after="120" w:line="360" w:lineRule="auto"/>
        <w:jc w:val="both"/>
        <w:rPr>
          <w:rFonts w:ascii="Arial" w:hAnsi="Arial" w:cs="Arial"/>
          <w:sz w:val="24"/>
          <w:szCs w:val="24"/>
        </w:rPr>
      </w:pPr>
      <w:bookmarkStart w:id="48" w:name="_GoBack"/>
      <w:bookmarkEnd w:id="48"/>
    </w:p>
    <w:sectPr w:rsidR="007236BD" w:rsidRPr="003464F6" w:rsidSect="005533F4">
      <w:headerReference w:type="default" r:id="rId28"/>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a Aparecida Serejo de Souza Lima" w:date="2017-04-10T19:27:00Z" w:initials="MASdSL">
    <w:p w14:paraId="537AC3B6" w14:textId="77777777" w:rsidR="00E849ED" w:rsidRDefault="00E849ED">
      <w:pPr>
        <w:pStyle w:val="Textodecomentrio"/>
      </w:pPr>
      <w:r>
        <w:rPr>
          <w:rStyle w:val="Refdecomentrio"/>
        </w:rPr>
        <w:annotationRef/>
      </w:r>
      <w:r>
        <w:t>Diagramação – colocar imagem do STF</w:t>
      </w:r>
    </w:p>
  </w:comment>
  <w:comment w:id="1" w:author="Rafaela Bezerra Espindola Rodrigues" w:date="2017-04-10T19:27:00Z" w:initials="RBER">
    <w:p w14:paraId="27B3124F" w14:textId="77777777" w:rsidR="00820BBD" w:rsidRDefault="00820BBD">
      <w:pPr>
        <w:pStyle w:val="Textodecomentrio"/>
      </w:pPr>
      <w:r>
        <w:rPr>
          <w:rStyle w:val="Refdecomentrio"/>
        </w:rPr>
        <w:annotationRef/>
      </w:r>
      <w:r>
        <w:t>Diagramação – cabe aqui um link direto para a CF online para acesso rápido do aluno durante a aula.</w:t>
      </w:r>
    </w:p>
  </w:comment>
  <w:comment w:id="2" w:author="Mariana Aparecida Serejo de Souza Lima" w:date="2017-04-10T19:27:00Z" w:initials="MASdSL">
    <w:p w14:paraId="1BD21779" w14:textId="77777777" w:rsidR="00176727" w:rsidRDefault="00176727">
      <w:pPr>
        <w:pStyle w:val="Textodecomentrio"/>
      </w:pPr>
      <w:r>
        <w:rPr>
          <w:rStyle w:val="Refdecomentrio"/>
        </w:rPr>
        <w:annotationRef/>
      </w:r>
      <w:r>
        <w:t xml:space="preserve">Diagramação: inserir link sobre a composição do tribunal - </w:t>
      </w:r>
      <w:hyperlink r:id="rId1" w:history="1">
        <w:r w:rsidRPr="00825294">
          <w:rPr>
            <w:rStyle w:val="Hyperlink"/>
          </w:rPr>
          <w:t>http://www.stf.jus.br/portal/cms/verTexto.asp?servico=sobreStfComposicaoComposicaoPlenariaApresentacao</w:t>
        </w:r>
      </w:hyperlink>
      <w:r>
        <w:t xml:space="preserve"> </w:t>
      </w:r>
    </w:p>
  </w:comment>
  <w:comment w:id="3" w:author="Rafaela Bezerra Espindola Rodrigues" w:date="2017-04-10T19:27:00Z" w:initials="RBER">
    <w:p w14:paraId="65DB4E54" w14:textId="77777777" w:rsidR="00820BBD" w:rsidRDefault="00820BBD">
      <w:pPr>
        <w:pStyle w:val="Textodecomentrio"/>
      </w:pPr>
      <w:r>
        <w:rPr>
          <w:rStyle w:val="Refdecomentrio"/>
        </w:rPr>
        <w:annotationRef/>
      </w:r>
      <w:r>
        <w:t>Equipe da Diagramação:  colocar no fundo algum sombreado/imagem de folha de livro</w:t>
      </w:r>
      <w:proofErr w:type="gramStart"/>
      <w:r>
        <w:t xml:space="preserve"> ..</w:t>
      </w:r>
      <w:proofErr w:type="gramEnd"/>
      <w:r>
        <w:t>e se possível com a imagem do STF ....tentar diferenciar os incisos I, II e III com cores diferentes...</w:t>
      </w:r>
    </w:p>
  </w:comment>
  <w:comment w:id="37" w:author="Mariana Aparecida Serejo de Souza Lima" w:date="2017-04-10T19:27:00Z" w:initials="MASdSL">
    <w:p w14:paraId="2958D066" w14:textId="77777777" w:rsidR="003E3A64" w:rsidRDefault="003E3A64">
      <w:pPr>
        <w:pStyle w:val="Textodecomentrio"/>
      </w:pPr>
      <w:r>
        <w:rPr>
          <w:rStyle w:val="Refdecomentrio"/>
        </w:rPr>
        <w:annotationRef/>
      </w:r>
      <w:r>
        <w:t>Diagramação: criar quadro para colocar a explicação.</w:t>
      </w:r>
    </w:p>
  </w:comment>
  <w:comment w:id="38" w:author="Rafaela Bezerra Espindola Rodrigues" w:date="2017-04-10T19:27:00Z" w:initials="RBER">
    <w:p w14:paraId="4F3F9166" w14:textId="77777777" w:rsidR="005D19C1" w:rsidRDefault="005D19C1">
      <w:pPr>
        <w:pStyle w:val="Textodecomentrio"/>
      </w:pPr>
      <w:r>
        <w:rPr>
          <w:rStyle w:val="Refdecomentrio"/>
        </w:rPr>
        <w:annotationRef/>
      </w:r>
      <w:r>
        <w:t>Diagramação: colocar link para o NCPC</w:t>
      </w:r>
    </w:p>
  </w:comment>
  <w:comment w:id="39" w:author="Rafaela Bezerra Espindola Rodrigues" w:date="2017-04-10T19:27:00Z" w:initials="RBER">
    <w:p w14:paraId="54B9E6AC" w14:textId="77777777" w:rsidR="00BF47AB" w:rsidRDefault="00BF47AB">
      <w:pPr>
        <w:pStyle w:val="Textodecomentrio"/>
      </w:pPr>
      <w:r>
        <w:rPr>
          <w:rStyle w:val="Refdecomentrio"/>
        </w:rPr>
        <w:annotationRef/>
      </w:r>
      <w:r>
        <w:t>Equipe da Diagramação: criar um layout similar para cada bloco de precedente citado.</w:t>
      </w:r>
    </w:p>
  </w:comment>
  <w:comment w:id="40" w:author="Mariana Aparecida Serejo de Souza Lima" w:date="2017-04-10T19:27:00Z" w:initials="MASdSL">
    <w:p w14:paraId="7AD32E8B" w14:textId="77777777" w:rsidR="00C56AFF" w:rsidRDefault="00C56AFF">
      <w:pPr>
        <w:pStyle w:val="Textodecomentrio"/>
      </w:pPr>
      <w:r>
        <w:rPr>
          <w:rStyle w:val="Refdecomentrio"/>
        </w:rPr>
        <w:annotationRef/>
      </w:r>
      <w:r>
        <w:t>Diagramação: criar quadro para a explicação do termo</w:t>
      </w:r>
    </w:p>
  </w:comment>
  <w:comment w:id="41" w:author="Mariana Aparecida Serejo de Souza Lima" w:date="2017-04-10T19:27:00Z" w:initials="MASdSL">
    <w:p w14:paraId="12AD9770" w14:textId="77777777" w:rsidR="00C56AFF" w:rsidRDefault="00C56AFF" w:rsidP="00C56AFF">
      <w:pPr>
        <w:pStyle w:val="Textodecomentrio"/>
      </w:pPr>
      <w:r>
        <w:rPr>
          <w:rStyle w:val="Refdecomentrio"/>
        </w:rPr>
        <w:annotationRef/>
      </w:r>
      <w:r>
        <w:t>Diagramação: criar quadro para a explicação do termo</w:t>
      </w:r>
    </w:p>
    <w:p w14:paraId="289770CA" w14:textId="77777777" w:rsidR="00C56AFF" w:rsidRDefault="00C56AFF">
      <w:pPr>
        <w:pStyle w:val="Textodecomentrio"/>
      </w:pPr>
    </w:p>
  </w:comment>
  <w:comment w:id="42" w:author="Mariana Aparecida Serejo de Souza Lima" w:date="2017-04-10T19:27:00Z" w:initials="MASdSL">
    <w:p w14:paraId="54CECBB3" w14:textId="77777777" w:rsidR="00C56AFF" w:rsidRDefault="00C56AFF">
      <w:pPr>
        <w:pStyle w:val="Textodecomentrio"/>
      </w:pPr>
      <w:r>
        <w:rPr>
          <w:rStyle w:val="Refdecomentrio"/>
        </w:rPr>
        <w:annotationRef/>
      </w:r>
      <w:r>
        <w:t>Diagramação: criar espaço de destaque</w:t>
      </w:r>
    </w:p>
  </w:comment>
  <w:comment w:id="43" w:author="Rafaela Bezerra Espindola Rodrigues" w:date="2017-04-10T19:27:00Z" w:initials="RBER">
    <w:p w14:paraId="1C697576" w14:textId="77777777" w:rsidR="00E8433D" w:rsidRDefault="00E8433D">
      <w:pPr>
        <w:pStyle w:val="Textodecomentrio"/>
      </w:pPr>
      <w:r>
        <w:rPr>
          <w:rStyle w:val="Refdecomentrio"/>
        </w:rPr>
        <w:annotationRef/>
      </w:r>
      <w:r>
        <w:t xml:space="preserve">Diagramação: </w:t>
      </w:r>
      <w:proofErr w:type="gramStart"/>
      <w:r>
        <w:t>o “leituras complementares”</w:t>
      </w:r>
      <w:proofErr w:type="gramEnd"/>
      <w:r>
        <w:t xml:space="preserve"> </w:t>
      </w:r>
      <w:r w:rsidR="000F4537">
        <w:t xml:space="preserve">é </w:t>
      </w:r>
      <w:r>
        <w:t>até aqui.</w:t>
      </w:r>
    </w:p>
  </w:comment>
  <w:comment w:id="44" w:author="Mariana Aparecida Serejo de Souza Lima" w:date="2017-04-10T19:27:00Z" w:initials="MASdSL">
    <w:p w14:paraId="14CBE4C5" w14:textId="77777777" w:rsidR="001C2562" w:rsidRDefault="001C2562">
      <w:pPr>
        <w:pStyle w:val="Textodecomentrio"/>
      </w:pPr>
      <w:r>
        <w:rPr>
          <w:rStyle w:val="Refdecomentrio"/>
        </w:rPr>
        <w:annotationRef/>
      </w:r>
      <w:r>
        <w:t xml:space="preserve">Diagramação: Foto e resumo do </w:t>
      </w:r>
      <w:proofErr w:type="spellStart"/>
      <w:r>
        <w:t>curriículo</w:t>
      </w:r>
      <w:proofErr w:type="spellEnd"/>
    </w:p>
  </w:comment>
  <w:comment w:id="45" w:author="Mariana Aparecida Serejo de Souza Lima" w:date="2017-04-10T19:27:00Z" w:initials="MASdSL">
    <w:p w14:paraId="6D14162E" w14:textId="77777777" w:rsidR="001C2562" w:rsidRDefault="001C2562">
      <w:pPr>
        <w:pStyle w:val="Textodecomentrio"/>
      </w:pPr>
      <w:r>
        <w:rPr>
          <w:rStyle w:val="Refdecomentrio"/>
        </w:rPr>
        <w:annotationRef/>
      </w:r>
      <w:r>
        <w:t xml:space="preserve">Diagramação: criar espaço específico </w:t>
      </w:r>
    </w:p>
  </w:comment>
  <w:comment w:id="46" w:author="Rafaela Bezerra Espindola Rodrigues" w:date="2017-04-10T19:27:00Z" w:initials="RBER">
    <w:p w14:paraId="36A3E0E4" w14:textId="77777777" w:rsidR="008A6EE7" w:rsidRDefault="008A6EE7" w:rsidP="008A6EE7">
      <w:pPr>
        <w:pStyle w:val="Textodecomentrio"/>
      </w:pPr>
      <w:r>
        <w:rPr>
          <w:rStyle w:val="Refdecomentrio"/>
        </w:rPr>
        <w:annotationRef/>
      </w:r>
      <w:r>
        <w:t xml:space="preserve">Diagramação: Foto e resumo do </w:t>
      </w:r>
      <w:proofErr w:type="spellStart"/>
      <w:r>
        <w:t>curriículo</w:t>
      </w:r>
      <w:proofErr w:type="spellEnd"/>
    </w:p>
    <w:p w14:paraId="47F7602C" w14:textId="77777777" w:rsidR="008A6EE7" w:rsidRDefault="008A6EE7">
      <w:pPr>
        <w:pStyle w:val="Textodecomentrio"/>
      </w:pPr>
    </w:p>
  </w:comment>
  <w:comment w:id="47" w:author="Rafaela Bezerra Espindola Rodrigues" w:date="2017-04-10T19:27:00Z" w:initials="RBER">
    <w:p w14:paraId="78314D8D" w14:textId="77777777" w:rsidR="008A6EE7" w:rsidRDefault="008A6EE7">
      <w:pPr>
        <w:pStyle w:val="Textodecomentrio"/>
      </w:pPr>
      <w:r>
        <w:rPr>
          <w:rStyle w:val="Refdecomentrio"/>
        </w:rPr>
        <w:annotationRef/>
      </w:r>
      <w:r w:rsidR="005740D4">
        <w:t xml:space="preserve">Diagramação: </w:t>
      </w:r>
      <w:r>
        <w:t>Inserir link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7AC3B6" w15:done="0"/>
  <w15:commentEx w15:paraId="27B3124F" w15:done="0"/>
  <w15:commentEx w15:paraId="1BD21779" w15:done="0"/>
  <w15:commentEx w15:paraId="65DB4E54" w15:done="0"/>
  <w15:commentEx w15:paraId="2958D066" w15:done="0"/>
  <w15:commentEx w15:paraId="4F3F9166" w15:done="0"/>
  <w15:commentEx w15:paraId="54B9E6AC" w15:done="0"/>
  <w15:commentEx w15:paraId="7AD32E8B" w15:done="0"/>
  <w15:commentEx w15:paraId="289770CA" w15:done="0"/>
  <w15:commentEx w15:paraId="54CECBB3" w15:done="0"/>
  <w15:commentEx w15:paraId="1C697576" w15:done="0"/>
  <w15:commentEx w15:paraId="14CBE4C5" w15:done="0"/>
  <w15:commentEx w15:paraId="6D14162E" w15:done="0"/>
  <w15:commentEx w15:paraId="47F7602C" w15:done="0"/>
  <w15:commentEx w15:paraId="78314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FD1AB" w14:textId="77777777" w:rsidR="000154E1" w:rsidRDefault="000154E1" w:rsidP="00B01693">
      <w:pPr>
        <w:spacing w:after="0" w:line="240" w:lineRule="auto"/>
      </w:pPr>
      <w:r>
        <w:separator/>
      </w:r>
    </w:p>
  </w:endnote>
  <w:endnote w:type="continuationSeparator" w:id="0">
    <w:p w14:paraId="4B697693" w14:textId="77777777" w:rsidR="000154E1" w:rsidRDefault="000154E1" w:rsidP="00B0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C1FE7" w14:textId="77777777" w:rsidR="000154E1" w:rsidRDefault="000154E1" w:rsidP="00B01693">
      <w:pPr>
        <w:spacing w:after="0" w:line="240" w:lineRule="auto"/>
      </w:pPr>
      <w:r>
        <w:separator/>
      </w:r>
    </w:p>
  </w:footnote>
  <w:footnote w:type="continuationSeparator" w:id="0">
    <w:p w14:paraId="1EC4EFA2" w14:textId="77777777" w:rsidR="000154E1" w:rsidRDefault="000154E1" w:rsidP="00B01693">
      <w:pPr>
        <w:spacing w:after="0" w:line="240" w:lineRule="auto"/>
      </w:pPr>
      <w:r>
        <w:continuationSeparator/>
      </w:r>
    </w:p>
  </w:footnote>
  <w:footnote w:id="1">
    <w:p w14:paraId="696C85D1" w14:textId="47D2F2CC" w:rsidR="00545F1F" w:rsidRPr="00545F1F" w:rsidRDefault="00545F1F" w:rsidP="00545F1F">
      <w:pPr>
        <w:pStyle w:val="Textodenotaderodap"/>
        <w:spacing w:line="276" w:lineRule="auto"/>
        <w:jc w:val="both"/>
        <w:rPr>
          <w:rFonts w:ascii="Arial" w:hAnsi="Arial" w:cs="Arial"/>
        </w:rPr>
      </w:pPr>
      <w:r w:rsidRPr="00545F1F">
        <w:rPr>
          <w:rStyle w:val="Refdenotaderodap"/>
          <w:rFonts w:ascii="Arial" w:hAnsi="Arial" w:cs="Arial"/>
        </w:rPr>
        <w:footnoteRef/>
      </w:r>
      <w:r w:rsidRPr="00545F1F">
        <w:rPr>
          <w:rFonts w:ascii="Arial" w:hAnsi="Arial" w:cs="Arial"/>
        </w:rPr>
        <w:t xml:space="preserve"> </w:t>
      </w:r>
      <w:proofErr w:type="spellStart"/>
      <w:r w:rsidRPr="00545F1F">
        <w:rPr>
          <w:rFonts w:ascii="Arial" w:hAnsi="Arial" w:cs="Arial"/>
          <w:i/>
        </w:rPr>
        <w:t>Exequatur</w:t>
      </w:r>
      <w:proofErr w:type="spellEnd"/>
      <w:r w:rsidRPr="00545F1F">
        <w:rPr>
          <w:rFonts w:ascii="Arial" w:hAnsi="Arial" w:cs="Arial"/>
        </w:rPr>
        <w:t xml:space="preserve"> é expressão latina que significa “execute-se, cumpra-se”. No âmbito do </w:t>
      </w:r>
      <w:r w:rsidR="000741C9">
        <w:rPr>
          <w:rFonts w:ascii="Arial" w:hAnsi="Arial" w:cs="Arial"/>
        </w:rPr>
        <w:t>D</w:t>
      </w:r>
      <w:r w:rsidRPr="00545F1F">
        <w:rPr>
          <w:rFonts w:ascii="Arial" w:hAnsi="Arial" w:cs="Arial"/>
        </w:rPr>
        <w:t xml:space="preserve">ireito </w:t>
      </w:r>
      <w:r w:rsidR="000741C9">
        <w:rPr>
          <w:rFonts w:ascii="Arial" w:hAnsi="Arial" w:cs="Arial"/>
        </w:rPr>
        <w:t>P</w:t>
      </w:r>
      <w:r w:rsidRPr="00545F1F">
        <w:rPr>
          <w:rFonts w:ascii="Arial" w:hAnsi="Arial" w:cs="Arial"/>
        </w:rPr>
        <w:t xml:space="preserve">rocessual </w:t>
      </w:r>
      <w:r w:rsidR="000741C9">
        <w:rPr>
          <w:rFonts w:ascii="Arial" w:hAnsi="Arial" w:cs="Arial"/>
        </w:rPr>
        <w:t>C</w:t>
      </w:r>
      <w:r w:rsidRPr="00545F1F">
        <w:rPr>
          <w:rFonts w:ascii="Arial" w:hAnsi="Arial" w:cs="Arial"/>
        </w:rPr>
        <w:t>ivil trata-se da autorização conferida por um Estado ao cumprimento da prática de determinado ato processual advindo de solicitação de autoridade judiciária estrangeira, especificamente em relação às cartas rogatórias. As cartas rogatórias, por sua vez, são “</w:t>
      </w:r>
      <w:r w:rsidRPr="00545F1F">
        <w:rPr>
          <w:rFonts w:ascii="Arial" w:hAnsi="Arial" w:cs="Arial"/>
          <w:i/>
        </w:rPr>
        <w:t>uma forma de comunicação entre o judiciário de países diferentes, com objetivo de obter colaboração para prática de atos processuais</w:t>
      </w:r>
      <w:r w:rsidRPr="00545F1F">
        <w:rPr>
          <w:rFonts w:ascii="Arial" w:hAnsi="Arial" w:cs="Arial"/>
        </w:rPr>
        <w:t xml:space="preserve">”. Trata-se </w:t>
      </w:r>
      <w:r w:rsidR="003641BE">
        <w:rPr>
          <w:rFonts w:ascii="Arial" w:hAnsi="Arial" w:cs="Arial"/>
        </w:rPr>
        <w:t xml:space="preserve">de </w:t>
      </w:r>
      <w:r w:rsidRPr="00545F1F">
        <w:rPr>
          <w:rFonts w:ascii="Arial" w:hAnsi="Arial" w:cs="Arial"/>
        </w:rPr>
        <w:t xml:space="preserve">instrumento jurídico de cooperação internacional entre países no campo do </w:t>
      </w:r>
      <w:r w:rsidR="000741C9">
        <w:rPr>
          <w:rFonts w:ascii="Arial" w:hAnsi="Arial" w:cs="Arial"/>
        </w:rPr>
        <w:t>D</w:t>
      </w:r>
      <w:r w:rsidRPr="00545F1F">
        <w:rPr>
          <w:rFonts w:ascii="Arial" w:hAnsi="Arial" w:cs="Arial"/>
        </w:rPr>
        <w:t xml:space="preserve">ireito </w:t>
      </w:r>
      <w:r w:rsidR="000741C9">
        <w:rPr>
          <w:rFonts w:ascii="Arial" w:hAnsi="Arial" w:cs="Arial"/>
        </w:rPr>
        <w:t>P</w:t>
      </w:r>
      <w:r w:rsidRPr="00545F1F">
        <w:rPr>
          <w:rFonts w:ascii="Arial" w:hAnsi="Arial" w:cs="Arial"/>
        </w:rPr>
        <w:t xml:space="preserve">rocessual e encontra previsão no art. 36 do Código de Processo Civil (Lei nº 13.105/2015). Quando concedido </w:t>
      </w:r>
      <w:proofErr w:type="spellStart"/>
      <w:r w:rsidRPr="00545F1F">
        <w:rPr>
          <w:rFonts w:ascii="Arial" w:hAnsi="Arial" w:cs="Arial"/>
          <w:i/>
        </w:rPr>
        <w:t>exequatur</w:t>
      </w:r>
      <w:proofErr w:type="spellEnd"/>
      <w:r w:rsidRPr="00545F1F">
        <w:rPr>
          <w:rFonts w:ascii="Arial" w:hAnsi="Arial" w:cs="Arial"/>
        </w:rPr>
        <w:t>, a carta rogatória segue para um juiz federal brasileiro</w:t>
      </w:r>
      <w:r w:rsidR="003C3256">
        <w:rPr>
          <w:rFonts w:ascii="Arial" w:hAnsi="Arial" w:cs="Arial"/>
        </w:rPr>
        <w:t>,</w:t>
      </w:r>
      <w:r w:rsidRPr="00545F1F">
        <w:rPr>
          <w:rFonts w:ascii="Arial" w:hAnsi="Arial" w:cs="Arial"/>
        </w:rPr>
        <w:t xml:space="preserve"> que promoverá seu cumprimento. Após ser cumprida, a carta rogatória é remetida de volta ao Superior Tribunal de Justiça, para que seja remetida ao seu país de origem.</w:t>
      </w:r>
      <w:r>
        <w:rPr>
          <w:rFonts w:ascii="Arial" w:hAnsi="Arial" w:cs="Arial"/>
        </w:rPr>
        <w:t xml:space="preserve"> A citação é do sítio eletrônico do Tribunal de Justiça do Distrito Federal e </w:t>
      </w:r>
      <w:r w:rsidR="003C3256">
        <w:rPr>
          <w:rFonts w:ascii="Arial" w:hAnsi="Arial" w:cs="Arial"/>
        </w:rPr>
        <w:t xml:space="preserve">dos </w:t>
      </w:r>
      <w:r>
        <w:rPr>
          <w:rFonts w:ascii="Arial" w:hAnsi="Arial" w:cs="Arial"/>
        </w:rPr>
        <w:t>Territórios, ao qual</w:t>
      </w:r>
      <w:r w:rsidR="00210DA4">
        <w:rPr>
          <w:rFonts w:ascii="Arial" w:hAnsi="Arial" w:cs="Arial"/>
        </w:rPr>
        <w:t xml:space="preserve"> </w:t>
      </w:r>
      <w:r w:rsidR="007236BD">
        <w:rPr>
          <w:rFonts w:ascii="Arial" w:hAnsi="Arial" w:cs="Arial"/>
        </w:rPr>
        <w:t xml:space="preserve">o leitor </w:t>
      </w:r>
      <w:r w:rsidR="00210DA4">
        <w:rPr>
          <w:rFonts w:ascii="Arial" w:hAnsi="Arial" w:cs="Arial"/>
        </w:rPr>
        <w:t>pode</w:t>
      </w:r>
      <w:r>
        <w:rPr>
          <w:rFonts w:ascii="Arial" w:hAnsi="Arial" w:cs="Arial"/>
        </w:rPr>
        <w:t xml:space="preserve"> se remete</w:t>
      </w:r>
      <w:r w:rsidR="00210DA4">
        <w:rPr>
          <w:rFonts w:ascii="Arial" w:hAnsi="Arial" w:cs="Arial"/>
        </w:rPr>
        <w:t>r</w:t>
      </w:r>
      <w:r>
        <w:rPr>
          <w:rFonts w:ascii="Arial" w:hAnsi="Arial" w:cs="Arial"/>
        </w:rPr>
        <w:t xml:space="preserve"> para eventuais dúvidas: </w:t>
      </w:r>
      <w:r w:rsidR="000741C9">
        <w:rPr>
          <w:rFonts w:ascii="Arial" w:hAnsi="Arial" w:cs="Arial"/>
        </w:rPr>
        <w:t>&lt;</w:t>
      </w:r>
      <w:hyperlink r:id="rId1" w:history="1">
        <w:r w:rsidRPr="00FE1AF7">
          <w:rPr>
            <w:rStyle w:val="Hyperlink"/>
            <w:rFonts w:ascii="Arial" w:hAnsi="Arial" w:cs="Arial"/>
          </w:rPr>
          <w:t>http://www.tjdft.jus.br/institucional/imprensa/direito-facil/carta-precatoria-x-carta-rogatoria-1</w:t>
        </w:r>
      </w:hyperlink>
      <w:r w:rsidR="000741C9">
        <w:rPr>
          <w:rFonts w:ascii="Arial" w:hAnsi="Arial" w:cs="Arial"/>
        </w:rPr>
        <w:t>&gt;.</w:t>
      </w:r>
    </w:p>
  </w:footnote>
  <w:footnote w:id="2">
    <w:p w14:paraId="03569ABD" w14:textId="2652E355" w:rsidR="00B01693" w:rsidRPr="00545F1F" w:rsidRDefault="00B01693" w:rsidP="00545F1F">
      <w:pPr>
        <w:pStyle w:val="Textodenotaderodap"/>
        <w:spacing w:line="276" w:lineRule="auto"/>
        <w:jc w:val="both"/>
        <w:rPr>
          <w:rFonts w:ascii="Arial" w:hAnsi="Arial" w:cs="Arial"/>
        </w:rPr>
      </w:pPr>
      <w:r w:rsidRPr="00545F1F">
        <w:rPr>
          <w:rStyle w:val="Refdenotaderodap"/>
          <w:rFonts w:ascii="Arial" w:hAnsi="Arial" w:cs="Arial"/>
        </w:rPr>
        <w:footnoteRef/>
      </w:r>
      <w:r w:rsidRPr="00545F1F">
        <w:rPr>
          <w:rFonts w:ascii="Arial" w:hAnsi="Arial" w:cs="Arial"/>
        </w:rPr>
        <w:t xml:space="preserve"> </w:t>
      </w:r>
      <w:proofErr w:type="spellStart"/>
      <w:r w:rsidR="00A54569" w:rsidRPr="00545F1F">
        <w:rPr>
          <w:rFonts w:ascii="Arial" w:hAnsi="Arial" w:cs="Arial"/>
          <w:i/>
        </w:rPr>
        <w:t>Stare</w:t>
      </w:r>
      <w:proofErr w:type="spellEnd"/>
      <w:r w:rsidR="00A54569" w:rsidRPr="00545F1F">
        <w:rPr>
          <w:rFonts w:ascii="Arial" w:hAnsi="Arial" w:cs="Arial"/>
          <w:i/>
        </w:rPr>
        <w:t xml:space="preserve"> </w:t>
      </w:r>
      <w:proofErr w:type="spellStart"/>
      <w:r w:rsidR="00A54569" w:rsidRPr="00545F1F">
        <w:rPr>
          <w:rFonts w:ascii="Arial" w:hAnsi="Arial" w:cs="Arial"/>
          <w:i/>
        </w:rPr>
        <w:t>decisis</w:t>
      </w:r>
      <w:proofErr w:type="spellEnd"/>
      <w:r w:rsidR="00A54569" w:rsidRPr="00545F1F">
        <w:rPr>
          <w:rFonts w:ascii="Arial" w:hAnsi="Arial" w:cs="Arial"/>
        </w:rPr>
        <w:t xml:space="preserve"> é expressão latina que significa “estar decidido”, passando a ideia de que determinada questão decidida deve ser respeitada, não podendo ser revisitada por qua</w:t>
      </w:r>
      <w:r w:rsidR="004379D0">
        <w:rPr>
          <w:rFonts w:ascii="Arial" w:hAnsi="Arial" w:cs="Arial"/>
        </w:rPr>
        <w:t>lquer razão. Devem ser respeita</w:t>
      </w:r>
      <w:r w:rsidR="00A54569" w:rsidRPr="00545F1F">
        <w:rPr>
          <w:rFonts w:ascii="Arial" w:hAnsi="Arial" w:cs="Arial"/>
        </w:rPr>
        <w:t>das as coisas decididas e não se deve mudar aquilo que já estabelecido. Do ponto de vista jurídico, traduz maior força vinculativa aos precedentes jurisprudenciais, dando maior vigor normativo ao entendimento reiterado dos Tribunais sobre determinada questão.</w:t>
      </w:r>
    </w:p>
  </w:footnote>
  <w:footnote w:id="3">
    <w:p w14:paraId="2C7B0925" w14:textId="77777777" w:rsidR="00B01693" w:rsidRPr="00545F1F" w:rsidRDefault="00B01693" w:rsidP="00545F1F">
      <w:pPr>
        <w:pStyle w:val="Textodenotaderodap"/>
        <w:spacing w:line="276" w:lineRule="auto"/>
        <w:jc w:val="both"/>
        <w:rPr>
          <w:rFonts w:ascii="Arial" w:hAnsi="Arial" w:cs="Arial"/>
        </w:rPr>
      </w:pPr>
      <w:r w:rsidRPr="00545F1F">
        <w:rPr>
          <w:rStyle w:val="Refdenotaderodap"/>
          <w:rFonts w:ascii="Arial" w:hAnsi="Arial" w:cs="Arial"/>
        </w:rPr>
        <w:footnoteRef/>
      </w:r>
      <w:r w:rsidRPr="00545F1F">
        <w:rPr>
          <w:rFonts w:ascii="Arial" w:hAnsi="Arial" w:cs="Arial"/>
        </w:rPr>
        <w:t xml:space="preserve"> </w:t>
      </w:r>
      <w:r w:rsidR="00A54569" w:rsidRPr="00545F1F">
        <w:rPr>
          <w:rFonts w:ascii="Arial" w:hAnsi="Arial" w:cs="Arial"/>
        </w:rPr>
        <w:t>A figura dos glosadores remonta aos Séculos XII e XIII, especialmente na Itália. Eram estudiosos da legislação</w:t>
      </w:r>
      <w:r w:rsidR="00D52B11" w:rsidRPr="00545F1F">
        <w:rPr>
          <w:rFonts w:ascii="Arial" w:hAnsi="Arial" w:cs="Arial"/>
        </w:rPr>
        <w:t xml:space="preserve"> romana (como o </w:t>
      </w:r>
      <w:r w:rsidR="00D52B11" w:rsidRPr="00545F1F">
        <w:rPr>
          <w:rFonts w:ascii="Arial" w:hAnsi="Arial" w:cs="Arial"/>
          <w:i/>
        </w:rPr>
        <w:t>Digesto</w:t>
      </w:r>
      <w:r w:rsidR="00D52B11" w:rsidRPr="00545F1F">
        <w:rPr>
          <w:rFonts w:ascii="Arial" w:hAnsi="Arial" w:cs="Arial"/>
        </w:rPr>
        <w:t xml:space="preserve"> de Justiniano) que escreviam à margem dos textos estudados suas </w:t>
      </w:r>
      <w:r w:rsidR="00D52B11" w:rsidRPr="00545F1F">
        <w:rPr>
          <w:rFonts w:ascii="Arial" w:hAnsi="Arial" w:cs="Arial"/>
          <w:i/>
        </w:rPr>
        <w:t>glosas</w:t>
      </w:r>
      <w:r w:rsidR="00D52B11" w:rsidRPr="00545F1F">
        <w:rPr>
          <w:rFonts w:ascii="Arial" w:hAnsi="Arial" w:cs="Arial"/>
        </w:rPr>
        <w:t>, que consistiam em comentários e notas explicativas do texto normativo e de seus institutos.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98797"/>
      <w:docPartObj>
        <w:docPartGallery w:val="Page Numbers (Top of Page)"/>
        <w:docPartUnique/>
      </w:docPartObj>
    </w:sdtPr>
    <w:sdtEndPr/>
    <w:sdtContent>
      <w:p w14:paraId="524D36C4" w14:textId="5B5F9E16" w:rsidR="008D40BA" w:rsidRDefault="008D40BA">
        <w:pPr>
          <w:pStyle w:val="Cabealho"/>
          <w:jc w:val="right"/>
        </w:pPr>
        <w:r>
          <w:fldChar w:fldCharType="begin"/>
        </w:r>
        <w:r>
          <w:instrText>PAGE   \* MERGEFORMAT</w:instrText>
        </w:r>
        <w:r>
          <w:fldChar w:fldCharType="separate"/>
        </w:r>
        <w:r w:rsidR="008E09F7">
          <w:rPr>
            <w:noProof/>
          </w:rPr>
          <w:t>15</w:t>
        </w:r>
        <w:r>
          <w:fldChar w:fldCharType="end"/>
        </w:r>
      </w:p>
    </w:sdtContent>
  </w:sdt>
  <w:p w14:paraId="773AEE6B" w14:textId="77777777" w:rsidR="008D40BA" w:rsidRDefault="008D40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66E47"/>
    <w:multiLevelType w:val="hybridMultilevel"/>
    <w:tmpl w:val="D09A2BF2"/>
    <w:lvl w:ilvl="0" w:tplc="0416000D">
      <w:start w:val="1"/>
      <w:numFmt w:val="bullet"/>
      <w:lvlText w:val=""/>
      <w:lvlJc w:val="left"/>
      <w:pPr>
        <w:ind w:left="1495" w:hanging="360"/>
      </w:pPr>
      <w:rPr>
        <w:rFonts w:ascii="Wingdings" w:hAnsi="Wingdings"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 w15:restartNumberingAfterBreak="0">
    <w:nsid w:val="3137513D"/>
    <w:multiLevelType w:val="hybridMultilevel"/>
    <w:tmpl w:val="66682158"/>
    <w:lvl w:ilvl="0" w:tplc="E39ED05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23C1D8C"/>
    <w:multiLevelType w:val="hybridMultilevel"/>
    <w:tmpl w:val="74020402"/>
    <w:lvl w:ilvl="0" w:tplc="1456667E">
      <w:start w:val="1"/>
      <w:numFmt w:val="decimal"/>
      <w:lvlText w:val="%1."/>
      <w:lvlJc w:val="left"/>
      <w:pPr>
        <w:ind w:left="1755" w:hanging="360"/>
      </w:pPr>
      <w:rPr>
        <w:rFonts w:ascii="Calibri" w:hAnsi="Calibri" w:cs="Calibri" w:hint="default"/>
      </w:rPr>
    </w:lvl>
    <w:lvl w:ilvl="1" w:tplc="04160019" w:tentative="1">
      <w:start w:val="1"/>
      <w:numFmt w:val="lowerLetter"/>
      <w:lvlText w:val="%2."/>
      <w:lvlJc w:val="left"/>
      <w:pPr>
        <w:ind w:left="2475" w:hanging="360"/>
      </w:pPr>
    </w:lvl>
    <w:lvl w:ilvl="2" w:tplc="0416001B" w:tentative="1">
      <w:start w:val="1"/>
      <w:numFmt w:val="lowerRoman"/>
      <w:lvlText w:val="%3."/>
      <w:lvlJc w:val="right"/>
      <w:pPr>
        <w:ind w:left="3195" w:hanging="180"/>
      </w:pPr>
    </w:lvl>
    <w:lvl w:ilvl="3" w:tplc="0416000F" w:tentative="1">
      <w:start w:val="1"/>
      <w:numFmt w:val="decimal"/>
      <w:lvlText w:val="%4."/>
      <w:lvlJc w:val="left"/>
      <w:pPr>
        <w:ind w:left="3915" w:hanging="360"/>
      </w:pPr>
    </w:lvl>
    <w:lvl w:ilvl="4" w:tplc="04160019" w:tentative="1">
      <w:start w:val="1"/>
      <w:numFmt w:val="lowerLetter"/>
      <w:lvlText w:val="%5."/>
      <w:lvlJc w:val="left"/>
      <w:pPr>
        <w:ind w:left="4635" w:hanging="360"/>
      </w:pPr>
    </w:lvl>
    <w:lvl w:ilvl="5" w:tplc="0416001B" w:tentative="1">
      <w:start w:val="1"/>
      <w:numFmt w:val="lowerRoman"/>
      <w:lvlText w:val="%6."/>
      <w:lvlJc w:val="right"/>
      <w:pPr>
        <w:ind w:left="5355" w:hanging="180"/>
      </w:pPr>
    </w:lvl>
    <w:lvl w:ilvl="6" w:tplc="0416000F" w:tentative="1">
      <w:start w:val="1"/>
      <w:numFmt w:val="decimal"/>
      <w:lvlText w:val="%7."/>
      <w:lvlJc w:val="left"/>
      <w:pPr>
        <w:ind w:left="6075" w:hanging="360"/>
      </w:pPr>
    </w:lvl>
    <w:lvl w:ilvl="7" w:tplc="04160019" w:tentative="1">
      <w:start w:val="1"/>
      <w:numFmt w:val="lowerLetter"/>
      <w:lvlText w:val="%8."/>
      <w:lvlJc w:val="left"/>
      <w:pPr>
        <w:ind w:left="6795" w:hanging="360"/>
      </w:pPr>
    </w:lvl>
    <w:lvl w:ilvl="8" w:tplc="0416001B" w:tentative="1">
      <w:start w:val="1"/>
      <w:numFmt w:val="lowerRoman"/>
      <w:lvlText w:val="%9."/>
      <w:lvlJc w:val="right"/>
      <w:pPr>
        <w:ind w:left="7515" w:hanging="180"/>
      </w:pPr>
    </w:lvl>
  </w:abstractNum>
  <w:abstractNum w:abstractNumId="3" w15:restartNumberingAfterBreak="0">
    <w:nsid w:val="53ED05A4"/>
    <w:multiLevelType w:val="multilevel"/>
    <w:tmpl w:val="93B89E12"/>
    <w:lvl w:ilvl="0">
      <w:start w:val="1"/>
      <w:numFmt w:val="decimal"/>
      <w:lvlText w:val="%1."/>
      <w:lvlJc w:val="left"/>
      <w:pPr>
        <w:ind w:left="1068"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F4"/>
    <w:rsid w:val="00003E24"/>
    <w:rsid w:val="00014D3C"/>
    <w:rsid w:val="00015031"/>
    <w:rsid w:val="000154E1"/>
    <w:rsid w:val="00021B6D"/>
    <w:rsid w:val="00030BB6"/>
    <w:rsid w:val="000473BE"/>
    <w:rsid w:val="00055B87"/>
    <w:rsid w:val="0006413C"/>
    <w:rsid w:val="000741C9"/>
    <w:rsid w:val="000B1096"/>
    <w:rsid w:val="000B5340"/>
    <w:rsid w:val="000C2C1B"/>
    <w:rsid w:val="000D6A62"/>
    <w:rsid w:val="000E7F67"/>
    <w:rsid w:val="000F4537"/>
    <w:rsid w:val="0012210C"/>
    <w:rsid w:val="00134563"/>
    <w:rsid w:val="0014093E"/>
    <w:rsid w:val="00143B17"/>
    <w:rsid w:val="00153995"/>
    <w:rsid w:val="00170461"/>
    <w:rsid w:val="00171E99"/>
    <w:rsid w:val="00176727"/>
    <w:rsid w:val="0019257F"/>
    <w:rsid w:val="001A09D4"/>
    <w:rsid w:val="001A1999"/>
    <w:rsid w:val="001A2BEB"/>
    <w:rsid w:val="001A6782"/>
    <w:rsid w:val="001A73D8"/>
    <w:rsid w:val="001B3A2E"/>
    <w:rsid w:val="001C2562"/>
    <w:rsid w:val="001F61E4"/>
    <w:rsid w:val="00200D14"/>
    <w:rsid w:val="002017D2"/>
    <w:rsid w:val="00205DE7"/>
    <w:rsid w:val="00210DA4"/>
    <w:rsid w:val="00213ED2"/>
    <w:rsid w:val="00225F13"/>
    <w:rsid w:val="00232C04"/>
    <w:rsid w:val="002365A0"/>
    <w:rsid w:val="00245E67"/>
    <w:rsid w:val="0025749E"/>
    <w:rsid w:val="00257EF9"/>
    <w:rsid w:val="00270656"/>
    <w:rsid w:val="002834C2"/>
    <w:rsid w:val="002933A1"/>
    <w:rsid w:val="00294D67"/>
    <w:rsid w:val="002A051C"/>
    <w:rsid w:val="002D3567"/>
    <w:rsid w:val="002E29CE"/>
    <w:rsid w:val="002F07E2"/>
    <w:rsid w:val="00300832"/>
    <w:rsid w:val="00307941"/>
    <w:rsid w:val="003207E6"/>
    <w:rsid w:val="003227F6"/>
    <w:rsid w:val="00327FC1"/>
    <w:rsid w:val="00335D64"/>
    <w:rsid w:val="003435A2"/>
    <w:rsid w:val="00344F07"/>
    <w:rsid w:val="003464F6"/>
    <w:rsid w:val="003641BE"/>
    <w:rsid w:val="003713D7"/>
    <w:rsid w:val="00381566"/>
    <w:rsid w:val="00386A65"/>
    <w:rsid w:val="003A003A"/>
    <w:rsid w:val="003B7494"/>
    <w:rsid w:val="003C3256"/>
    <w:rsid w:val="003D2702"/>
    <w:rsid w:val="003D3212"/>
    <w:rsid w:val="003E0A3C"/>
    <w:rsid w:val="003E2B05"/>
    <w:rsid w:val="003E3A64"/>
    <w:rsid w:val="003E7213"/>
    <w:rsid w:val="00403BE5"/>
    <w:rsid w:val="00413F2C"/>
    <w:rsid w:val="004242CA"/>
    <w:rsid w:val="00434495"/>
    <w:rsid w:val="004379D0"/>
    <w:rsid w:val="00440D3F"/>
    <w:rsid w:val="004654C2"/>
    <w:rsid w:val="00467B91"/>
    <w:rsid w:val="00477670"/>
    <w:rsid w:val="0048497B"/>
    <w:rsid w:val="00492243"/>
    <w:rsid w:val="0049303C"/>
    <w:rsid w:val="004D716F"/>
    <w:rsid w:val="004E10F6"/>
    <w:rsid w:val="004E24FA"/>
    <w:rsid w:val="004F0CDC"/>
    <w:rsid w:val="004F4D9D"/>
    <w:rsid w:val="00503CD1"/>
    <w:rsid w:val="00512B00"/>
    <w:rsid w:val="005166C3"/>
    <w:rsid w:val="00545F1F"/>
    <w:rsid w:val="00551F16"/>
    <w:rsid w:val="00551F9E"/>
    <w:rsid w:val="005533F4"/>
    <w:rsid w:val="005740D4"/>
    <w:rsid w:val="0058366A"/>
    <w:rsid w:val="00586A2D"/>
    <w:rsid w:val="00593866"/>
    <w:rsid w:val="005B5B6F"/>
    <w:rsid w:val="005B60AC"/>
    <w:rsid w:val="005C17F4"/>
    <w:rsid w:val="005D19C1"/>
    <w:rsid w:val="005F2EC9"/>
    <w:rsid w:val="0061443E"/>
    <w:rsid w:val="00632BBE"/>
    <w:rsid w:val="00650357"/>
    <w:rsid w:val="00657DF9"/>
    <w:rsid w:val="00664964"/>
    <w:rsid w:val="00664C44"/>
    <w:rsid w:val="006712DD"/>
    <w:rsid w:val="00672178"/>
    <w:rsid w:val="00680ABD"/>
    <w:rsid w:val="00681A6B"/>
    <w:rsid w:val="00696E14"/>
    <w:rsid w:val="006B714D"/>
    <w:rsid w:val="006C2D36"/>
    <w:rsid w:val="006E05D6"/>
    <w:rsid w:val="006E4DE0"/>
    <w:rsid w:val="006E7799"/>
    <w:rsid w:val="00707A53"/>
    <w:rsid w:val="00714696"/>
    <w:rsid w:val="0072072B"/>
    <w:rsid w:val="00722441"/>
    <w:rsid w:val="007236BD"/>
    <w:rsid w:val="007236FA"/>
    <w:rsid w:val="0074323D"/>
    <w:rsid w:val="007517C1"/>
    <w:rsid w:val="0075202B"/>
    <w:rsid w:val="0076499B"/>
    <w:rsid w:val="00767E0A"/>
    <w:rsid w:val="00770859"/>
    <w:rsid w:val="00783844"/>
    <w:rsid w:val="00785FDA"/>
    <w:rsid w:val="00786CDF"/>
    <w:rsid w:val="007A0BF5"/>
    <w:rsid w:val="007A1901"/>
    <w:rsid w:val="007C4342"/>
    <w:rsid w:val="007D08E4"/>
    <w:rsid w:val="007D2BC8"/>
    <w:rsid w:val="00802670"/>
    <w:rsid w:val="008043AA"/>
    <w:rsid w:val="00813BF5"/>
    <w:rsid w:val="00820BBD"/>
    <w:rsid w:val="00821D9B"/>
    <w:rsid w:val="008342F3"/>
    <w:rsid w:val="00836B81"/>
    <w:rsid w:val="008432EA"/>
    <w:rsid w:val="00853BA8"/>
    <w:rsid w:val="00855426"/>
    <w:rsid w:val="00856619"/>
    <w:rsid w:val="0086033E"/>
    <w:rsid w:val="00863DC1"/>
    <w:rsid w:val="0086662E"/>
    <w:rsid w:val="00883919"/>
    <w:rsid w:val="00885D7A"/>
    <w:rsid w:val="008877C2"/>
    <w:rsid w:val="008A3106"/>
    <w:rsid w:val="008A5693"/>
    <w:rsid w:val="008A6EE7"/>
    <w:rsid w:val="008A79D1"/>
    <w:rsid w:val="008C22BD"/>
    <w:rsid w:val="008C654C"/>
    <w:rsid w:val="008D40BA"/>
    <w:rsid w:val="008E09F7"/>
    <w:rsid w:val="009107FF"/>
    <w:rsid w:val="00910A23"/>
    <w:rsid w:val="00911223"/>
    <w:rsid w:val="00924538"/>
    <w:rsid w:val="00927E30"/>
    <w:rsid w:val="00931E4F"/>
    <w:rsid w:val="00937456"/>
    <w:rsid w:val="00945CA1"/>
    <w:rsid w:val="00947ED2"/>
    <w:rsid w:val="00953BC4"/>
    <w:rsid w:val="00970BF5"/>
    <w:rsid w:val="00977A70"/>
    <w:rsid w:val="00983796"/>
    <w:rsid w:val="00984535"/>
    <w:rsid w:val="009922B2"/>
    <w:rsid w:val="00997B5D"/>
    <w:rsid w:val="009A23D5"/>
    <w:rsid w:val="009C2477"/>
    <w:rsid w:val="009C6DE4"/>
    <w:rsid w:val="009D7901"/>
    <w:rsid w:val="009E33F9"/>
    <w:rsid w:val="009F2B94"/>
    <w:rsid w:val="00A06271"/>
    <w:rsid w:val="00A31EEB"/>
    <w:rsid w:val="00A46BA0"/>
    <w:rsid w:val="00A47F70"/>
    <w:rsid w:val="00A47FF5"/>
    <w:rsid w:val="00A54569"/>
    <w:rsid w:val="00A93401"/>
    <w:rsid w:val="00AB3CB6"/>
    <w:rsid w:val="00AB51A7"/>
    <w:rsid w:val="00AC0E1E"/>
    <w:rsid w:val="00AD42C0"/>
    <w:rsid w:val="00AD5D1D"/>
    <w:rsid w:val="00AD61BE"/>
    <w:rsid w:val="00AE623E"/>
    <w:rsid w:val="00AE6A84"/>
    <w:rsid w:val="00B01693"/>
    <w:rsid w:val="00B14C3D"/>
    <w:rsid w:val="00B32A6D"/>
    <w:rsid w:val="00B346AE"/>
    <w:rsid w:val="00B42C43"/>
    <w:rsid w:val="00B47BD4"/>
    <w:rsid w:val="00B62F6B"/>
    <w:rsid w:val="00B6304B"/>
    <w:rsid w:val="00B66A8C"/>
    <w:rsid w:val="00B73677"/>
    <w:rsid w:val="00B7428B"/>
    <w:rsid w:val="00B821D8"/>
    <w:rsid w:val="00B92A1F"/>
    <w:rsid w:val="00B9369D"/>
    <w:rsid w:val="00B95C1A"/>
    <w:rsid w:val="00B976E6"/>
    <w:rsid w:val="00BA4D94"/>
    <w:rsid w:val="00BB65CC"/>
    <w:rsid w:val="00BE48EC"/>
    <w:rsid w:val="00BF47AB"/>
    <w:rsid w:val="00C025E6"/>
    <w:rsid w:val="00C03705"/>
    <w:rsid w:val="00C10FEB"/>
    <w:rsid w:val="00C13EF3"/>
    <w:rsid w:val="00C238A8"/>
    <w:rsid w:val="00C362DF"/>
    <w:rsid w:val="00C417EE"/>
    <w:rsid w:val="00C47AA5"/>
    <w:rsid w:val="00C56AFF"/>
    <w:rsid w:val="00C66964"/>
    <w:rsid w:val="00C76E7D"/>
    <w:rsid w:val="00C90DF9"/>
    <w:rsid w:val="00C930B9"/>
    <w:rsid w:val="00CA22F6"/>
    <w:rsid w:val="00CB1E90"/>
    <w:rsid w:val="00CB3790"/>
    <w:rsid w:val="00CB6C79"/>
    <w:rsid w:val="00CC1D3D"/>
    <w:rsid w:val="00CC1F43"/>
    <w:rsid w:val="00CF55DA"/>
    <w:rsid w:val="00CF6013"/>
    <w:rsid w:val="00D13FE5"/>
    <w:rsid w:val="00D151C7"/>
    <w:rsid w:val="00D1637A"/>
    <w:rsid w:val="00D249C0"/>
    <w:rsid w:val="00D35A2B"/>
    <w:rsid w:val="00D450FA"/>
    <w:rsid w:val="00D45938"/>
    <w:rsid w:val="00D52B11"/>
    <w:rsid w:val="00D9234F"/>
    <w:rsid w:val="00D95810"/>
    <w:rsid w:val="00DC46BD"/>
    <w:rsid w:val="00DD166D"/>
    <w:rsid w:val="00DD2098"/>
    <w:rsid w:val="00DD306A"/>
    <w:rsid w:val="00DE01A6"/>
    <w:rsid w:val="00DE67B8"/>
    <w:rsid w:val="00DF0CA9"/>
    <w:rsid w:val="00DF5329"/>
    <w:rsid w:val="00E05188"/>
    <w:rsid w:val="00E20259"/>
    <w:rsid w:val="00E211DA"/>
    <w:rsid w:val="00E31A84"/>
    <w:rsid w:val="00E35AEC"/>
    <w:rsid w:val="00E40FDB"/>
    <w:rsid w:val="00E42BD9"/>
    <w:rsid w:val="00E43B25"/>
    <w:rsid w:val="00E522C8"/>
    <w:rsid w:val="00E64742"/>
    <w:rsid w:val="00E7237D"/>
    <w:rsid w:val="00E7675B"/>
    <w:rsid w:val="00E8433D"/>
    <w:rsid w:val="00E849ED"/>
    <w:rsid w:val="00E95DFC"/>
    <w:rsid w:val="00EA5F6C"/>
    <w:rsid w:val="00ED1F88"/>
    <w:rsid w:val="00ED37FE"/>
    <w:rsid w:val="00ED3AA0"/>
    <w:rsid w:val="00ED6067"/>
    <w:rsid w:val="00EE18FB"/>
    <w:rsid w:val="00F03567"/>
    <w:rsid w:val="00F05E14"/>
    <w:rsid w:val="00F11B9E"/>
    <w:rsid w:val="00F16D0F"/>
    <w:rsid w:val="00F23ED5"/>
    <w:rsid w:val="00F27F7D"/>
    <w:rsid w:val="00F550C8"/>
    <w:rsid w:val="00F70FBC"/>
    <w:rsid w:val="00F728E5"/>
    <w:rsid w:val="00F97B9D"/>
    <w:rsid w:val="00FA3451"/>
    <w:rsid w:val="00FA444F"/>
    <w:rsid w:val="00FA714B"/>
    <w:rsid w:val="00FB7136"/>
    <w:rsid w:val="00FC3EAA"/>
    <w:rsid w:val="00FD642E"/>
    <w:rsid w:val="00FE1727"/>
    <w:rsid w:val="00FE26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8A4F"/>
  <w15:docId w15:val="{8E0D4001-CB09-42AD-B66E-293EB0B7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C6DE4"/>
    <w:rPr>
      <w:color w:val="0000FF" w:themeColor="hyperlink"/>
      <w:u w:val="single"/>
    </w:rPr>
  </w:style>
  <w:style w:type="character" w:styleId="HiperlinkVisitado">
    <w:name w:val="FollowedHyperlink"/>
    <w:basedOn w:val="Fontepargpadro"/>
    <w:uiPriority w:val="99"/>
    <w:semiHidden/>
    <w:unhideWhenUsed/>
    <w:rsid w:val="009C6DE4"/>
    <w:rPr>
      <w:color w:val="800080" w:themeColor="followedHyperlink"/>
      <w:u w:val="single"/>
    </w:rPr>
  </w:style>
  <w:style w:type="paragraph" w:styleId="NormalWeb">
    <w:name w:val="Normal (Web)"/>
    <w:basedOn w:val="Normal"/>
    <w:uiPriority w:val="99"/>
    <w:semiHidden/>
    <w:unhideWhenUsed/>
    <w:rsid w:val="002706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0656"/>
  </w:style>
  <w:style w:type="character" w:styleId="Forte">
    <w:name w:val="Strong"/>
    <w:basedOn w:val="Fontepargpadro"/>
    <w:uiPriority w:val="22"/>
    <w:qFormat/>
    <w:rsid w:val="00270656"/>
    <w:rPr>
      <w:b/>
      <w:bCs/>
    </w:rPr>
  </w:style>
  <w:style w:type="paragraph" w:styleId="Textodenotaderodap">
    <w:name w:val="footnote text"/>
    <w:basedOn w:val="Normal"/>
    <w:link w:val="TextodenotaderodapChar"/>
    <w:uiPriority w:val="99"/>
    <w:semiHidden/>
    <w:unhideWhenUsed/>
    <w:rsid w:val="00B0169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01693"/>
    <w:rPr>
      <w:sz w:val="20"/>
      <w:szCs w:val="20"/>
    </w:rPr>
  </w:style>
  <w:style w:type="character" w:styleId="Refdenotaderodap">
    <w:name w:val="footnote reference"/>
    <w:basedOn w:val="Fontepargpadro"/>
    <w:uiPriority w:val="99"/>
    <w:semiHidden/>
    <w:unhideWhenUsed/>
    <w:rsid w:val="00B01693"/>
    <w:rPr>
      <w:vertAlign w:val="superscript"/>
    </w:rPr>
  </w:style>
  <w:style w:type="paragraph" w:styleId="Cabealho">
    <w:name w:val="header"/>
    <w:basedOn w:val="Normal"/>
    <w:link w:val="CabealhoChar"/>
    <w:uiPriority w:val="99"/>
    <w:unhideWhenUsed/>
    <w:rsid w:val="008D4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40BA"/>
  </w:style>
  <w:style w:type="paragraph" w:styleId="Rodap">
    <w:name w:val="footer"/>
    <w:basedOn w:val="Normal"/>
    <w:link w:val="RodapChar"/>
    <w:uiPriority w:val="99"/>
    <w:unhideWhenUsed/>
    <w:rsid w:val="008D40BA"/>
    <w:pPr>
      <w:tabs>
        <w:tab w:val="center" w:pos="4252"/>
        <w:tab w:val="right" w:pos="8504"/>
      </w:tabs>
      <w:spacing w:after="0" w:line="240" w:lineRule="auto"/>
    </w:pPr>
  </w:style>
  <w:style w:type="character" w:customStyle="1" w:styleId="RodapChar">
    <w:name w:val="Rodapé Char"/>
    <w:basedOn w:val="Fontepargpadro"/>
    <w:link w:val="Rodap"/>
    <w:uiPriority w:val="99"/>
    <w:rsid w:val="008D40BA"/>
  </w:style>
  <w:style w:type="paragraph" w:styleId="PargrafodaLista">
    <w:name w:val="List Paragraph"/>
    <w:basedOn w:val="Normal"/>
    <w:uiPriority w:val="34"/>
    <w:qFormat/>
    <w:rsid w:val="008043AA"/>
    <w:pPr>
      <w:ind w:left="720"/>
      <w:contextualSpacing/>
    </w:pPr>
  </w:style>
  <w:style w:type="paragraph" w:styleId="Textodebalo">
    <w:name w:val="Balloon Text"/>
    <w:basedOn w:val="Normal"/>
    <w:link w:val="TextodebaloChar"/>
    <w:uiPriority w:val="99"/>
    <w:semiHidden/>
    <w:unhideWhenUsed/>
    <w:rsid w:val="00344F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44F07"/>
    <w:rPr>
      <w:rFonts w:ascii="Tahoma" w:hAnsi="Tahoma" w:cs="Tahoma"/>
      <w:sz w:val="16"/>
      <w:szCs w:val="16"/>
    </w:rPr>
  </w:style>
  <w:style w:type="character" w:styleId="Refdecomentrio">
    <w:name w:val="annotation reference"/>
    <w:basedOn w:val="Fontepargpadro"/>
    <w:uiPriority w:val="99"/>
    <w:semiHidden/>
    <w:unhideWhenUsed/>
    <w:rsid w:val="003E3A64"/>
    <w:rPr>
      <w:sz w:val="16"/>
      <w:szCs w:val="16"/>
    </w:rPr>
  </w:style>
  <w:style w:type="paragraph" w:styleId="Textodecomentrio">
    <w:name w:val="annotation text"/>
    <w:basedOn w:val="Normal"/>
    <w:link w:val="TextodecomentrioChar"/>
    <w:uiPriority w:val="99"/>
    <w:semiHidden/>
    <w:unhideWhenUsed/>
    <w:rsid w:val="003E3A6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E3A64"/>
    <w:rPr>
      <w:sz w:val="20"/>
      <w:szCs w:val="20"/>
    </w:rPr>
  </w:style>
  <w:style w:type="paragraph" w:styleId="Assuntodocomentrio">
    <w:name w:val="annotation subject"/>
    <w:basedOn w:val="Textodecomentrio"/>
    <w:next w:val="Textodecomentrio"/>
    <w:link w:val="AssuntodocomentrioChar"/>
    <w:uiPriority w:val="99"/>
    <w:semiHidden/>
    <w:unhideWhenUsed/>
    <w:rsid w:val="003E3A64"/>
    <w:rPr>
      <w:b/>
      <w:bCs/>
    </w:rPr>
  </w:style>
  <w:style w:type="character" w:customStyle="1" w:styleId="AssuntodocomentrioChar">
    <w:name w:val="Assunto do comentário Char"/>
    <w:basedOn w:val="TextodecomentrioChar"/>
    <w:link w:val="Assuntodocomentrio"/>
    <w:uiPriority w:val="99"/>
    <w:semiHidden/>
    <w:rsid w:val="003E3A64"/>
    <w:rPr>
      <w:b/>
      <w:bCs/>
      <w:sz w:val="20"/>
      <w:szCs w:val="20"/>
    </w:rPr>
  </w:style>
  <w:style w:type="paragraph" w:styleId="Reviso">
    <w:name w:val="Revision"/>
    <w:hidden/>
    <w:uiPriority w:val="99"/>
    <w:semiHidden/>
    <w:rsid w:val="00257E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4084">
      <w:bodyDiv w:val="1"/>
      <w:marLeft w:val="0"/>
      <w:marRight w:val="0"/>
      <w:marTop w:val="0"/>
      <w:marBottom w:val="0"/>
      <w:divBdr>
        <w:top w:val="none" w:sz="0" w:space="0" w:color="auto"/>
        <w:left w:val="none" w:sz="0" w:space="0" w:color="auto"/>
        <w:bottom w:val="none" w:sz="0" w:space="0" w:color="auto"/>
        <w:right w:val="none" w:sz="0" w:space="0" w:color="auto"/>
      </w:divBdr>
    </w:div>
    <w:div w:id="248005637">
      <w:bodyDiv w:val="1"/>
      <w:marLeft w:val="0"/>
      <w:marRight w:val="0"/>
      <w:marTop w:val="0"/>
      <w:marBottom w:val="0"/>
      <w:divBdr>
        <w:top w:val="none" w:sz="0" w:space="0" w:color="auto"/>
        <w:left w:val="none" w:sz="0" w:space="0" w:color="auto"/>
        <w:bottom w:val="none" w:sz="0" w:space="0" w:color="auto"/>
        <w:right w:val="none" w:sz="0" w:space="0" w:color="auto"/>
      </w:divBdr>
    </w:div>
    <w:div w:id="489759530">
      <w:bodyDiv w:val="1"/>
      <w:marLeft w:val="0"/>
      <w:marRight w:val="0"/>
      <w:marTop w:val="0"/>
      <w:marBottom w:val="0"/>
      <w:divBdr>
        <w:top w:val="none" w:sz="0" w:space="0" w:color="auto"/>
        <w:left w:val="none" w:sz="0" w:space="0" w:color="auto"/>
        <w:bottom w:val="none" w:sz="0" w:space="0" w:color="auto"/>
        <w:right w:val="none" w:sz="0" w:space="0" w:color="auto"/>
      </w:divBdr>
    </w:div>
    <w:div w:id="1563322164">
      <w:bodyDiv w:val="1"/>
      <w:marLeft w:val="0"/>
      <w:marRight w:val="0"/>
      <w:marTop w:val="0"/>
      <w:marBottom w:val="0"/>
      <w:divBdr>
        <w:top w:val="none" w:sz="0" w:space="0" w:color="auto"/>
        <w:left w:val="none" w:sz="0" w:space="0" w:color="auto"/>
        <w:bottom w:val="none" w:sz="0" w:space="0" w:color="auto"/>
        <w:right w:val="none" w:sz="0" w:space="0" w:color="auto"/>
      </w:divBdr>
    </w:div>
    <w:div w:id="17054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tf.jus.br/portal/cms/verTexto.asp?servico=sobreStfComposicaoComposicaoPlenariaApresentacao"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youtube.com/watch?v=DxwjYmDNH_8" TargetMode="External"/><Relationship Id="rId13" Type="http://schemas.openxmlformats.org/officeDocument/2006/relationships/hyperlink" Target="http://www.planalto.gov.br/ccivil_03/Constituicao/Emendas/Emc/emc22.htm" TargetMode="External"/><Relationship Id="rId18" Type="http://schemas.openxmlformats.org/officeDocument/2006/relationships/hyperlink" Target="http://www.migalhas.com.br/dePeso/16,MI234946,81042-Aproximacao+da+civil+law+com+a+common+law+no+novo+Codigo+de+Processo" TargetMode="External"/><Relationship Id="rId26" Type="http://schemas.openxmlformats.org/officeDocument/2006/relationships/hyperlink" Target="http://jota.uol.com.br/como-se-opera-com-precedentes-segundo-o-novo-cpc" TargetMode="External"/><Relationship Id="rId3" Type="http://schemas.openxmlformats.org/officeDocument/2006/relationships/styles" Target="styles.xml"/><Relationship Id="rId21" Type="http://schemas.openxmlformats.org/officeDocument/2006/relationships/hyperlink" Target="http://jota.uol.com.br/serie-os-precedentes-no-novo-cpc" TargetMode="External"/><Relationship Id="rId7" Type="http://schemas.openxmlformats.org/officeDocument/2006/relationships/endnotes" Target="endnotes.xml"/><Relationship Id="rId12" Type="http://schemas.openxmlformats.org/officeDocument/2006/relationships/hyperlink" Target="http://www.planalto.gov.br/ccivil_03/Constituicao/Emendas/Emc/emc23.htm" TargetMode="External"/><Relationship Id="rId17" Type="http://schemas.openxmlformats.org/officeDocument/2006/relationships/hyperlink" Target="http://www.planalto.gov.br/ccivil_03/Constituicao/Emendas/Emc/emc45.htm" TargetMode="External"/><Relationship Id="rId25" Type="http://schemas.openxmlformats.org/officeDocument/2006/relationships/hyperlink" Target="http://revistas.ufpr.br/direito/article/viewFile/17031/11238" TargetMode="External"/><Relationship Id="rId2" Type="http://schemas.openxmlformats.org/officeDocument/2006/relationships/numbering" Target="numbering.xml"/><Relationship Id="rId16" Type="http://schemas.openxmlformats.org/officeDocument/2006/relationships/hyperlink" Target="http://www.planalto.gov.br/ccivil_03/Constituicao/Emendas/Emc/emc03.htm" TargetMode="External"/><Relationship Id="rId20" Type="http://schemas.openxmlformats.org/officeDocument/2006/relationships/hyperlink" Target="http://jota.uol.com.br/como-se-opera-com-precedentes-segundo-o-novo-cp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Constituicao/Emendas/Emc/emc03.htm" TargetMode="External"/><Relationship Id="rId24" Type="http://schemas.openxmlformats.org/officeDocument/2006/relationships/hyperlink" Target="http://www.tjdft.jus.br/institucional/imprensa/direito-facil/carta-precatoria-x-carta-rogatoria-1" TargetMode="External"/><Relationship Id="rId5" Type="http://schemas.openxmlformats.org/officeDocument/2006/relationships/webSettings" Target="webSettings.xml"/><Relationship Id="rId15" Type="http://schemas.openxmlformats.org/officeDocument/2006/relationships/hyperlink" Target="http://www.planalto.gov.br/ccivil_03/Constituicao/Emendas/Emc/emc45.htm" TargetMode="External"/><Relationship Id="rId23" Type="http://schemas.openxmlformats.org/officeDocument/2006/relationships/hyperlink" Target="http://www.migalhas.com.br/dePeso/16,MI234946,81042-Aproximacao+da+civil+law+com+a+common+law+no+novo+Codigo+de+Processo"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revistas.ufpr.br/direito/article/viewFile/17031/1123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planalto.gov.br/ccivil_03/Constituicao/Emendas/Emc/emc45.htm" TargetMode="External"/><Relationship Id="rId22" Type="http://schemas.openxmlformats.org/officeDocument/2006/relationships/hyperlink" Target="http://www.stj.jus.br/sites/STJ/default/pt_BR/Comunica%C3%A7%C3%A3o/Not%C3%ADcias/Not%C3%ADcias/Valoriza%C3%A7%C3%A3o-de-precedentes-jurisprudenciais-%C3%A9-destaque-do-novo-CPC-que-entra-em-vigor-hoje-(18)" TargetMode="External"/><Relationship Id="rId27" Type="http://schemas.openxmlformats.org/officeDocument/2006/relationships/hyperlink" Target="https://jota.info/artigos/serie-os-precedentes-no-novo-cpc-08032016"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tjdft.jus.br/institucional/imprensa/direito-facil/carta-precatoria-x-carta-rogatoria-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B6DE81E-2839-404D-B3DA-631706BC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6551</Words>
  <Characters>35380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41848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Abhner Youssif Mota Arabi</dc:creator>
  <cp:lastModifiedBy>Cristiana Sales Marques da Cruz Oliveira</cp:lastModifiedBy>
  <cp:revision>51</cp:revision>
  <dcterms:created xsi:type="dcterms:W3CDTF">2017-04-10T18:52:00Z</dcterms:created>
  <dcterms:modified xsi:type="dcterms:W3CDTF">2017-07-24T20:41:00Z</dcterms:modified>
</cp:coreProperties>
</file>