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CB5B0" w14:textId="401AFBEE" w:rsidR="00434495" w:rsidRPr="002A22F3" w:rsidRDefault="006A3A8A" w:rsidP="00B15861">
      <w:pPr>
        <w:tabs>
          <w:tab w:val="left" w:pos="851"/>
        </w:tabs>
        <w:spacing w:before="120" w:after="120" w:line="360" w:lineRule="auto"/>
        <w:ind w:firstLine="1134"/>
        <w:jc w:val="center"/>
        <w:rPr>
          <w:rFonts w:ascii="Arial" w:hAnsi="Arial" w:cs="Arial"/>
          <w:b/>
          <w:sz w:val="24"/>
          <w:szCs w:val="24"/>
        </w:rPr>
      </w:pPr>
      <w:r>
        <w:rPr>
          <w:rFonts w:ascii="Arial" w:hAnsi="Arial" w:cs="Arial"/>
          <w:b/>
          <w:sz w:val="24"/>
          <w:szCs w:val="24"/>
        </w:rPr>
        <w:t xml:space="preserve">Aula </w:t>
      </w:r>
      <w:r w:rsidR="00230AF1">
        <w:rPr>
          <w:rFonts w:ascii="Arial" w:hAnsi="Arial" w:cs="Arial"/>
          <w:b/>
          <w:sz w:val="24"/>
          <w:szCs w:val="24"/>
        </w:rPr>
        <w:t>3</w:t>
      </w:r>
      <w:r>
        <w:rPr>
          <w:rFonts w:ascii="Arial" w:hAnsi="Arial" w:cs="Arial"/>
          <w:b/>
          <w:sz w:val="24"/>
          <w:szCs w:val="24"/>
        </w:rPr>
        <w:t xml:space="preserve"> </w:t>
      </w:r>
      <w:r w:rsidR="00711F46">
        <w:rPr>
          <w:rFonts w:ascii="Arial" w:hAnsi="Arial" w:cs="Arial"/>
          <w:b/>
          <w:sz w:val="24"/>
          <w:szCs w:val="24"/>
        </w:rPr>
        <w:t>–</w:t>
      </w:r>
      <w:r>
        <w:rPr>
          <w:rFonts w:ascii="Arial" w:hAnsi="Arial" w:cs="Arial"/>
          <w:b/>
          <w:sz w:val="24"/>
          <w:szCs w:val="24"/>
        </w:rPr>
        <w:t xml:space="preserve"> </w:t>
      </w:r>
      <w:r w:rsidRPr="002A22F3">
        <w:rPr>
          <w:rFonts w:ascii="Arial" w:hAnsi="Arial" w:cs="Arial"/>
          <w:b/>
          <w:sz w:val="24"/>
          <w:szCs w:val="24"/>
        </w:rPr>
        <w:t xml:space="preserve">Origens </w:t>
      </w:r>
      <w:r w:rsidR="000E6567" w:rsidRPr="002A22F3">
        <w:rPr>
          <w:rFonts w:ascii="Arial" w:hAnsi="Arial" w:cs="Arial"/>
          <w:b/>
          <w:sz w:val="24"/>
          <w:szCs w:val="24"/>
        </w:rPr>
        <w:t>histórica</w:t>
      </w:r>
      <w:r w:rsidR="00602232" w:rsidRPr="002A22F3">
        <w:rPr>
          <w:rFonts w:ascii="Arial" w:hAnsi="Arial" w:cs="Arial"/>
          <w:b/>
          <w:sz w:val="24"/>
          <w:szCs w:val="24"/>
        </w:rPr>
        <w:t>s da repercussão geral – Parte 2</w:t>
      </w:r>
      <w:r w:rsidR="002A22F3" w:rsidRPr="002A22F3">
        <w:rPr>
          <w:rFonts w:ascii="Arial" w:hAnsi="Arial" w:cs="Arial"/>
          <w:b/>
          <w:sz w:val="24"/>
          <w:szCs w:val="24"/>
        </w:rPr>
        <w:t xml:space="preserve">: meios de compatibilização vertical das decisões judiciais e as tentativas de solução da </w:t>
      </w:r>
      <w:r w:rsidR="002A22F3" w:rsidRPr="002A22F3">
        <w:rPr>
          <w:rFonts w:ascii="Arial" w:hAnsi="Arial" w:cs="Arial"/>
          <w:b/>
          <w:i/>
          <w:sz w:val="24"/>
          <w:szCs w:val="24"/>
        </w:rPr>
        <w:t>crise do recurso extraordinário</w:t>
      </w:r>
    </w:p>
    <w:p w14:paraId="4102EECA" w14:textId="77777777" w:rsidR="001A1999" w:rsidRDefault="001A1999" w:rsidP="00B15861">
      <w:pPr>
        <w:tabs>
          <w:tab w:val="left" w:pos="851"/>
        </w:tabs>
        <w:spacing w:before="120" w:after="120" w:line="360" w:lineRule="auto"/>
        <w:ind w:firstLine="1134"/>
        <w:jc w:val="both"/>
        <w:rPr>
          <w:rFonts w:ascii="Arial" w:hAnsi="Arial" w:cs="Arial"/>
          <w:sz w:val="24"/>
          <w:szCs w:val="24"/>
        </w:rPr>
      </w:pPr>
    </w:p>
    <w:p w14:paraId="288F8AA9" w14:textId="77777777" w:rsidR="005A10C8" w:rsidRPr="008E57E2" w:rsidRDefault="005A10C8" w:rsidP="00B15861">
      <w:pPr>
        <w:pStyle w:val="PargrafodaLista"/>
        <w:numPr>
          <w:ilvl w:val="0"/>
          <w:numId w:val="3"/>
        </w:numPr>
        <w:tabs>
          <w:tab w:val="left" w:pos="851"/>
        </w:tabs>
        <w:spacing w:before="120" w:after="120" w:line="360" w:lineRule="auto"/>
        <w:jc w:val="both"/>
        <w:rPr>
          <w:rFonts w:ascii="Arial" w:hAnsi="Arial" w:cs="Arial"/>
          <w:sz w:val="24"/>
          <w:szCs w:val="24"/>
          <w:u w:val="single"/>
        </w:rPr>
      </w:pPr>
      <w:r w:rsidRPr="008E57E2">
        <w:rPr>
          <w:rFonts w:ascii="Arial" w:hAnsi="Arial" w:cs="Arial"/>
          <w:sz w:val="24"/>
          <w:szCs w:val="24"/>
          <w:u w:val="single"/>
        </w:rPr>
        <w:t>Introdução</w:t>
      </w:r>
    </w:p>
    <w:p w14:paraId="25C72F9E" w14:textId="77777777" w:rsidR="009C6DE4" w:rsidRPr="009E0329" w:rsidRDefault="005A10C8" w:rsidP="00B15861">
      <w:pPr>
        <w:tabs>
          <w:tab w:val="left" w:pos="851"/>
        </w:tabs>
        <w:spacing w:before="120" w:after="120" w:line="360" w:lineRule="auto"/>
        <w:ind w:firstLine="851"/>
        <w:jc w:val="both"/>
        <w:rPr>
          <w:rFonts w:ascii="Arial" w:hAnsi="Arial" w:cs="Arial"/>
          <w:sz w:val="24"/>
          <w:szCs w:val="24"/>
        </w:rPr>
      </w:pPr>
      <w:r w:rsidRPr="009E0329">
        <w:rPr>
          <w:rFonts w:ascii="Arial" w:hAnsi="Arial" w:cs="Arial"/>
          <w:sz w:val="24"/>
          <w:szCs w:val="24"/>
        </w:rPr>
        <w:t>Olá</w:t>
      </w:r>
      <w:r w:rsidR="009C6DE4" w:rsidRPr="009E0329">
        <w:rPr>
          <w:rFonts w:ascii="Arial" w:hAnsi="Arial" w:cs="Arial"/>
          <w:sz w:val="24"/>
          <w:szCs w:val="24"/>
        </w:rPr>
        <w:t>!</w:t>
      </w:r>
    </w:p>
    <w:p w14:paraId="657A790B" w14:textId="17F9C47F" w:rsidR="00921E87" w:rsidRPr="00AB5F2A" w:rsidRDefault="005A10C8" w:rsidP="009C2BEF">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r w:rsidR="006A3A8A" w:rsidRPr="009E0329">
        <w:rPr>
          <w:rFonts w:ascii="Arial" w:hAnsi="Arial" w:cs="Arial"/>
          <w:sz w:val="24"/>
          <w:szCs w:val="24"/>
        </w:rPr>
        <w:t xml:space="preserve">Na aula </w:t>
      </w:r>
      <w:r w:rsidRPr="009E0329">
        <w:rPr>
          <w:rFonts w:ascii="Arial" w:hAnsi="Arial" w:cs="Arial"/>
          <w:sz w:val="24"/>
          <w:szCs w:val="24"/>
        </w:rPr>
        <w:t>passada,</w:t>
      </w:r>
      <w:r w:rsidR="009E0329">
        <w:rPr>
          <w:rFonts w:ascii="Arial" w:hAnsi="Arial" w:cs="Arial"/>
          <w:sz w:val="24"/>
          <w:szCs w:val="24"/>
        </w:rPr>
        <w:t xml:space="preserve"> </w:t>
      </w:r>
      <w:r w:rsidR="009C2BEF">
        <w:rPr>
          <w:rFonts w:ascii="Arial" w:hAnsi="Arial" w:cs="Arial"/>
          <w:sz w:val="24"/>
          <w:szCs w:val="24"/>
        </w:rPr>
        <w:t>iniciamos o estudo de</w:t>
      </w:r>
      <w:r w:rsidR="00921E87">
        <w:rPr>
          <w:rFonts w:ascii="Arial" w:hAnsi="Arial" w:cs="Arial"/>
          <w:sz w:val="24"/>
          <w:szCs w:val="24"/>
        </w:rPr>
        <w:t xml:space="preserve"> algumas contribuições históricas que levaram ao processo de construção do instituto que hoje conhecemos como repercussão geral. </w:t>
      </w:r>
      <w:r w:rsidR="009C2BEF">
        <w:rPr>
          <w:rFonts w:ascii="Arial" w:hAnsi="Arial" w:cs="Arial"/>
          <w:sz w:val="24"/>
          <w:szCs w:val="24"/>
        </w:rPr>
        <w:t>Nesse sentido</w:t>
      </w:r>
      <w:r w:rsidR="00921E87">
        <w:rPr>
          <w:rFonts w:ascii="Arial" w:hAnsi="Arial" w:cs="Arial"/>
          <w:sz w:val="24"/>
          <w:szCs w:val="24"/>
        </w:rPr>
        <w:t>,</w:t>
      </w:r>
      <w:r w:rsidR="009C2BEF">
        <w:rPr>
          <w:rFonts w:ascii="Arial" w:hAnsi="Arial" w:cs="Arial"/>
          <w:sz w:val="24"/>
          <w:szCs w:val="24"/>
        </w:rPr>
        <w:t xml:space="preserve"> pesquisamos </w:t>
      </w:r>
      <w:r w:rsidR="00921E87">
        <w:rPr>
          <w:rFonts w:ascii="Arial" w:hAnsi="Arial" w:cs="Arial"/>
          <w:sz w:val="24"/>
          <w:szCs w:val="24"/>
        </w:rPr>
        <w:t xml:space="preserve">algumas origens da adoção do federalismo e o contexto de surgimento do </w:t>
      </w:r>
      <w:r w:rsidR="00921E87">
        <w:rPr>
          <w:rFonts w:ascii="Arial" w:hAnsi="Arial" w:cs="Arial"/>
          <w:i/>
          <w:sz w:val="24"/>
          <w:szCs w:val="24"/>
        </w:rPr>
        <w:t xml:space="preserve">writ </w:t>
      </w:r>
      <w:proofErr w:type="spellStart"/>
      <w:r w:rsidR="00921E87">
        <w:rPr>
          <w:rFonts w:ascii="Arial" w:hAnsi="Arial" w:cs="Arial"/>
          <w:i/>
          <w:sz w:val="24"/>
          <w:szCs w:val="24"/>
        </w:rPr>
        <w:t>of</w:t>
      </w:r>
      <w:proofErr w:type="spellEnd"/>
      <w:r w:rsidR="00921E87">
        <w:rPr>
          <w:rFonts w:ascii="Arial" w:hAnsi="Arial" w:cs="Arial"/>
          <w:i/>
          <w:sz w:val="24"/>
          <w:szCs w:val="24"/>
        </w:rPr>
        <w:t xml:space="preserve"> </w:t>
      </w:r>
      <w:proofErr w:type="spellStart"/>
      <w:r w:rsidR="00921E87">
        <w:rPr>
          <w:rFonts w:ascii="Arial" w:hAnsi="Arial" w:cs="Arial"/>
          <w:i/>
          <w:sz w:val="24"/>
          <w:szCs w:val="24"/>
        </w:rPr>
        <w:t>error</w:t>
      </w:r>
      <w:proofErr w:type="spellEnd"/>
      <w:r w:rsidR="009C2BEF">
        <w:rPr>
          <w:rFonts w:ascii="Arial" w:hAnsi="Arial" w:cs="Arial"/>
          <w:sz w:val="24"/>
          <w:szCs w:val="24"/>
        </w:rPr>
        <w:t>, bem como os</w:t>
      </w:r>
      <w:r w:rsidR="00921E87">
        <w:rPr>
          <w:rFonts w:ascii="Arial" w:hAnsi="Arial" w:cs="Arial"/>
          <w:sz w:val="24"/>
          <w:szCs w:val="24"/>
        </w:rPr>
        <w:t xml:space="preserve"> fundamentos materiais à formulação da ideia de repercussão geral, no contexto das disposições </w:t>
      </w:r>
      <w:r w:rsidR="00921E87" w:rsidRPr="00661E4D">
        <w:rPr>
          <w:rFonts w:ascii="Arial" w:hAnsi="Arial" w:cs="Arial"/>
          <w:sz w:val="24"/>
          <w:szCs w:val="24"/>
        </w:rPr>
        <w:t>constitucionais</w:t>
      </w:r>
      <w:r w:rsidR="00921E87">
        <w:rPr>
          <w:rFonts w:ascii="Arial" w:hAnsi="Arial" w:cs="Arial"/>
          <w:sz w:val="24"/>
          <w:szCs w:val="24"/>
        </w:rPr>
        <w:t xml:space="preserve"> das garantias processuais </w:t>
      </w:r>
      <w:r w:rsidR="009C2BEF">
        <w:rPr>
          <w:rFonts w:ascii="Arial" w:hAnsi="Arial" w:cs="Arial"/>
          <w:sz w:val="24"/>
          <w:szCs w:val="24"/>
        </w:rPr>
        <w:t>e do devido processo legal.</w:t>
      </w:r>
    </w:p>
    <w:p w14:paraId="26828120" w14:textId="72EDFE69" w:rsidR="00B95C1A" w:rsidRDefault="005A10C8" w:rsidP="00B15861">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r w:rsidR="00DE0CFE" w:rsidRPr="009E0329">
        <w:rPr>
          <w:rFonts w:ascii="Arial" w:hAnsi="Arial" w:cs="Arial"/>
          <w:sz w:val="24"/>
          <w:szCs w:val="24"/>
        </w:rPr>
        <w:t>Na aula de hoje,</w:t>
      </w:r>
      <w:r w:rsidR="009C2BEF">
        <w:rPr>
          <w:rFonts w:ascii="Arial" w:hAnsi="Arial" w:cs="Arial"/>
          <w:sz w:val="24"/>
          <w:szCs w:val="24"/>
        </w:rPr>
        <w:t xml:space="preserve"> daremos continuidade à evolução histórica da construção de alguns mecanismos de compatibilização vertical de decisões</w:t>
      </w:r>
      <w:r w:rsidR="001133B6">
        <w:rPr>
          <w:rFonts w:ascii="Arial" w:hAnsi="Arial" w:cs="Arial"/>
          <w:sz w:val="24"/>
          <w:szCs w:val="24"/>
        </w:rPr>
        <w:t xml:space="preserve"> já adotados pelo ordenamento processual civil brasileiro.</w:t>
      </w:r>
      <w:r w:rsidR="009C2BEF">
        <w:rPr>
          <w:rFonts w:ascii="Arial" w:hAnsi="Arial" w:cs="Arial"/>
          <w:sz w:val="24"/>
          <w:szCs w:val="24"/>
        </w:rPr>
        <w:t xml:space="preserve"> Na sequência apontaremos as origens da </w:t>
      </w:r>
      <w:r w:rsidR="009C2BEF">
        <w:rPr>
          <w:rFonts w:ascii="Arial" w:hAnsi="Arial" w:cs="Arial"/>
          <w:i/>
          <w:sz w:val="24"/>
          <w:szCs w:val="24"/>
        </w:rPr>
        <w:t>crise do recurso extraordinário</w:t>
      </w:r>
      <w:r w:rsidR="009C2BEF">
        <w:rPr>
          <w:rFonts w:ascii="Arial" w:hAnsi="Arial" w:cs="Arial"/>
          <w:sz w:val="24"/>
          <w:szCs w:val="24"/>
        </w:rPr>
        <w:t>, existente desde s</w:t>
      </w:r>
      <w:r w:rsidR="001133B6">
        <w:rPr>
          <w:rFonts w:ascii="Arial" w:hAnsi="Arial" w:cs="Arial"/>
          <w:sz w:val="24"/>
          <w:szCs w:val="24"/>
        </w:rPr>
        <w:t xml:space="preserve">eus primórdios e até hoje </w:t>
      </w:r>
      <w:r w:rsidR="00602232">
        <w:rPr>
          <w:rFonts w:ascii="Arial" w:hAnsi="Arial" w:cs="Arial"/>
          <w:sz w:val="24"/>
          <w:szCs w:val="24"/>
        </w:rPr>
        <w:t>problemática</w:t>
      </w:r>
      <w:r w:rsidR="001133B6">
        <w:rPr>
          <w:rFonts w:ascii="Arial" w:hAnsi="Arial" w:cs="Arial"/>
          <w:sz w:val="24"/>
          <w:szCs w:val="24"/>
        </w:rPr>
        <w:t>, consubstanciada no excesso</w:t>
      </w:r>
      <w:r w:rsidR="005949F8">
        <w:rPr>
          <w:rFonts w:ascii="Arial" w:hAnsi="Arial" w:cs="Arial"/>
          <w:sz w:val="24"/>
          <w:szCs w:val="24"/>
        </w:rPr>
        <w:t xml:space="preserve"> de processos sob a</w:t>
      </w:r>
      <w:r w:rsidR="00602232">
        <w:rPr>
          <w:rFonts w:ascii="Arial" w:hAnsi="Arial" w:cs="Arial"/>
          <w:sz w:val="24"/>
          <w:szCs w:val="24"/>
        </w:rPr>
        <w:t xml:space="preserve"> análise do STF. Buscaremos encontrar alguns fundamentos para sua origem e as sucessivas </w:t>
      </w:r>
      <w:r w:rsidR="00602232" w:rsidRPr="00A44357">
        <w:rPr>
          <w:rFonts w:ascii="Arial" w:hAnsi="Arial" w:cs="Arial"/>
          <w:sz w:val="24"/>
          <w:szCs w:val="24"/>
        </w:rPr>
        <w:t>tentativas</w:t>
      </w:r>
      <w:r w:rsidR="00602232">
        <w:rPr>
          <w:rFonts w:ascii="Arial" w:hAnsi="Arial" w:cs="Arial"/>
          <w:sz w:val="24"/>
          <w:szCs w:val="24"/>
        </w:rPr>
        <w:t xml:space="preserve"> historicamente adotadas n</w:t>
      </w:r>
      <w:r w:rsidR="00A44357">
        <w:rPr>
          <w:rFonts w:ascii="Arial" w:hAnsi="Arial" w:cs="Arial"/>
          <w:sz w:val="24"/>
          <w:szCs w:val="24"/>
        </w:rPr>
        <w:t>o intuito</w:t>
      </w:r>
      <w:r w:rsidR="00602232">
        <w:rPr>
          <w:rFonts w:ascii="Arial" w:hAnsi="Arial" w:cs="Arial"/>
          <w:sz w:val="24"/>
          <w:szCs w:val="24"/>
        </w:rPr>
        <w:t xml:space="preserve"> de solucionar o mencionado problema.</w:t>
      </w:r>
    </w:p>
    <w:p w14:paraId="77A07234" w14:textId="77777777" w:rsidR="00D34772" w:rsidRDefault="005A10C8" w:rsidP="00B15861">
      <w:pPr>
        <w:tabs>
          <w:tab w:val="left" w:pos="851"/>
          <w:tab w:val="left" w:pos="8364"/>
          <w:tab w:val="left" w:pos="8789"/>
        </w:tabs>
        <w:spacing w:before="120" w:after="120" w:line="360" w:lineRule="auto"/>
        <w:jc w:val="both"/>
        <w:rPr>
          <w:rFonts w:ascii="Arial" w:hAnsi="Arial" w:cs="Arial"/>
          <w:sz w:val="24"/>
          <w:szCs w:val="24"/>
        </w:rPr>
      </w:pPr>
      <w:r w:rsidRPr="009E0329">
        <w:rPr>
          <w:rFonts w:ascii="Arial" w:hAnsi="Arial" w:cs="Arial"/>
          <w:sz w:val="24"/>
          <w:szCs w:val="24"/>
        </w:rPr>
        <w:tab/>
      </w:r>
    </w:p>
    <w:p w14:paraId="614A1CF7" w14:textId="77777777" w:rsidR="00812D9A" w:rsidRPr="008E57E2" w:rsidRDefault="008E57E2" w:rsidP="00812D9A">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8E57E2">
        <w:rPr>
          <w:rFonts w:ascii="Arial" w:hAnsi="Arial" w:cs="Arial"/>
          <w:sz w:val="24"/>
          <w:szCs w:val="24"/>
          <w:u w:val="single"/>
        </w:rPr>
        <w:t>Meios de</w:t>
      </w:r>
      <w:r w:rsidR="00806227" w:rsidRPr="008E57E2">
        <w:rPr>
          <w:rFonts w:ascii="Arial" w:hAnsi="Arial" w:cs="Arial"/>
          <w:sz w:val="24"/>
          <w:szCs w:val="24"/>
          <w:u w:val="single"/>
        </w:rPr>
        <w:t xml:space="preserve"> compatibilização vertical de decisões</w:t>
      </w:r>
    </w:p>
    <w:p w14:paraId="7346151B" w14:textId="30006A9D" w:rsidR="00375324" w:rsidRDefault="00375324" w:rsidP="0037532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Como vimos na aula passada, uma das ideias que o instituto da repercussão geral busca perquirir é a </w:t>
      </w:r>
      <w:r w:rsidR="00806227">
        <w:rPr>
          <w:rFonts w:ascii="Arial" w:hAnsi="Arial" w:cs="Arial"/>
          <w:sz w:val="24"/>
          <w:szCs w:val="24"/>
        </w:rPr>
        <w:t>compatibilização vertical das decisões judiciais,</w:t>
      </w:r>
      <w:r>
        <w:rPr>
          <w:rFonts w:ascii="Arial" w:hAnsi="Arial" w:cs="Arial"/>
          <w:sz w:val="24"/>
          <w:szCs w:val="24"/>
        </w:rPr>
        <w:t xml:space="preserve"> de modo a proporcionar</w:t>
      </w:r>
      <w:r w:rsidR="00806227">
        <w:rPr>
          <w:rFonts w:ascii="Arial" w:hAnsi="Arial" w:cs="Arial"/>
          <w:sz w:val="24"/>
          <w:szCs w:val="24"/>
        </w:rPr>
        <w:t xml:space="preserve"> a </w:t>
      </w:r>
      <w:r>
        <w:rPr>
          <w:rFonts w:ascii="Arial" w:hAnsi="Arial" w:cs="Arial"/>
          <w:sz w:val="24"/>
          <w:szCs w:val="24"/>
        </w:rPr>
        <w:t>afirmação</w:t>
      </w:r>
      <w:r w:rsidR="00806227">
        <w:rPr>
          <w:rFonts w:ascii="Arial" w:hAnsi="Arial" w:cs="Arial"/>
          <w:sz w:val="24"/>
          <w:szCs w:val="24"/>
        </w:rPr>
        <w:t xml:space="preserve"> de soluções semelhantes a casos similares</w:t>
      </w:r>
      <w:r>
        <w:rPr>
          <w:rFonts w:ascii="Arial" w:hAnsi="Arial" w:cs="Arial"/>
          <w:sz w:val="24"/>
          <w:szCs w:val="24"/>
        </w:rPr>
        <w:t xml:space="preserve"> e</w:t>
      </w:r>
      <w:r w:rsidR="00806227">
        <w:rPr>
          <w:rFonts w:ascii="Arial" w:hAnsi="Arial" w:cs="Arial"/>
          <w:sz w:val="24"/>
          <w:szCs w:val="24"/>
        </w:rPr>
        <w:t xml:space="preserve"> a racionalização da organização da atividade judiciária,</w:t>
      </w:r>
      <w:r w:rsidR="000D163F">
        <w:rPr>
          <w:rFonts w:ascii="Arial" w:hAnsi="Arial" w:cs="Arial"/>
          <w:sz w:val="24"/>
          <w:szCs w:val="24"/>
        </w:rPr>
        <w:t xml:space="preserve"> </w:t>
      </w:r>
      <w:r>
        <w:rPr>
          <w:rFonts w:ascii="Arial" w:hAnsi="Arial" w:cs="Arial"/>
          <w:sz w:val="24"/>
          <w:szCs w:val="24"/>
        </w:rPr>
        <w:t>entre outros</w:t>
      </w:r>
      <w:r w:rsidR="00806227">
        <w:rPr>
          <w:rFonts w:ascii="Arial" w:hAnsi="Arial" w:cs="Arial"/>
          <w:sz w:val="24"/>
          <w:szCs w:val="24"/>
        </w:rPr>
        <w:t xml:space="preserve"> aspectos que convergem para a concretização de uma tutela jurisdicional de qualidade.</w:t>
      </w:r>
      <w:r>
        <w:rPr>
          <w:rFonts w:ascii="Arial" w:hAnsi="Arial" w:cs="Arial"/>
          <w:sz w:val="24"/>
          <w:szCs w:val="24"/>
        </w:rPr>
        <w:t xml:space="preserve"> </w:t>
      </w:r>
      <w:r w:rsidR="00806227">
        <w:rPr>
          <w:rFonts w:ascii="Arial" w:hAnsi="Arial" w:cs="Arial"/>
          <w:sz w:val="24"/>
          <w:szCs w:val="24"/>
        </w:rPr>
        <w:t>Com efeito</w:t>
      </w:r>
      <w:r>
        <w:rPr>
          <w:rFonts w:ascii="Arial" w:hAnsi="Arial" w:cs="Arial"/>
          <w:sz w:val="24"/>
          <w:szCs w:val="24"/>
        </w:rPr>
        <w:t xml:space="preserve">, </w:t>
      </w:r>
      <w:r w:rsidR="00806227">
        <w:rPr>
          <w:rFonts w:ascii="Arial" w:hAnsi="Arial" w:cs="Arial"/>
          <w:sz w:val="24"/>
          <w:szCs w:val="24"/>
        </w:rPr>
        <w:t>a criação de instrumentos que assegurem a unifor</w:t>
      </w:r>
      <w:r>
        <w:rPr>
          <w:rFonts w:ascii="Arial" w:hAnsi="Arial" w:cs="Arial"/>
          <w:sz w:val="24"/>
          <w:szCs w:val="24"/>
        </w:rPr>
        <w:t>midade ent</w:t>
      </w:r>
      <w:r w:rsidR="00846DF4">
        <w:rPr>
          <w:rFonts w:ascii="Arial" w:hAnsi="Arial" w:cs="Arial"/>
          <w:sz w:val="24"/>
          <w:szCs w:val="24"/>
        </w:rPr>
        <w:t>re decisões judiciais contribui</w:t>
      </w:r>
      <w:r>
        <w:rPr>
          <w:rFonts w:ascii="Arial" w:hAnsi="Arial" w:cs="Arial"/>
          <w:sz w:val="24"/>
          <w:szCs w:val="24"/>
        </w:rPr>
        <w:t xml:space="preserve"> para a construção </w:t>
      </w:r>
      <w:r w:rsidR="000D163F">
        <w:rPr>
          <w:rFonts w:ascii="Arial" w:hAnsi="Arial" w:cs="Arial"/>
          <w:sz w:val="24"/>
          <w:szCs w:val="24"/>
        </w:rPr>
        <w:t>do</w:t>
      </w:r>
      <w:r w:rsidRPr="00375324">
        <w:rPr>
          <w:rFonts w:ascii="Arial" w:hAnsi="Arial" w:cs="Arial"/>
          <w:sz w:val="24"/>
          <w:szCs w:val="24"/>
        </w:rPr>
        <w:t xml:space="preserve"> devido processo legal</w:t>
      </w:r>
      <w:r>
        <w:rPr>
          <w:rFonts w:ascii="Arial" w:hAnsi="Arial" w:cs="Arial"/>
          <w:sz w:val="24"/>
          <w:szCs w:val="24"/>
        </w:rPr>
        <w:t>, efetivamente</w:t>
      </w:r>
      <w:r w:rsidRPr="00375324">
        <w:rPr>
          <w:rFonts w:ascii="Arial" w:hAnsi="Arial" w:cs="Arial"/>
          <w:sz w:val="24"/>
          <w:szCs w:val="24"/>
        </w:rPr>
        <w:t xml:space="preserve"> informado por suas garantias processuais constitucionais</w:t>
      </w:r>
      <w:r>
        <w:rPr>
          <w:rFonts w:ascii="Arial" w:hAnsi="Arial" w:cs="Arial"/>
          <w:sz w:val="24"/>
          <w:szCs w:val="24"/>
        </w:rPr>
        <w:t>.</w:t>
      </w:r>
      <w:r w:rsidR="00F47460">
        <w:rPr>
          <w:rFonts w:ascii="Arial" w:hAnsi="Arial" w:cs="Arial"/>
          <w:sz w:val="24"/>
          <w:szCs w:val="24"/>
        </w:rPr>
        <w:t xml:space="preserve"> Entretanto, a repercussão geral não é o único instituto processual destinado a esse fim.</w:t>
      </w:r>
    </w:p>
    <w:p w14:paraId="62A4A3CB" w14:textId="7CA7EE92" w:rsidR="00375324" w:rsidRDefault="00F47460" w:rsidP="00375324">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Ao longo do tempo, alguns instrumentos que buscam </w:t>
      </w:r>
      <w:r w:rsidRPr="0076238B">
        <w:rPr>
          <w:rFonts w:ascii="Arial" w:hAnsi="Arial" w:cs="Arial"/>
          <w:sz w:val="24"/>
          <w:szCs w:val="24"/>
        </w:rPr>
        <w:t>implementar</w:t>
      </w:r>
      <w:r>
        <w:rPr>
          <w:rFonts w:ascii="Arial" w:hAnsi="Arial" w:cs="Arial"/>
          <w:sz w:val="24"/>
          <w:szCs w:val="24"/>
        </w:rPr>
        <w:t xml:space="preserve"> a compatibilização vertical das decisões judiciais foram </w:t>
      </w:r>
      <w:r w:rsidR="004C2E6B">
        <w:rPr>
          <w:rFonts w:ascii="Arial" w:hAnsi="Arial" w:cs="Arial"/>
          <w:sz w:val="24"/>
          <w:szCs w:val="24"/>
        </w:rPr>
        <w:t>instituídos</w:t>
      </w:r>
      <w:r>
        <w:rPr>
          <w:rFonts w:ascii="Arial" w:hAnsi="Arial" w:cs="Arial"/>
          <w:sz w:val="24"/>
          <w:szCs w:val="24"/>
        </w:rPr>
        <w:t xml:space="preserve">, conciliando a prestação </w:t>
      </w:r>
      <w:r>
        <w:rPr>
          <w:rFonts w:ascii="Arial" w:hAnsi="Arial" w:cs="Arial"/>
          <w:sz w:val="24"/>
          <w:szCs w:val="24"/>
        </w:rPr>
        <w:lastRenderedPageBreak/>
        <w:t xml:space="preserve">da tutela jurisdicional com mecanismos que imprimam ao processo maior celeridade e uniformidade. Nesse sentido, </w:t>
      </w:r>
      <w:r w:rsidR="005B5AAB">
        <w:rPr>
          <w:rFonts w:ascii="Arial" w:hAnsi="Arial" w:cs="Arial"/>
          <w:sz w:val="24"/>
          <w:szCs w:val="24"/>
        </w:rPr>
        <w:t>podem ser destacados os</w:t>
      </w:r>
      <w:r w:rsidR="00944492">
        <w:rPr>
          <w:rFonts w:ascii="Arial" w:hAnsi="Arial" w:cs="Arial"/>
          <w:sz w:val="24"/>
          <w:szCs w:val="24"/>
        </w:rPr>
        <w:t xml:space="preserve"> m</w:t>
      </w:r>
      <w:r w:rsidR="005B5AAB">
        <w:rPr>
          <w:rFonts w:ascii="Arial" w:hAnsi="Arial" w:cs="Arial"/>
          <w:sz w:val="24"/>
          <w:szCs w:val="24"/>
        </w:rPr>
        <w:t>ecanismos abaixo exemplificados.</w:t>
      </w:r>
    </w:p>
    <w:p w14:paraId="612C8DAB" w14:textId="62CA0769" w:rsidR="006D3A34" w:rsidRDefault="006D3A34" w:rsidP="004654CE">
      <w:pPr>
        <w:pStyle w:val="PargrafodaLista"/>
        <w:numPr>
          <w:ilvl w:val="0"/>
          <w:numId w:val="4"/>
        </w:numPr>
        <w:tabs>
          <w:tab w:val="left" w:pos="851"/>
          <w:tab w:val="left" w:pos="8364"/>
          <w:tab w:val="left" w:pos="8789"/>
        </w:tabs>
        <w:spacing w:before="120" w:after="120" w:line="360" w:lineRule="auto"/>
        <w:jc w:val="both"/>
        <w:rPr>
          <w:rFonts w:ascii="Arial" w:hAnsi="Arial" w:cs="Arial"/>
          <w:sz w:val="24"/>
          <w:szCs w:val="24"/>
        </w:rPr>
      </w:pPr>
      <w:r w:rsidRPr="0026790E">
        <w:rPr>
          <w:rFonts w:ascii="Arial" w:hAnsi="Arial" w:cs="Arial"/>
          <w:sz w:val="24"/>
          <w:szCs w:val="24"/>
        </w:rPr>
        <w:t>A possibilidade de o relator negar seguimento a recurso manifestamente inadmissível, improcedente, prejudicado ou em confronto com súmula ou com jurispru</w:t>
      </w:r>
      <w:r w:rsidR="000D163F">
        <w:rPr>
          <w:rFonts w:ascii="Arial" w:hAnsi="Arial" w:cs="Arial"/>
          <w:sz w:val="24"/>
          <w:szCs w:val="24"/>
        </w:rPr>
        <w:t xml:space="preserve">dência dominante do respectivo </w:t>
      </w:r>
      <w:r w:rsidR="00B45688">
        <w:rPr>
          <w:rFonts w:ascii="Arial" w:hAnsi="Arial" w:cs="Arial"/>
          <w:sz w:val="24"/>
          <w:szCs w:val="24"/>
        </w:rPr>
        <w:t>tribunal</w:t>
      </w:r>
      <w:r w:rsidR="00C87A88">
        <w:rPr>
          <w:rFonts w:ascii="Arial" w:hAnsi="Arial" w:cs="Arial"/>
          <w:sz w:val="24"/>
          <w:szCs w:val="24"/>
        </w:rPr>
        <w:t>, do Supremo Tribunal Federal</w:t>
      </w:r>
      <w:r w:rsidRPr="0026790E">
        <w:rPr>
          <w:rFonts w:ascii="Arial" w:hAnsi="Arial" w:cs="Arial"/>
          <w:sz w:val="24"/>
          <w:szCs w:val="24"/>
        </w:rPr>
        <w:t xml:space="preserve"> ou de </w:t>
      </w:r>
      <w:r w:rsidR="00B45688" w:rsidRPr="0026790E">
        <w:rPr>
          <w:rFonts w:ascii="Arial" w:hAnsi="Arial" w:cs="Arial"/>
          <w:sz w:val="24"/>
          <w:szCs w:val="24"/>
        </w:rPr>
        <w:t xml:space="preserve">tribunal superior </w:t>
      </w:r>
      <w:r w:rsidRPr="0026790E">
        <w:rPr>
          <w:rFonts w:ascii="Arial" w:hAnsi="Arial" w:cs="Arial"/>
          <w:sz w:val="24"/>
          <w:szCs w:val="24"/>
        </w:rPr>
        <w:t xml:space="preserve">(art. 557, </w:t>
      </w:r>
      <w:r w:rsidRPr="0026790E">
        <w:rPr>
          <w:rFonts w:ascii="Arial" w:hAnsi="Arial" w:cs="Arial"/>
          <w:i/>
          <w:sz w:val="24"/>
          <w:szCs w:val="24"/>
        </w:rPr>
        <w:t>caput</w:t>
      </w:r>
      <w:r w:rsidRPr="0026790E">
        <w:rPr>
          <w:rFonts w:ascii="Arial" w:hAnsi="Arial" w:cs="Arial"/>
          <w:sz w:val="24"/>
          <w:szCs w:val="24"/>
        </w:rPr>
        <w:t>, do Código de Processo Civil de 1973). Essa previsão se refere à redação conferida ao dispositivo pela Lei nº 9.756/</w:t>
      </w:r>
      <w:r w:rsidR="00DB2246">
        <w:rPr>
          <w:rFonts w:ascii="Arial" w:hAnsi="Arial" w:cs="Arial"/>
          <w:sz w:val="24"/>
          <w:szCs w:val="24"/>
        </w:rPr>
        <w:t>19</w:t>
      </w:r>
      <w:r w:rsidRPr="0026790E">
        <w:rPr>
          <w:rFonts w:ascii="Arial" w:hAnsi="Arial" w:cs="Arial"/>
          <w:sz w:val="24"/>
          <w:szCs w:val="24"/>
        </w:rPr>
        <w:t xml:space="preserve">98, mas se observa que já desde a redação originária de 1973 o dispositivo previa que </w:t>
      </w:r>
      <w:r w:rsidRPr="000D163F">
        <w:rPr>
          <w:rFonts w:ascii="Arial" w:hAnsi="Arial" w:cs="Arial"/>
          <w:sz w:val="24"/>
          <w:szCs w:val="24"/>
        </w:rPr>
        <w:t>“</w:t>
      </w:r>
      <w:r w:rsidR="00B768F5">
        <w:rPr>
          <w:rFonts w:ascii="Arial" w:hAnsi="Arial" w:cs="Arial"/>
          <w:sz w:val="24"/>
          <w:szCs w:val="24"/>
        </w:rPr>
        <w:t>s</w:t>
      </w:r>
      <w:r w:rsidRPr="000D163F">
        <w:rPr>
          <w:rFonts w:ascii="Arial" w:hAnsi="Arial" w:cs="Arial"/>
          <w:sz w:val="24"/>
          <w:szCs w:val="24"/>
        </w:rPr>
        <w:t>e o agravo for manifestamente improcedente, o relator poderá indeferi-lo por despacho”</w:t>
      </w:r>
      <w:r w:rsidRPr="0026790E">
        <w:rPr>
          <w:rFonts w:ascii="Arial" w:hAnsi="Arial" w:cs="Arial"/>
          <w:sz w:val="24"/>
          <w:szCs w:val="24"/>
        </w:rPr>
        <w:t>. Anteriormente,</w:t>
      </w:r>
      <w:r w:rsidR="004654CE">
        <w:rPr>
          <w:rFonts w:ascii="Arial" w:hAnsi="Arial" w:cs="Arial"/>
          <w:sz w:val="24"/>
          <w:szCs w:val="24"/>
        </w:rPr>
        <w:t xml:space="preserve"> o dispositivo já havia sido ampliado pela Lei nº 9.139/</w:t>
      </w:r>
      <w:r w:rsidR="004A6240">
        <w:rPr>
          <w:rFonts w:ascii="Arial" w:hAnsi="Arial" w:cs="Arial"/>
          <w:sz w:val="24"/>
          <w:szCs w:val="24"/>
        </w:rPr>
        <w:t>19</w:t>
      </w:r>
      <w:r w:rsidR="00E57781">
        <w:rPr>
          <w:rFonts w:ascii="Arial" w:hAnsi="Arial" w:cs="Arial"/>
          <w:sz w:val="24"/>
          <w:szCs w:val="24"/>
        </w:rPr>
        <w:t>95</w:t>
      </w:r>
      <w:r w:rsidR="004654CE">
        <w:rPr>
          <w:rFonts w:ascii="Arial" w:hAnsi="Arial" w:cs="Arial"/>
          <w:sz w:val="24"/>
          <w:szCs w:val="24"/>
        </w:rPr>
        <w:t xml:space="preserve"> para afirmar que </w:t>
      </w:r>
      <w:r w:rsidR="004654CE" w:rsidRPr="004E51E4">
        <w:rPr>
          <w:rFonts w:ascii="Arial" w:hAnsi="Arial" w:cs="Arial"/>
          <w:sz w:val="24"/>
          <w:szCs w:val="24"/>
        </w:rPr>
        <w:t>“o relator negará seguimento a recurso manifestamente inadmissível, improcedente, prejudicado ou contrário à súmula do respectivo tribunal ou tribunal superior”</w:t>
      </w:r>
      <w:r w:rsidR="004654CE">
        <w:rPr>
          <w:rFonts w:ascii="Arial" w:hAnsi="Arial" w:cs="Arial"/>
          <w:sz w:val="24"/>
          <w:szCs w:val="24"/>
        </w:rPr>
        <w:t>.</w:t>
      </w:r>
      <w:r w:rsidR="0061028A">
        <w:rPr>
          <w:rFonts w:ascii="Arial" w:hAnsi="Arial" w:cs="Arial"/>
          <w:sz w:val="24"/>
          <w:szCs w:val="24"/>
        </w:rPr>
        <w:t xml:space="preserve"> Esse dispositivo é reproduzido no CPC/2015, com algumas alterações, em seu art. 932, IV.</w:t>
      </w:r>
    </w:p>
    <w:p w14:paraId="0543BAAE" w14:textId="3CCD945C" w:rsidR="0026790E" w:rsidRDefault="007864E2" w:rsidP="0061028A">
      <w:pPr>
        <w:pStyle w:val="PargrafodaLista"/>
        <w:numPr>
          <w:ilvl w:val="0"/>
          <w:numId w:val="4"/>
        </w:num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 possibilidade</w:t>
      </w:r>
      <w:r w:rsidR="00E0226F">
        <w:rPr>
          <w:rFonts w:ascii="Arial" w:hAnsi="Arial" w:cs="Arial"/>
          <w:sz w:val="24"/>
          <w:szCs w:val="24"/>
        </w:rPr>
        <w:t>, igualmente,</w:t>
      </w:r>
      <w:r>
        <w:rPr>
          <w:rFonts w:ascii="Arial" w:hAnsi="Arial" w:cs="Arial"/>
          <w:sz w:val="24"/>
          <w:szCs w:val="24"/>
        </w:rPr>
        <w:t xml:space="preserve"> de o relator dar provimento </w:t>
      </w:r>
      <w:r w:rsidR="00E0226F">
        <w:rPr>
          <w:rFonts w:ascii="Arial" w:hAnsi="Arial" w:cs="Arial"/>
          <w:sz w:val="24"/>
          <w:szCs w:val="24"/>
        </w:rPr>
        <w:t xml:space="preserve">a recurso </w:t>
      </w:r>
      <w:r w:rsidR="0061028A">
        <w:rPr>
          <w:rFonts w:ascii="Arial" w:hAnsi="Arial" w:cs="Arial"/>
          <w:sz w:val="24"/>
          <w:szCs w:val="24"/>
        </w:rPr>
        <w:t>que se volte contra decisão manifestamente contrária a súmula ou</w:t>
      </w:r>
      <w:r w:rsidR="0061028A" w:rsidRPr="0061028A">
        <w:rPr>
          <w:rFonts w:ascii="Arial" w:hAnsi="Arial" w:cs="Arial"/>
          <w:sz w:val="24"/>
          <w:szCs w:val="24"/>
        </w:rPr>
        <w:t xml:space="preserve"> jurisprudência domina</w:t>
      </w:r>
      <w:r w:rsidR="005F2ACB">
        <w:rPr>
          <w:rFonts w:ascii="Arial" w:hAnsi="Arial" w:cs="Arial"/>
          <w:sz w:val="24"/>
          <w:szCs w:val="24"/>
        </w:rPr>
        <w:t>nte do Supremo Tribunal Federal</w:t>
      </w:r>
      <w:r w:rsidR="0061028A" w:rsidRPr="0061028A">
        <w:rPr>
          <w:rFonts w:ascii="Arial" w:hAnsi="Arial" w:cs="Arial"/>
          <w:sz w:val="24"/>
          <w:szCs w:val="24"/>
        </w:rPr>
        <w:t xml:space="preserve"> ou de </w:t>
      </w:r>
      <w:r w:rsidR="00B45688" w:rsidRPr="0061028A">
        <w:rPr>
          <w:rFonts w:ascii="Arial" w:hAnsi="Arial" w:cs="Arial"/>
          <w:sz w:val="24"/>
          <w:szCs w:val="24"/>
        </w:rPr>
        <w:t>tribunal superior</w:t>
      </w:r>
      <w:r w:rsidR="00B45688">
        <w:rPr>
          <w:rFonts w:ascii="Arial" w:hAnsi="Arial" w:cs="Arial"/>
          <w:sz w:val="24"/>
          <w:szCs w:val="24"/>
        </w:rPr>
        <w:t xml:space="preserve"> </w:t>
      </w:r>
      <w:r w:rsidR="0061028A">
        <w:rPr>
          <w:rFonts w:ascii="Arial" w:hAnsi="Arial" w:cs="Arial"/>
          <w:sz w:val="24"/>
          <w:szCs w:val="24"/>
        </w:rPr>
        <w:t>(</w:t>
      </w:r>
      <w:r w:rsidR="0061028A" w:rsidRPr="0026790E">
        <w:rPr>
          <w:rFonts w:ascii="Arial" w:hAnsi="Arial" w:cs="Arial"/>
          <w:sz w:val="24"/>
          <w:szCs w:val="24"/>
        </w:rPr>
        <w:t xml:space="preserve">art. </w:t>
      </w:r>
      <w:r w:rsidR="0061028A">
        <w:rPr>
          <w:rFonts w:ascii="Arial" w:hAnsi="Arial" w:cs="Arial"/>
          <w:sz w:val="24"/>
          <w:szCs w:val="24"/>
        </w:rPr>
        <w:t>557, §</w:t>
      </w:r>
      <w:r w:rsidR="004E51E4">
        <w:rPr>
          <w:rFonts w:ascii="Arial" w:hAnsi="Arial" w:cs="Arial"/>
          <w:sz w:val="24"/>
          <w:szCs w:val="24"/>
        </w:rPr>
        <w:t xml:space="preserve"> </w:t>
      </w:r>
      <w:r w:rsidR="0061028A">
        <w:rPr>
          <w:rFonts w:ascii="Arial" w:hAnsi="Arial" w:cs="Arial"/>
          <w:sz w:val="24"/>
          <w:szCs w:val="24"/>
        </w:rPr>
        <w:t>1º</w:t>
      </w:r>
      <w:r w:rsidR="0061028A" w:rsidRPr="0026790E">
        <w:rPr>
          <w:rFonts w:ascii="Arial" w:hAnsi="Arial" w:cs="Arial"/>
          <w:sz w:val="24"/>
          <w:szCs w:val="24"/>
        </w:rPr>
        <w:t>, do Código de Processo Civil de 1973</w:t>
      </w:r>
      <w:r w:rsidR="0061028A">
        <w:rPr>
          <w:rFonts w:ascii="Arial" w:hAnsi="Arial" w:cs="Arial"/>
          <w:sz w:val="24"/>
          <w:szCs w:val="24"/>
        </w:rPr>
        <w:t>). Esse dispositivo é reproduzido no CPC/2015, com algumas alterações, em seu art. 932, V.</w:t>
      </w:r>
    </w:p>
    <w:p w14:paraId="125D6BB9" w14:textId="23D65136" w:rsidR="0061028A" w:rsidRDefault="0061028A" w:rsidP="00B2544C">
      <w:pPr>
        <w:pStyle w:val="PargrafodaLista"/>
        <w:numPr>
          <w:ilvl w:val="0"/>
          <w:numId w:val="4"/>
        </w:num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 xml:space="preserve">A possibilidade de o juiz de primeiro grau negar o recebimento do recurso de apelação nos casos em que a sentença </w:t>
      </w:r>
      <w:r w:rsidRPr="004E51E4">
        <w:rPr>
          <w:rFonts w:ascii="Arial" w:hAnsi="Arial" w:cs="Arial"/>
          <w:sz w:val="24"/>
          <w:szCs w:val="24"/>
        </w:rPr>
        <w:t>“estiver em conformidade com súmula do Superior Tribunal de Justiça ou do Supremo Tribunal Federal”</w:t>
      </w:r>
      <w:r>
        <w:rPr>
          <w:rFonts w:ascii="Arial" w:hAnsi="Arial" w:cs="Arial"/>
          <w:sz w:val="24"/>
          <w:szCs w:val="24"/>
        </w:rPr>
        <w:t xml:space="preserve"> (art. 518, § 1º, do CPC/</w:t>
      </w:r>
      <w:r w:rsidR="008D6DCA">
        <w:rPr>
          <w:rFonts w:ascii="Arial" w:hAnsi="Arial" w:cs="Arial"/>
          <w:sz w:val="24"/>
          <w:szCs w:val="24"/>
        </w:rPr>
        <w:t>19</w:t>
      </w:r>
      <w:r>
        <w:rPr>
          <w:rFonts w:ascii="Arial" w:hAnsi="Arial" w:cs="Arial"/>
          <w:sz w:val="24"/>
          <w:szCs w:val="24"/>
        </w:rPr>
        <w:t>73).</w:t>
      </w:r>
      <w:r w:rsidR="00B2544C">
        <w:rPr>
          <w:rFonts w:ascii="Arial" w:hAnsi="Arial" w:cs="Arial"/>
          <w:sz w:val="24"/>
          <w:szCs w:val="24"/>
        </w:rPr>
        <w:t xml:space="preserve"> Quanto ao ponto, destaca-se que o dispositivo não foi mantido no CPC/2015, já que se pôs fim ao juízo de admissibilidade, pelo juízo de primeiro grau, no recurso de apelação. A propósito, o art. 1.010, § 3º, do CPC/2015 dispõe que</w:t>
      </w:r>
      <w:r w:rsidR="002E518C">
        <w:rPr>
          <w:rFonts w:ascii="Arial" w:hAnsi="Arial" w:cs="Arial"/>
          <w:sz w:val="24"/>
          <w:szCs w:val="24"/>
        </w:rPr>
        <w:t>,</w:t>
      </w:r>
      <w:r w:rsidR="00B2544C">
        <w:rPr>
          <w:rFonts w:ascii="Arial" w:hAnsi="Arial" w:cs="Arial"/>
          <w:sz w:val="24"/>
          <w:szCs w:val="24"/>
        </w:rPr>
        <w:t xml:space="preserve"> </w:t>
      </w:r>
      <w:r w:rsidR="00B768F5">
        <w:rPr>
          <w:rFonts w:ascii="Arial" w:hAnsi="Arial" w:cs="Arial"/>
          <w:sz w:val="24"/>
          <w:szCs w:val="24"/>
        </w:rPr>
        <w:t>“a</w:t>
      </w:r>
      <w:r w:rsidR="00B2544C" w:rsidRPr="00A75CE8">
        <w:rPr>
          <w:rFonts w:ascii="Arial" w:hAnsi="Arial" w:cs="Arial"/>
          <w:sz w:val="24"/>
          <w:szCs w:val="24"/>
        </w:rPr>
        <w:t>pós as formalidades previstas nos §§ 1º (intimação do apelado para apresentação de contrarrazões) e 2º (intimação do apelante para oferecer contrarrazões diante de eventual apelação adesiva), os autos serão remetidos ao tribunal pelo juiz, independentemente de juízo de admissibilidade”</w:t>
      </w:r>
      <w:r w:rsidR="00B2544C" w:rsidRPr="00B2544C">
        <w:rPr>
          <w:rFonts w:ascii="Arial" w:hAnsi="Arial" w:cs="Arial"/>
          <w:sz w:val="24"/>
          <w:szCs w:val="24"/>
        </w:rPr>
        <w:t>.</w:t>
      </w:r>
    </w:p>
    <w:p w14:paraId="24FA48C3" w14:textId="09BD1FCB" w:rsidR="008405D1" w:rsidRDefault="008405D1" w:rsidP="008405D1">
      <w:pPr>
        <w:pStyle w:val="PargrafodaLista"/>
        <w:numPr>
          <w:ilvl w:val="0"/>
          <w:numId w:val="4"/>
        </w:numPr>
        <w:tabs>
          <w:tab w:val="left" w:pos="851"/>
          <w:tab w:val="left" w:pos="8364"/>
          <w:tab w:val="left" w:pos="8789"/>
        </w:tabs>
        <w:spacing w:before="120" w:after="120" w:line="360" w:lineRule="auto"/>
        <w:jc w:val="both"/>
        <w:rPr>
          <w:rFonts w:ascii="Arial" w:hAnsi="Arial" w:cs="Arial"/>
          <w:sz w:val="24"/>
          <w:szCs w:val="24"/>
        </w:rPr>
      </w:pPr>
      <w:r w:rsidRPr="008405D1">
        <w:rPr>
          <w:rFonts w:ascii="Arial" w:hAnsi="Arial" w:cs="Arial"/>
          <w:sz w:val="24"/>
          <w:szCs w:val="24"/>
        </w:rPr>
        <w:t>A possibilidade de improcedência liminar do pedido, que na vigência do CPC/</w:t>
      </w:r>
      <w:r w:rsidR="003559B2">
        <w:rPr>
          <w:rFonts w:ascii="Arial" w:hAnsi="Arial" w:cs="Arial"/>
          <w:sz w:val="24"/>
          <w:szCs w:val="24"/>
        </w:rPr>
        <w:t>19</w:t>
      </w:r>
      <w:r w:rsidRPr="008405D1">
        <w:rPr>
          <w:rFonts w:ascii="Arial" w:hAnsi="Arial" w:cs="Arial"/>
          <w:sz w:val="24"/>
          <w:szCs w:val="24"/>
        </w:rPr>
        <w:t xml:space="preserve">73 se mostrava possível nos casos em que a matéria controvertida fosse unicamente de direito e no juízo já houvesse sido proferida sentença de total improcedência em outros casos idênticos, quando poderia ser dispensada a citação e proferida desde </w:t>
      </w:r>
      <w:r w:rsidRPr="008405D1">
        <w:rPr>
          <w:rFonts w:ascii="Arial" w:hAnsi="Arial" w:cs="Arial"/>
          <w:sz w:val="24"/>
          <w:szCs w:val="24"/>
        </w:rPr>
        <w:lastRenderedPageBreak/>
        <w:t>logo a sentença, reproduzindo-se o teor da anteriormente prolatada. O instituto, curiosamente, trazia hipótese não propriamente de verticalização, visto que se vinculava a decisões anteriores proferidas pelo próprio juízo. No CPC/2015, persiste o instituto da improcedência liminar do pedido, mas sob roupagem absolutamente diversa. Suas hipóteses estão previstas no art. 332 do CP</w:t>
      </w:r>
      <w:r w:rsidR="00812D8E">
        <w:rPr>
          <w:rFonts w:ascii="Arial" w:hAnsi="Arial" w:cs="Arial"/>
          <w:sz w:val="24"/>
          <w:szCs w:val="24"/>
        </w:rPr>
        <w:t xml:space="preserve">C/2015, quando o pedido </w:t>
      </w:r>
      <w:proofErr w:type="gramStart"/>
      <w:r w:rsidR="00812D8E">
        <w:rPr>
          <w:rFonts w:ascii="Arial" w:hAnsi="Arial" w:cs="Arial"/>
          <w:sz w:val="24"/>
          <w:szCs w:val="24"/>
        </w:rPr>
        <w:t>coloca</w:t>
      </w:r>
      <w:r w:rsidRPr="008405D1">
        <w:rPr>
          <w:rFonts w:ascii="Arial" w:hAnsi="Arial" w:cs="Arial"/>
          <w:sz w:val="24"/>
          <w:szCs w:val="24"/>
        </w:rPr>
        <w:t>-se</w:t>
      </w:r>
      <w:proofErr w:type="gramEnd"/>
      <w:r w:rsidRPr="008405D1">
        <w:rPr>
          <w:rFonts w:ascii="Arial" w:hAnsi="Arial" w:cs="Arial"/>
          <w:sz w:val="24"/>
          <w:szCs w:val="24"/>
        </w:rPr>
        <w:t xml:space="preserve"> em oposição a: (i) enunciado de súmula do Supremo Tribunal Federal ou do Superior Tribunal de Justiça; (</w:t>
      </w:r>
      <w:proofErr w:type="spellStart"/>
      <w:r w:rsidRPr="008405D1">
        <w:rPr>
          <w:rFonts w:ascii="Arial" w:hAnsi="Arial" w:cs="Arial"/>
          <w:sz w:val="24"/>
          <w:szCs w:val="24"/>
        </w:rPr>
        <w:t>ii</w:t>
      </w:r>
      <w:proofErr w:type="spellEnd"/>
      <w:r w:rsidRPr="008405D1">
        <w:rPr>
          <w:rFonts w:ascii="Arial" w:hAnsi="Arial" w:cs="Arial"/>
          <w:sz w:val="24"/>
          <w:szCs w:val="24"/>
        </w:rPr>
        <w:t>) acórdão proferido pelo Supremo Tribunal Federal ou pelo Superior Tribunal de Justiça em julgamento de recursos repetitivos; (</w:t>
      </w:r>
      <w:proofErr w:type="spellStart"/>
      <w:r w:rsidRPr="008405D1">
        <w:rPr>
          <w:rFonts w:ascii="Arial" w:hAnsi="Arial" w:cs="Arial"/>
          <w:sz w:val="24"/>
          <w:szCs w:val="24"/>
        </w:rPr>
        <w:t>iii</w:t>
      </w:r>
      <w:proofErr w:type="spellEnd"/>
      <w:r w:rsidRPr="008405D1">
        <w:rPr>
          <w:rFonts w:ascii="Arial" w:hAnsi="Arial" w:cs="Arial"/>
          <w:sz w:val="24"/>
          <w:szCs w:val="24"/>
        </w:rPr>
        <w:t>) entendimento firmado em incidente de resolução de demandas repetitivas ou de assunção de competência;</w:t>
      </w:r>
      <w:r w:rsidR="00345D32">
        <w:rPr>
          <w:rFonts w:ascii="Arial" w:hAnsi="Arial" w:cs="Arial"/>
          <w:sz w:val="24"/>
          <w:szCs w:val="24"/>
        </w:rPr>
        <w:t xml:space="preserve"> e</w:t>
      </w:r>
      <w:r>
        <w:rPr>
          <w:rFonts w:ascii="Arial" w:hAnsi="Arial" w:cs="Arial"/>
          <w:sz w:val="24"/>
          <w:szCs w:val="24"/>
        </w:rPr>
        <w:t xml:space="preserve"> (</w:t>
      </w:r>
      <w:proofErr w:type="spellStart"/>
      <w:r>
        <w:rPr>
          <w:rFonts w:ascii="Arial" w:hAnsi="Arial" w:cs="Arial"/>
          <w:sz w:val="24"/>
          <w:szCs w:val="24"/>
        </w:rPr>
        <w:t>iv</w:t>
      </w:r>
      <w:proofErr w:type="spellEnd"/>
      <w:r>
        <w:rPr>
          <w:rFonts w:ascii="Arial" w:hAnsi="Arial" w:cs="Arial"/>
          <w:sz w:val="24"/>
          <w:szCs w:val="24"/>
        </w:rPr>
        <w:t xml:space="preserve">) </w:t>
      </w:r>
      <w:r w:rsidR="001C3D12">
        <w:rPr>
          <w:rFonts w:ascii="Arial" w:hAnsi="Arial" w:cs="Arial"/>
          <w:sz w:val="24"/>
          <w:szCs w:val="24"/>
        </w:rPr>
        <w:t xml:space="preserve">enunciado de súmula de </w:t>
      </w:r>
      <w:r w:rsidR="006F1858">
        <w:rPr>
          <w:rFonts w:ascii="Arial" w:hAnsi="Arial" w:cs="Arial"/>
          <w:sz w:val="24"/>
          <w:szCs w:val="24"/>
        </w:rPr>
        <w:t>T</w:t>
      </w:r>
      <w:r w:rsidR="00B45688" w:rsidRPr="008405D1">
        <w:rPr>
          <w:rFonts w:ascii="Arial" w:hAnsi="Arial" w:cs="Arial"/>
          <w:sz w:val="24"/>
          <w:szCs w:val="24"/>
        </w:rPr>
        <w:t xml:space="preserve">ribunal de </w:t>
      </w:r>
      <w:r w:rsidR="006F1858">
        <w:rPr>
          <w:rFonts w:ascii="Arial" w:hAnsi="Arial" w:cs="Arial"/>
          <w:sz w:val="24"/>
          <w:szCs w:val="24"/>
        </w:rPr>
        <w:t>J</w:t>
      </w:r>
      <w:r w:rsidR="00B45688" w:rsidRPr="008405D1">
        <w:rPr>
          <w:rFonts w:ascii="Arial" w:hAnsi="Arial" w:cs="Arial"/>
          <w:sz w:val="24"/>
          <w:szCs w:val="24"/>
        </w:rPr>
        <w:t xml:space="preserve">ustiça sobre </w:t>
      </w:r>
      <w:r w:rsidR="00B45688">
        <w:rPr>
          <w:rFonts w:ascii="Arial" w:hAnsi="Arial" w:cs="Arial"/>
          <w:sz w:val="24"/>
          <w:szCs w:val="24"/>
        </w:rPr>
        <w:t>d</w:t>
      </w:r>
      <w:r w:rsidR="00B45688" w:rsidRPr="008405D1">
        <w:rPr>
          <w:rFonts w:ascii="Arial" w:hAnsi="Arial" w:cs="Arial"/>
          <w:sz w:val="24"/>
          <w:szCs w:val="24"/>
        </w:rPr>
        <w:t xml:space="preserve">ireito </w:t>
      </w:r>
      <w:r w:rsidRPr="008405D1">
        <w:rPr>
          <w:rFonts w:ascii="Arial" w:hAnsi="Arial" w:cs="Arial"/>
          <w:sz w:val="24"/>
          <w:szCs w:val="24"/>
        </w:rPr>
        <w:t>local.</w:t>
      </w:r>
      <w:r w:rsidR="003D7304">
        <w:rPr>
          <w:rFonts w:ascii="Arial" w:hAnsi="Arial" w:cs="Arial"/>
          <w:sz w:val="24"/>
          <w:szCs w:val="24"/>
        </w:rPr>
        <w:t xml:space="preserve"> Nota-se</w:t>
      </w:r>
      <w:r w:rsidR="00FC7643">
        <w:rPr>
          <w:rFonts w:ascii="Arial" w:hAnsi="Arial" w:cs="Arial"/>
          <w:sz w:val="24"/>
          <w:szCs w:val="24"/>
        </w:rPr>
        <w:t xml:space="preserve"> que</w:t>
      </w:r>
      <w:r w:rsidR="003D7304">
        <w:rPr>
          <w:rFonts w:ascii="Arial" w:hAnsi="Arial" w:cs="Arial"/>
          <w:sz w:val="24"/>
          <w:szCs w:val="24"/>
        </w:rPr>
        <w:t>,</w:t>
      </w:r>
      <w:r w:rsidR="00FC7643">
        <w:rPr>
          <w:rFonts w:ascii="Arial" w:hAnsi="Arial" w:cs="Arial"/>
          <w:sz w:val="24"/>
          <w:szCs w:val="24"/>
        </w:rPr>
        <w:t xml:space="preserve"> sob a égide do Novo CPC, é mais lógico o enquadramento dessas </w:t>
      </w:r>
      <w:r w:rsidR="00FC7643" w:rsidRPr="00D61D65">
        <w:rPr>
          <w:rFonts w:ascii="Arial" w:hAnsi="Arial" w:cs="Arial"/>
          <w:sz w:val="24"/>
          <w:szCs w:val="24"/>
        </w:rPr>
        <w:t>hipóteses</w:t>
      </w:r>
      <w:r w:rsidR="00FC7643">
        <w:rPr>
          <w:rFonts w:ascii="Arial" w:hAnsi="Arial" w:cs="Arial"/>
          <w:sz w:val="24"/>
          <w:szCs w:val="24"/>
        </w:rPr>
        <w:t xml:space="preserve"> como situações de compatibilização vertical de decisões.</w:t>
      </w:r>
      <w:r>
        <w:rPr>
          <w:rFonts w:ascii="Arial" w:hAnsi="Arial" w:cs="Arial"/>
          <w:sz w:val="24"/>
          <w:szCs w:val="24"/>
        </w:rPr>
        <w:t xml:space="preserve"> Ness</w:t>
      </w:r>
      <w:r w:rsidR="00D61D65">
        <w:rPr>
          <w:rFonts w:ascii="Arial" w:hAnsi="Arial" w:cs="Arial"/>
          <w:sz w:val="24"/>
          <w:szCs w:val="24"/>
        </w:rPr>
        <w:t>e</w:t>
      </w:r>
      <w:r>
        <w:rPr>
          <w:rFonts w:ascii="Arial" w:hAnsi="Arial" w:cs="Arial"/>
          <w:sz w:val="24"/>
          <w:szCs w:val="24"/>
        </w:rPr>
        <w:t xml:space="preserve">s </w:t>
      </w:r>
      <w:r w:rsidR="00D61D65">
        <w:rPr>
          <w:rFonts w:ascii="Arial" w:hAnsi="Arial" w:cs="Arial"/>
          <w:sz w:val="24"/>
          <w:szCs w:val="24"/>
        </w:rPr>
        <w:t>casos</w:t>
      </w:r>
      <w:r>
        <w:rPr>
          <w:rFonts w:ascii="Arial" w:hAnsi="Arial" w:cs="Arial"/>
          <w:sz w:val="24"/>
          <w:szCs w:val="24"/>
        </w:rPr>
        <w:t>, possibilita</w:t>
      </w:r>
      <w:r w:rsidR="008C2C67">
        <w:rPr>
          <w:rFonts w:ascii="Arial" w:hAnsi="Arial" w:cs="Arial"/>
          <w:sz w:val="24"/>
          <w:szCs w:val="24"/>
        </w:rPr>
        <w:t>m</w:t>
      </w:r>
      <w:r>
        <w:rPr>
          <w:rFonts w:ascii="Arial" w:hAnsi="Arial" w:cs="Arial"/>
          <w:sz w:val="24"/>
          <w:szCs w:val="24"/>
        </w:rPr>
        <w:t>-se a dispensa da fase instrutória e a prolação de sentença de improcedência do pedido independentemente da citação do réu.</w:t>
      </w:r>
    </w:p>
    <w:p w14:paraId="30C62F4B" w14:textId="5E10BAD7" w:rsidR="00ED570C" w:rsidRDefault="00ED570C" w:rsidP="00EB6D8F">
      <w:pPr>
        <w:pStyle w:val="PargrafodaLista"/>
        <w:numPr>
          <w:ilvl w:val="0"/>
          <w:numId w:val="4"/>
        </w:numPr>
        <w:tabs>
          <w:tab w:val="left" w:pos="851"/>
          <w:tab w:val="left" w:pos="8364"/>
          <w:tab w:val="left" w:pos="8789"/>
        </w:tabs>
        <w:spacing w:before="120" w:after="120" w:line="360" w:lineRule="auto"/>
        <w:jc w:val="both"/>
        <w:rPr>
          <w:rFonts w:ascii="Arial" w:hAnsi="Arial" w:cs="Arial"/>
          <w:sz w:val="24"/>
          <w:szCs w:val="24"/>
        </w:rPr>
      </w:pPr>
      <w:r w:rsidRPr="00EB6D8F">
        <w:rPr>
          <w:rFonts w:ascii="Arial" w:hAnsi="Arial" w:cs="Arial"/>
          <w:sz w:val="24"/>
          <w:szCs w:val="24"/>
        </w:rPr>
        <w:t xml:space="preserve">Por fim, cabe mencionar ainda o art. </w:t>
      </w:r>
      <w:r w:rsidR="000D4FA2" w:rsidRPr="00EB6D8F">
        <w:rPr>
          <w:rFonts w:ascii="Arial" w:hAnsi="Arial" w:cs="Arial"/>
          <w:sz w:val="24"/>
          <w:szCs w:val="24"/>
        </w:rPr>
        <w:t xml:space="preserve">927 do CPC/2015, que revela a introdução de novos institutos e ferramentas destinados a assegurar maior </w:t>
      </w:r>
      <w:proofErr w:type="spellStart"/>
      <w:r w:rsidR="000D4FA2" w:rsidRPr="00EB6D8F">
        <w:rPr>
          <w:rFonts w:ascii="Arial" w:hAnsi="Arial" w:cs="Arial"/>
          <w:sz w:val="24"/>
          <w:szCs w:val="24"/>
        </w:rPr>
        <w:t>vinculatividade</w:t>
      </w:r>
      <w:proofErr w:type="spellEnd"/>
      <w:r w:rsidR="000D4FA2" w:rsidRPr="00EB6D8F">
        <w:rPr>
          <w:rFonts w:ascii="Arial" w:hAnsi="Arial" w:cs="Arial"/>
          <w:sz w:val="24"/>
          <w:szCs w:val="24"/>
        </w:rPr>
        <w:t xml:space="preserve"> e estabilidade das decisões judiciais e, assim, sua compatibilização vertical. O dispositivo, conforme a interpretação que a doutrina majoritária lhe vem conferindo, implica um dever de </w:t>
      </w:r>
      <w:r w:rsidR="00EB6D8F" w:rsidRPr="00EB6D8F">
        <w:rPr>
          <w:rFonts w:ascii="Arial" w:hAnsi="Arial" w:cs="Arial"/>
          <w:sz w:val="24"/>
          <w:szCs w:val="24"/>
        </w:rPr>
        <w:t xml:space="preserve">os juízes e </w:t>
      </w:r>
      <w:r w:rsidR="00E127BE">
        <w:rPr>
          <w:rFonts w:ascii="Arial" w:hAnsi="Arial" w:cs="Arial"/>
          <w:sz w:val="24"/>
          <w:szCs w:val="24"/>
        </w:rPr>
        <w:t>tribunais</w:t>
      </w:r>
      <w:r w:rsidR="00EB6D8F" w:rsidRPr="00EB6D8F">
        <w:rPr>
          <w:rFonts w:ascii="Arial" w:hAnsi="Arial" w:cs="Arial"/>
          <w:sz w:val="24"/>
          <w:szCs w:val="24"/>
        </w:rPr>
        <w:t xml:space="preserve"> seguirem, vinculativamente, o que disposto: (i) em decisões do Supremo Tribunal Federal em controle concentrado de constitucionalidade; (</w:t>
      </w:r>
      <w:proofErr w:type="spellStart"/>
      <w:r w:rsidR="00EB6D8F" w:rsidRPr="00EB6D8F">
        <w:rPr>
          <w:rFonts w:ascii="Arial" w:hAnsi="Arial" w:cs="Arial"/>
          <w:sz w:val="24"/>
          <w:szCs w:val="24"/>
        </w:rPr>
        <w:t>ii</w:t>
      </w:r>
      <w:proofErr w:type="spellEnd"/>
      <w:r w:rsidR="00EB6D8F" w:rsidRPr="00EB6D8F">
        <w:rPr>
          <w:rFonts w:ascii="Arial" w:hAnsi="Arial" w:cs="Arial"/>
          <w:sz w:val="24"/>
          <w:szCs w:val="24"/>
        </w:rPr>
        <w:t>) em enunciados de súmula vinculante; (</w:t>
      </w:r>
      <w:proofErr w:type="spellStart"/>
      <w:r w:rsidR="00EB6D8F" w:rsidRPr="00EB6D8F">
        <w:rPr>
          <w:rFonts w:ascii="Arial" w:hAnsi="Arial" w:cs="Arial"/>
          <w:sz w:val="24"/>
          <w:szCs w:val="24"/>
        </w:rPr>
        <w:t>iii</w:t>
      </w:r>
      <w:proofErr w:type="spellEnd"/>
      <w:r w:rsidR="00EB6D8F" w:rsidRPr="00EB6D8F">
        <w:rPr>
          <w:rFonts w:ascii="Arial" w:hAnsi="Arial" w:cs="Arial"/>
          <w:sz w:val="24"/>
          <w:szCs w:val="24"/>
        </w:rPr>
        <w:t>) em acórdãos em incidente de assunção de competência ou de resolução de demandas repetitivas e em julgamento de recursos extraordinário e especial repetitivos; (</w:t>
      </w:r>
      <w:proofErr w:type="spellStart"/>
      <w:r w:rsidR="00EB6D8F" w:rsidRPr="00EB6D8F">
        <w:rPr>
          <w:rFonts w:ascii="Arial" w:hAnsi="Arial" w:cs="Arial"/>
          <w:sz w:val="24"/>
          <w:szCs w:val="24"/>
        </w:rPr>
        <w:t>iv</w:t>
      </w:r>
      <w:proofErr w:type="spellEnd"/>
      <w:r w:rsidR="00EB6D8F" w:rsidRPr="00EB6D8F">
        <w:rPr>
          <w:rFonts w:ascii="Arial" w:hAnsi="Arial" w:cs="Arial"/>
          <w:sz w:val="24"/>
          <w:szCs w:val="24"/>
        </w:rPr>
        <w:t xml:space="preserve">) em enunciados das súmulas do Supremo Tribunal Federal em matéria constitucional e do Superior Tribunal de Justiça em matéria infraconstitucional; </w:t>
      </w:r>
      <w:r w:rsidR="00FE5F13">
        <w:rPr>
          <w:rFonts w:ascii="Arial" w:hAnsi="Arial" w:cs="Arial"/>
          <w:sz w:val="24"/>
          <w:szCs w:val="24"/>
        </w:rPr>
        <w:t xml:space="preserve">e </w:t>
      </w:r>
      <w:r w:rsidR="00EB6D8F" w:rsidRPr="00EB6D8F">
        <w:rPr>
          <w:rFonts w:ascii="Arial" w:hAnsi="Arial" w:cs="Arial"/>
          <w:sz w:val="24"/>
          <w:szCs w:val="24"/>
        </w:rPr>
        <w:t>(v) em orientação do plenário ou do órgão especial aos quais estiverem vinculados.</w:t>
      </w:r>
      <w:r w:rsidR="00EB6D8F">
        <w:rPr>
          <w:rFonts w:ascii="Arial" w:hAnsi="Arial" w:cs="Arial"/>
          <w:sz w:val="24"/>
          <w:szCs w:val="24"/>
        </w:rPr>
        <w:t xml:space="preserve"> Na Aula 01, discutimos um pouco as interpretações possíveis ao dispositivo, bem como a sua (</w:t>
      </w:r>
      <w:proofErr w:type="gramStart"/>
      <w:r w:rsidR="00EB6D8F">
        <w:rPr>
          <w:rFonts w:ascii="Arial" w:hAnsi="Arial" w:cs="Arial"/>
          <w:sz w:val="24"/>
          <w:szCs w:val="24"/>
        </w:rPr>
        <w:t>in)constitucionalidade</w:t>
      </w:r>
      <w:proofErr w:type="gramEnd"/>
      <w:r w:rsidR="00EB6D8F">
        <w:rPr>
          <w:rFonts w:ascii="Arial" w:hAnsi="Arial" w:cs="Arial"/>
          <w:sz w:val="24"/>
          <w:szCs w:val="24"/>
        </w:rPr>
        <w:t>, lembra</w:t>
      </w:r>
      <w:r w:rsidR="004D0DD0">
        <w:rPr>
          <w:rFonts w:ascii="Arial" w:hAnsi="Arial" w:cs="Arial"/>
          <w:sz w:val="24"/>
          <w:szCs w:val="24"/>
        </w:rPr>
        <w:t>-se</w:t>
      </w:r>
      <w:r w:rsidR="00EB6D8F">
        <w:rPr>
          <w:rFonts w:ascii="Arial" w:hAnsi="Arial" w:cs="Arial"/>
          <w:sz w:val="24"/>
          <w:szCs w:val="24"/>
        </w:rPr>
        <w:t>?</w:t>
      </w:r>
    </w:p>
    <w:p w14:paraId="3E110A8A" w14:textId="77777777" w:rsidR="00F127ED" w:rsidRPr="008405D1" w:rsidRDefault="00F127ED" w:rsidP="00F127ED">
      <w:pPr>
        <w:pStyle w:val="PargrafodaLista"/>
        <w:tabs>
          <w:tab w:val="left" w:pos="851"/>
          <w:tab w:val="left" w:pos="8364"/>
          <w:tab w:val="left" w:pos="8789"/>
        </w:tabs>
        <w:spacing w:before="120" w:after="120" w:line="360" w:lineRule="auto"/>
        <w:jc w:val="both"/>
        <w:rPr>
          <w:rFonts w:ascii="Arial" w:hAnsi="Arial" w:cs="Arial"/>
          <w:sz w:val="24"/>
          <w:szCs w:val="24"/>
        </w:rPr>
      </w:pPr>
    </w:p>
    <w:p w14:paraId="2ECE361D" w14:textId="36571021" w:rsidR="00806227" w:rsidRDefault="00CE1EE5" w:rsidP="00CE1EE5">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Todos esses mecanismos são formas desenhadas para tentar garantir a uniformidade de decisões judiciais e a compatibilização vertical com o entendimento dos </w:t>
      </w:r>
      <w:r w:rsidR="00E127BE">
        <w:rPr>
          <w:rFonts w:ascii="Arial" w:hAnsi="Arial" w:cs="Arial"/>
          <w:sz w:val="24"/>
          <w:szCs w:val="24"/>
        </w:rPr>
        <w:t>tribunais superiores</w:t>
      </w:r>
      <w:r>
        <w:rPr>
          <w:rFonts w:ascii="Arial" w:hAnsi="Arial" w:cs="Arial"/>
          <w:sz w:val="24"/>
          <w:szCs w:val="24"/>
        </w:rPr>
        <w:t xml:space="preserve">. Como afirmam </w:t>
      </w:r>
      <w:commentRangeStart w:id="0"/>
      <w:r>
        <w:rPr>
          <w:rFonts w:ascii="Arial" w:hAnsi="Arial" w:cs="Arial"/>
          <w:sz w:val="24"/>
          <w:szCs w:val="24"/>
        </w:rPr>
        <w:t xml:space="preserve">Daniel </w:t>
      </w:r>
      <w:proofErr w:type="spellStart"/>
      <w:r>
        <w:rPr>
          <w:rFonts w:ascii="Arial" w:hAnsi="Arial" w:cs="Arial"/>
          <w:sz w:val="24"/>
          <w:szCs w:val="24"/>
        </w:rPr>
        <w:t>Miti</w:t>
      </w:r>
      <w:r w:rsidR="006744BE">
        <w:rPr>
          <w:rFonts w:ascii="Arial" w:hAnsi="Arial" w:cs="Arial"/>
          <w:sz w:val="24"/>
          <w:szCs w:val="24"/>
        </w:rPr>
        <w:t>diero</w:t>
      </w:r>
      <w:proofErr w:type="spellEnd"/>
      <w:r w:rsidR="006744BE">
        <w:rPr>
          <w:rFonts w:ascii="Arial" w:hAnsi="Arial" w:cs="Arial"/>
          <w:sz w:val="24"/>
          <w:szCs w:val="24"/>
        </w:rPr>
        <w:t xml:space="preserve"> e Luiz Guilherme </w:t>
      </w:r>
      <w:proofErr w:type="spellStart"/>
      <w:r w:rsidR="006744BE">
        <w:rPr>
          <w:rFonts w:ascii="Arial" w:hAnsi="Arial" w:cs="Arial"/>
          <w:sz w:val="24"/>
          <w:szCs w:val="24"/>
        </w:rPr>
        <w:t>Marinoni</w:t>
      </w:r>
      <w:commentRangeEnd w:id="0"/>
      <w:proofErr w:type="spellEnd"/>
      <w:r w:rsidR="00BA3902">
        <w:rPr>
          <w:rStyle w:val="Refdecomentrio"/>
        </w:rPr>
        <w:commentReference w:id="0"/>
      </w:r>
      <w:r>
        <w:rPr>
          <w:rFonts w:ascii="Arial" w:hAnsi="Arial" w:cs="Arial"/>
          <w:sz w:val="24"/>
          <w:szCs w:val="24"/>
        </w:rPr>
        <w:t>:</w:t>
      </w:r>
    </w:p>
    <w:p w14:paraId="33A0CAF3" w14:textId="77777777" w:rsidR="004D0DD0" w:rsidRDefault="004D0DD0" w:rsidP="00CE1EE5">
      <w:pPr>
        <w:tabs>
          <w:tab w:val="left" w:pos="851"/>
          <w:tab w:val="left" w:pos="8364"/>
          <w:tab w:val="left" w:pos="8789"/>
        </w:tabs>
        <w:spacing w:before="120" w:after="120" w:line="360" w:lineRule="auto"/>
        <w:jc w:val="both"/>
        <w:rPr>
          <w:rFonts w:ascii="Arial" w:hAnsi="Arial" w:cs="Arial"/>
          <w:sz w:val="24"/>
          <w:szCs w:val="24"/>
        </w:rPr>
      </w:pPr>
    </w:p>
    <w:p w14:paraId="37FEB22E" w14:textId="77777777" w:rsidR="00CE1EE5" w:rsidRPr="0076514C" w:rsidRDefault="00CE1EE5" w:rsidP="00D61D65">
      <w:pPr>
        <w:tabs>
          <w:tab w:val="left" w:pos="-1276"/>
        </w:tabs>
        <w:spacing w:after="0" w:line="240" w:lineRule="auto"/>
        <w:ind w:left="2268" w:firstLine="284"/>
        <w:jc w:val="both"/>
        <w:rPr>
          <w:rFonts w:ascii="Arial" w:hAnsi="Arial" w:cs="Arial"/>
          <w:sz w:val="20"/>
          <w:szCs w:val="20"/>
        </w:rPr>
      </w:pPr>
      <w:r w:rsidRPr="004D0DD0">
        <w:rPr>
          <w:rFonts w:ascii="Arial" w:hAnsi="Arial" w:cs="Arial"/>
          <w:sz w:val="20"/>
          <w:szCs w:val="20"/>
        </w:rPr>
        <w:lastRenderedPageBreak/>
        <w:t>Esses mecanismos processuais visam a compatibilizar as decisões jurisprudenciais, uniformizando-as, concretizando, dessa ordem, o valo</w:t>
      </w:r>
      <w:r w:rsidR="006744BE" w:rsidRPr="004D0DD0">
        <w:rPr>
          <w:rFonts w:ascii="Arial" w:hAnsi="Arial" w:cs="Arial"/>
          <w:sz w:val="20"/>
          <w:szCs w:val="20"/>
        </w:rPr>
        <w:t>r</w:t>
      </w:r>
      <w:r w:rsidRPr="004D0DD0">
        <w:rPr>
          <w:rFonts w:ascii="Arial" w:hAnsi="Arial" w:cs="Arial"/>
          <w:sz w:val="20"/>
          <w:szCs w:val="20"/>
        </w:rPr>
        <w:t xml:space="preserve"> constitucional da igualdade no formalismo processual. Acabam por velar, nesse azo, pela unidade do Direito no Estado Constitucional brasileiro, sobre racionalizar a atividade judici</w:t>
      </w:r>
      <w:r w:rsidR="006744BE" w:rsidRPr="00573D34">
        <w:rPr>
          <w:rFonts w:ascii="Arial" w:hAnsi="Arial" w:cs="Arial"/>
          <w:sz w:val="20"/>
          <w:szCs w:val="20"/>
        </w:rPr>
        <w:t>ária, importando em notável economia de atos processuais.</w:t>
      </w:r>
    </w:p>
    <w:p w14:paraId="2B845650" w14:textId="16F8E403" w:rsidR="00A87B49" w:rsidRPr="007C73E1" w:rsidRDefault="006744BE" w:rsidP="00D61D65">
      <w:pPr>
        <w:tabs>
          <w:tab w:val="left" w:pos="-1276"/>
        </w:tabs>
        <w:spacing w:after="0" w:line="240" w:lineRule="auto"/>
        <w:ind w:left="2268" w:firstLine="284"/>
        <w:jc w:val="both"/>
        <w:rPr>
          <w:rFonts w:ascii="Arial" w:hAnsi="Arial" w:cs="Arial"/>
          <w:sz w:val="20"/>
          <w:szCs w:val="20"/>
        </w:rPr>
      </w:pPr>
      <w:r w:rsidRPr="00A045C7">
        <w:rPr>
          <w:rFonts w:ascii="Arial" w:hAnsi="Arial" w:cs="Arial"/>
          <w:sz w:val="20"/>
          <w:szCs w:val="20"/>
        </w:rPr>
        <w:t>Além disso, têm por desiderato racionalizar a atividade judiciária, impedindo que recursos em confronto com a orientação dos Tribunais Superiores tenham seguimento, ocupando inutilmente a estrutura judiciária.</w:t>
      </w:r>
      <w:r w:rsidR="009E5C23" w:rsidRPr="00932E93">
        <w:rPr>
          <w:rFonts w:ascii="Arial" w:hAnsi="Arial" w:cs="Arial"/>
          <w:sz w:val="20"/>
          <w:szCs w:val="20"/>
        </w:rPr>
        <w:t xml:space="preserve"> </w:t>
      </w:r>
      <w:r w:rsidR="00A87B49" w:rsidRPr="006B6158">
        <w:rPr>
          <w:rFonts w:ascii="Arial" w:hAnsi="Arial" w:cs="Arial"/>
          <w:sz w:val="20"/>
          <w:szCs w:val="20"/>
        </w:rPr>
        <w:t>(MARINONI; MITIDIERO</w:t>
      </w:r>
      <w:r w:rsidR="002A0444">
        <w:rPr>
          <w:rFonts w:ascii="Arial" w:hAnsi="Arial" w:cs="Arial"/>
          <w:sz w:val="20"/>
          <w:szCs w:val="20"/>
        </w:rPr>
        <w:t xml:space="preserve">, </w:t>
      </w:r>
      <w:r w:rsidR="00A87B49" w:rsidRPr="007C73E1">
        <w:rPr>
          <w:rFonts w:ascii="Arial" w:hAnsi="Arial" w:cs="Arial"/>
          <w:sz w:val="20"/>
          <w:szCs w:val="20"/>
        </w:rPr>
        <w:t>2012, p. 24</w:t>
      </w:r>
      <w:r w:rsidR="009E5C23" w:rsidRPr="007C73E1">
        <w:rPr>
          <w:rFonts w:ascii="Arial" w:hAnsi="Arial" w:cs="Arial"/>
          <w:sz w:val="20"/>
          <w:szCs w:val="20"/>
        </w:rPr>
        <w:t>.</w:t>
      </w:r>
      <w:r w:rsidR="00A87B49" w:rsidRPr="007C73E1">
        <w:rPr>
          <w:rFonts w:ascii="Arial" w:hAnsi="Arial" w:cs="Arial"/>
          <w:sz w:val="20"/>
          <w:szCs w:val="20"/>
        </w:rPr>
        <w:t>)</w:t>
      </w:r>
    </w:p>
    <w:p w14:paraId="3A969422" w14:textId="77777777" w:rsidR="004D0DD0" w:rsidRDefault="004D0DD0" w:rsidP="00CE1EE5">
      <w:pPr>
        <w:tabs>
          <w:tab w:val="left" w:pos="851"/>
          <w:tab w:val="left" w:pos="8364"/>
          <w:tab w:val="left" w:pos="8789"/>
        </w:tabs>
        <w:spacing w:before="120" w:after="120" w:line="360" w:lineRule="auto"/>
        <w:jc w:val="both"/>
        <w:rPr>
          <w:rFonts w:ascii="Arial" w:hAnsi="Arial" w:cs="Arial"/>
          <w:sz w:val="24"/>
          <w:szCs w:val="24"/>
        </w:rPr>
      </w:pPr>
    </w:p>
    <w:p w14:paraId="2A00035F" w14:textId="7B53E4A2" w:rsidR="006744BE" w:rsidRDefault="00CE1EE5" w:rsidP="00CE1EE5">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É</w:t>
      </w:r>
      <w:r w:rsidR="006744BE">
        <w:rPr>
          <w:rFonts w:ascii="Arial" w:hAnsi="Arial" w:cs="Arial"/>
          <w:sz w:val="24"/>
          <w:szCs w:val="24"/>
        </w:rPr>
        <w:t xml:space="preserve"> com esses mesmos intuitos principais que se insere o instituto da </w:t>
      </w:r>
      <w:r w:rsidR="006744BE">
        <w:rPr>
          <w:rFonts w:ascii="Arial" w:hAnsi="Arial" w:cs="Arial"/>
          <w:i/>
          <w:sz w:val="24"/>
          <w:szCs w:val="24"/>
        </w:rPr>
        <w:t>repercussão geral</w:t>
      </w:r>
      <w:r w:rsidR="006744BE">
        <w:rPr>
          <w:rFonts w:ascii="Arial" w:hAnsi="Arial" w:cs="Arial"/>
          <w:sz w:val="24"/>
          <w:szCs w:val="24"/>
        </w:rPr>
        <w:t xml:space="preserve"> em nosso ordenamento jurídico. Busca-se, de um lado, assegurar a igualdade de tratamento judicial às partes e às suas lides semelhantes e, de outro, racionalizar a prestação da tutela jurisdicional, conforme os postulados de celeridade e de razoável duração do processo (</w:t>
      </w:r>
      <w:r w:rsidR="00A87B49">
        <w:rPr>
          <w:rFonts w:ascii="Arial" w:hAnsi="Arial" w:cs="Arial"/>
          <w:sz w:val="24"/>
          <w:szCs w:val="24"/>
        </w:rPr>
        <w:t xml:space="preserve">garantia expressamente prevista pelo texto constitucional no </w:t>
      </w:r>
      <w:r w:rsidR="006744BE">
        <w:rPr>
          <w:rFonts w:ascii="Arial" w:hAnsi="Arial" w:cs="Arial"/>
          <w:sz w:val="24"/>
          <w:szCs w:val="24"/>
        </w:rPr>
        <w:t xml:space="preserve">art. 5º, </w:t>
      </w:r>
      <w:r w:rsidR="006744BE" w:rsidRPr="006744BE">
        <w:rPr>
          <w:rFonts w:ascii="Arial" w:hAnsi="Arial" w:cs="Arial"/>
          <w:sz w:val="24"/>
          <w:szCs w:val="24"/>
        </w:rPr>
        <w:t>LXXVIII</w:t>
      </w:r>
      <w:r w:rsidR="006744BE">
        <w:rPr>
          <w:rFonts w:ascii="Arial" w:hAnsi="Arial" w:cs="Arial"/>
          <w:sz w:val="24"/>
          <w:szCs w:val="24"/>
        </w:rPr>
        <w:t>, da CRFB/</w:t>
      </w:r>
      <w:r w:rsidR="00A770AC">
        <w:rPr>
          <w:rFonts w:ascii="Arial" w:hAnsi="Arial" w:cs="Arial"/>
          <w:sz w:val="24"/>
          <w:szCs w:val="24"/>
        </w:rPr>
        <w:t>19</w:t>
      </w:r>
      <w:r w:rsidR="006744BE">
        <w:rPr>
          <w:rFonts w:ascii="Arial" w:hAnsi="Arial" w:cs="Arial"/>
          <w:sz w:val="24"/>
          <w:szCs w:val="24"/>
        </w:rPr>
        <w:t>88).</w:t>
      </w:r>
    </w:p>
    <w:p w14:paraId="5D8E0A95" w14:textId="7702B425" w:rsidR="00A87B49" w:rsidRDefault="004C3C57" w:rsidP="00A87B49">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 xml:space="preserve">Com efeito, no </w:t>
      </w:r>
      <w:r w:rsidR="00B45688">
        <w:rPr>
          <w:rFonts w:ascii="Arial" w:hAnsi="Arial" w:cs="Arial"/>
          <w:sz w:val="24"/>
          <w:szCs w:val="24"/>
        </w:rPr>
        <w:t>direito</w:t>
      </w:r>
      <w:r w:rsidR="00A87B49">
        <w:rPr>
          <w:rFonts w:ascii="Arial" w:hAnsi="Arial" w:cs="Arial"/>
          <w:sz w:val="24"/>
          <w:szCs w:val="24"/>
        </w:rPr>
        <w:t xml:space="preserve"> comparado há instrumentos processuais semelhantes. Na </w:t>
      </w:r>
      <w:r w:rsidR="00135411">
        <w:rPr>
          <w:rFonts w:ascii="Arial" w:hAnsi="Arial" w:cs="Arial"/>
          <w:sz w:val="24"/>
          <w:szCs w:val="24"/>
        </w:rPr>
        <w:t>A</w:t>
      </w:r>
      <w:r w:rsidR="00A87B49">
        <w:rPr>
          <w:rFonts w:ascii="Arial" w:hAnsi="Arial" w:cs="Arial"/>
          <w:sz w:val="24"/>
          <w:szCs w:val="24"/>
        </w:rPr>
        <w:t xml:space="preserve">ula 02, quando tratamos de algumas origens históricas, já fizemos referência ao </w:t>
      </w:r>
      <w:r w:rsidR="00A87B49">
        <w:rPr>
          <w:rFonts w:ascii="Arial" w:hAnsi="Arial" w:cs="Arial"/>
          <w:i/>
          <w:sz w:val="24"/>
          <w:szCs w:val="24"/>
        </w:rPr>
        <w:t xml:space="preserve">writ </w:t>
      </w:r>
      <w:proofErr w:type="spellStart"/>
      <w:r w:rsidR="00A87B49">
        <w:rPr>
          <w:rFonts w:ascii="Arial" w:hAnsi="Arial" w:cs="Arial"/>
          <w:i/>
          <w:sz w:val="24"/>
          <w:szCs w:val="24"/>
        </w:rPr>
        <w:t>of</w:t>
      </w:r>
      <w:proofErr w:type="spellEnd"/>
      <w:r w:rsidR="00A87B49">
        <w:rPr>
          <w:rFonts w:ascii="Arial" w:hAnsi="Arial" w:cs="Arial"/>
          <w:i/>
          <w:sz w:val="24"/>
          <w:szCs w:val="24"/>
        </w:rPr>
        <w:t xml:space="preserve"> </w:t>
      </w:r>
      <w:proofErr w:type="spellStart"/>
      <w:r w:rsidR="00A87B49">
        <w:rPr>
          <w:rFonts w:ascii="Arial" w:hAnsi="Arial" w:cs="Arial"/>
          <w:i/>
          <w:sz w:val="24"/>
          <w:szCs w:val="24"/>
        </w:rPr>
        <w:t>error</w:t>
      </w:r>
      <w:proofErr w:type="spellEnd"/>
      <w:r w:rsidR="00CD3326">
        <w:rPr>
          <w:rFonts w:ascii="Arial" w:hAnsi="Arial" w:cs="Arial"/>
          <w:sz w:val="24"/>
          <w:szCs w:val="24"/>
        </w:rPr>
        <w:t xml:space="preserve"> do </w:t>
      </w:r>
      <w:r w:rsidR="00B45688">
        <w:rPr>
          <w:rFonts w:ascii="Arial" w:hAnsi="Arial" w:cs="Arial"/>
          <w:sz w:val="24"/>
          <w:szCs w:val="24"/>
        </w:rPr>
        <w:t>direito</w:t>
      </w:r>
      <w:r w:rsidR="00A87B49">
        <w:rPr>
          <w:rFonts w:ascii="Arial" w:hAnsi="Arial" w:cs="Arial"/>
          <w:sz w:val="24"/>
          <w:szCs w:val="24"/>
        </w:rPr>
        <w:t xml:space="preserve"> norte-americano. Mas</w:t>
      </w:r>
      <w:r w:rsidR="00CD3326">
        <w:rPr>
          <w:rFonts w:ascii="Arial" w:hAnsi="Arial" w:cs="Arial"/>
          <w:sz w:val="24"/>
          <w:szCs w:val="24"/>
        </w:rPr>
        <w:t>,</w:t>
      </w:r>
      <w:r w:rsidR="00A87B49">
        <w:rPr>
          <w:rFonts w:ascii="Arial" w:hAnsi="Arial" w:cs="Arial"/>
          <w:sz w:val="24"/>
          <w:szCs w:val="24"/>
        </w:rPr>
        <w:t xml:space="preserve"> além dessa figura, há também outras desenvolvidas em distintos países, conforme citam, uma vez mais, Daniel </w:t>
      </w:r>
      <w:proofErr w:type="spellStart"/>
      <w:r w:rsidR="00A87B49">
        <w:rPr>
          <w:rFonts w:ascii="Arial" w:hAnsi="Arial" w:cs="Arial"/>
          <w:sz w:val="24"/>
          <w:szCs w:val="24"/>
        </w:rPr>
        <w:t>Mitidiero</w:t>
      </w:r>
      <w:proofErr w:type="spellEnd"/>
      <w:r w:rsidR="00A87B49">
        <w:rPr>
          <w:rFonts w:ascii="Arial" w:hAnsi="Arial" w:cs="Arial"/>
          <w:sz w:val="24"/>
          <w:szCs w:val="24"/>
        </w:rPr>
        <w:t xml:space="preserve"> e Luiz Guilherme </w:t>
      </w:r>
      <w:proofErr w:type="spellStart"/>
      <w:r w:rsidR="00A87B49">
        <w:rPr>
          <w:rFonts w:ascii="Arial" w:hAnsi="Arial" w:cs="Arial"/>
          <w:sz w:val="24"/>
          <w:szCs w:val="24"/>
        </w:rPr>
        <w:t>Marinoni</w:t>
      </w:r>
      <w:proofErr w:type="spellEnd"/>
      <w:r w:rsidR="00A87B49">
        <w:rPr>
          <w:rFonts w:ascii="Arial" w:hAnsi="Arial" w:cs="Arial"/>
          <w:sz w:val="24"/>
          <w:szCs w:val="24"/>
        </w:rPr>
        <w:t>:</w:t>
      </w:r>
    </w:p>
    <w:p w14:paraId="6814B985" w14:textId="77777777" w:rsidR="004D0DD0" w:rsidRDefault="004D0DD0" w:rsidP="00A87B49">
      <w:pPr>
        <w:tabs>
          <w:tab w:val="left" w:pos="851"/>
          <w:tab w:val="left" w:pos="8364"/>
          <w:tab w:val="left" w:pos="8789"/>
        </w:tabs>
        <w:spacing w:before="120" w:after="120" w:line="360" w:lineRule="auto"/>
        <w:ind w:firstLine="708"/>
        <w:jc w:val="both"/>
        <w:rPr>
          <w:rFonts w:ascii="Arial" w:hAnsi="Arial" w:cs="Arial"/>
          <w:sz w:val="24"/>
          <w:szCs w:val="24"/>
        </w:rPr>
      </w:pPr>
    </w:p>
    <w:p w14:paraId="7A77AD44" w14:textId="6A829678" w:rsidR="00A87B49" w:rsidRPr="008F3814" w:rsidRDefault="00DC3299" w:rsidP="00D61D65">
      <w:pPr>
        <w:tabs>
          <w:tab w:val="left" w:pos="-1418"/>
          <w:tab w:val="left" w:pos="851"/>
        </w:tabs>
        <w:spacing w:after="0" w:line="240" w:lineRule="auto"/>
        <w:ind w:left="2268" w:firstLine="284"/>
        <w:jc w:val="both"/>
        <w:rPr>
          <w:rFonts w:ascii="Arial" w:hAnsi="Arial" w:cs="Arial"/>
          <w:sz w:val="20"/>
          <w:szCs w:val="20"/>
        </w:rPr>
      </w:pPr>
      <w:r w:rsidRPr="004D0DD0">
        <w:rPr>
          <w:rFonts w:ascii="Arial" w:hAnsi="Arial" w:cs="Arial"/>
          <w:sz w:val="20"/>
          <w:szCs w:val="20"/>
        </w:rPr>
        <w:t xml:space="preserve">No direito alemão, viabiliza-se o acesso ao </w:t>
      </w:r>
      <w:proofErr w:type="spellStart"/>
      <w:r w:rsidRPr="004D0DD0">
        <w:rPr>
          <w:rFonts w:ascii="Arial" w:hAnsi="Arial" w:cs="Arial"/>
          <w:sz w:val="20"/>
          <w:szCs w:val="20"/>
        </w:rPr>
        <w:t>Budesgerichtsof</w:t>
      </w:r>
      <w:proofErr w:type="spellEnd"/>
      <w:r w:rsidRPr="004D0DD0">
        <w:rPr>
          <w:rFonts w:ascii="Arial" w:hAnsi="Arial" w:cs="Arial"/>
          <w:sz w:val="20"/>
          <w:szCs w:val="20"/>
        </w:rPr>
        <w:t xml:space="preserve">, órgão de cúpula do Poder Judiciário germânico, em recurso de </w:t>
      </w:r>
      <w:proofErr w:type="spellStart"/>
      <w:r w:rsidRPr="004D0DD0">
        <w:rPr>
          <w:rFonts w:ascii="Arial" w:hAnsi="Arial" w:cs="Arial"/>
          <w:sz w:val="20"/>
          <w:szCs w:val="20"/>
        </w:rPr>
        <w:t>Revision</w:t>
      </w:r>
      <w:proofErr w:type="spellEnd"/>
      <w:r w:rsidRPr="004D0DD0">
        <w:rPr>
          <w:rFonts w:ascii="Arial" w:hAnsi="Arial" w:cs="Arial"/>
          <w:sz w:val="20"/>
          <w:szCs w:val="20"/>
        </w:rPr>
        <w:t xml:space="preserve"> (§ 543, n. 2, ZPO), apenas</w:t>
      </w:r>
      <w:r w:rsidR="00FF75FA" w:rsidRPr="00573D34">
        <w:rPr>
          <w:rFonts w:ascii="Arial" w:hAnsi="Arial" w:cs="Arial"/>
          <w:sz w:val="20"/>
          <w:szCs w:val="20"/>
        </w:rPr>
        <w:t xml:space="preserve"> quando a causa decidida ostentar uma </w:t>
      </w:r>
      <w:r w:rsidR="004D0DD0">
        <w:rPr>
          <w:rFonts w:ascii="Arial" w:hAnsi="Arial" w:cs="Arial"/>
          <w:sz w:val="20"/>
          <w:szCs w:val="20"/>
        </w:rPr>
        <w:t>“</w:t>
      </w:r>
      <w:r w:rsidR="00FF75FA" w:rsidRPr="004D0DD0">
        <w:rPr>
          <w:rFonts w:ascii="Arial" w:hAnsi="Arial" w:cs="Arial"/>
          <w:sz w:val="20"/>
          <w:szCs w:val="20"/>
        </w:rPr>
        <w:t>significação fundamental</w:t>
      </w:r>
      <w:r w:rsidR="004D0DD0">
        <w:rPr>
          <w:rFonts w:ascii="Arial" w:hAnsi="Arial" w:cs="Arial"/>
          <w:sz w:val="20"/>
          <w:szCs w:val="20"/>
        </w:rPr>
        <w:t>”</w:t>
      </w:r>
      <w:r w:rsidR="00FF75FA" w:rsidRPr="004D0DD0">
        <w:rPr>
          <w:rFonts w:ascii="Arial" w:hAnsi="Arial" w:cs="Arial"/>
          <w:sz w:val="20"/>
          <w:szCs w:val="20"/>
        </w:rPr>
        <w:t xml:space="preserve"> (</w:t>
      </w:r>
      <w:r w:rsidR="004D0DD0">
        <w:rPr>
          <w:rFonts w:ascii="Arial" w:hAnsi="Arial" w:cs="Arial"/>
          <w:sz w:val="20"/>
          <w:szCs w:val="20"/>
        </w:rPr>
        <w:t>“</w:t>
      </w:r>
      <w:proofErr w:type="spellStart"/>
      <w:r w:rsidR="00FF75FA" w:rsidRPr="004D0DD0">
        <w:rPr>
          <w:rFonts w:ascii="Arial" w:hAnsi="Arial" w:cs="Arial"/>
          <w:sz w:val="20"/>
          <w:szCs w:val="20"/>
        </w:rPr>
        <w:t>grundsätzliche</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Bedeutung</w:t>
      </w:r>
      <w:proofErr w:type="spellEnd"/>
      <w:r w:rsidR="004D0DD0">
        <w:rPr>
          <w:rFonts w:ascii="Arial" w:hAnsi="Arial" w:cs="Arial"/>
          <w:sz w:val="20"/>
          <w:szCs w:val="20"/>
        </w:rPr>
        <w:t>”</w:t>
      </w:r>
      <w:r w:rsidR="00FF75FA" w:rsidRPr="004D0DD0">
        <w:rPr>
          <w:rFonts w:ascii="Arial" w:hAnsi="Arial" w:cs="Arial"/>
          <w:sz w:val="20"/>
          <w:szCs w:val="20"/>
        </w:rPr>
        <w:t xml:space="preserve">) ou for necessária uma pronúncia da Corte para </w:t>
      </w:r>
      <w:r w:rsidR="004D0DD0">
        <w:rPr>
          <w:rFonts w:ascii="Arial" w:hAnsi="Arial" w:cs="Arial"/>
          <w:sz w:val="20"/>
          <w:szCs w:val="20"/>
        </w:rPr>
        <w:t>“</w:t>
      </w:r>
      <w:r w:rsidR="00FF75FA" w:rsidRPr="004D0DD0">
        <w:rPr>
          <w:rFonts w:ascii="Arial" w:hAnsi="Arial" w:cs="Arial"/>
          <w:sz w:val="20"/>
          <w:szCs w:val="20"/>
        </w:rPr>
        <w:t>dese</w:t>
      </w:r>
      <w:r w:rsidR="00602232" w:rsidRPr="004D0DD0">
        <w:rPr>
          <w:rFonts w:ascii="Arial" w:hAnsi="Arial" w:cs="Arial"/>
          <w:sz w:val="20"/>
          <w:szCs w:val="20"/>
        </w:rPr>
        <w:t>n</w:t>
      </w:r>
      <w:r w:rsidR="00FF75FA" w:rsidRPr="004D0DD0">
        <w:rPr>
          <w:rFonts w:ascii="Arial" w:hAnsi="Arial" w:cs="Arial"/>
          <w:sz w:val="20"/>
          <w:szCs w:val="20"/>
        </w:rPr>
        <w:t>vo</w:t>
      </w:r>
      <w:r w:rsidR="00602232" w:rsidRPr="004D0DD0">
        <w:rPr>
          <w:rFonts w:ascii="Arial" w:hAnsi="Arial" w:cs="Arial"/>
          <w:sz w:val="20"/>
          <w:szCs w:val="20"/>
        </w:rPr>
        <w:t>l</w:t>
      </w:r>
      <w:r w:rsidR="00FF75FA" w:rsidRPr="004D0DD0">
        <w:rPr>
          <w:rFonts w:ascii="Arial" w:hAnsi="Arial" w:cs="Arial"/>
          <w:sz w:val="20"/>
          <w:szCs w:val="20"/>
        </w:rPr>
        <w:t>ver o direito</w:t>
      </w:r>
      <w:r w:rsidR="004D0DD0">
        <w:rPr>
          <w:rFonts w:ascii="Arial" w:hAnsi="Arial" w:cs="Arial"/>
          <w:sz w:val="20"/>
          <w:szCs w:val="20"/>
        </w:rPr>
        <w:t>”</w:t>
      </w:r>
      <w:r w:rsidR="00FF75FA" w:rsidRPr="004D0DD0">
        <w:rPr>
          <w:rFonts w:ascii="Arial" w:hAnsi="Arial" w:cs="Arial"/>
          <w:sz w:val="20"/>
          <w:szCs w:val="20"/>
        </w:rPr>
        <w:t xml:space="preserve"> (</w:t>
      </w:r>
      <w:r w:rsidR="004D0DD0">
        <w:rPr>
          <w:rFonts w:ascii="Arial" w:hAnsi="Arial" w:cs="Arial"/>
          <w:sz w:val="20"/>
          <w:szCs w:val="20"/>
        </w:rPr>
        <w:t>“</w:t>
      </w:r>
      <w:proofErr w:type="spellStart"/>
      <w:r w:rsidR="00FF75FA" w:rsidRPr="004D0DD0">
        <w:rPr>
          <w:rFonts w:ascii="Arial" w:hAnsi="Arial" w:cs="Arial"/>
          <w:sz w:val="20"/>
          <w:szCs w:val="20"/>
        </w:rPr>
        <w:t>Fortbildung</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des</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Rechts</w:t>
      </w:r>
      <w:proofErr w:type="spellEnd"/>
      <w:r w:rsidR="004D0DD0">
        <w:rPr>
          <w:rFonts w:ascii="Arial" w:hAnsi="Arial" w:cs="Arial"/>
          <w:sz w:val="20"/>
          <w:szCs w:val="20"/>
        </w:rPr>
        <w:t>”</w:t>
      </w:r>
      <w:r w:rsidR="00FF75FA" w:rsidRPr="004D0DD0">
        <w:rPr>
          <w:rFonts w:ascii="Arial" w:hAnsi="Arial" w:cs="Arial"/>
          <w:sz w:val="20"/>
          <w:szCs w:val="20"/>
        </w:rPr>
        <w:t xml:space="preserve">) ou </w:t>
      </w:r>
      <w:r w:rsidR="004D0DD0">
        <w:rPr>
          <w:rFonts w:ascii="Arial" w:hAnsi="Arial" w:cs="Arial"/>
          <w:sz w:val="20"/>
          <w:szCs w:val="20"/>
        </w:rPr>
        <w:t>“</w:t>
      </w:r>
      <w:r w:rsidR="00FF75FA" w:rsidRPr="004D0DD0">
        <w:rPr>
          <w:rFonts w:ascii="Arial" w:hAnsi="Arial" w:cs="Arial"/>
          <w:sz w:val="20"/>
          <w:szCs w:val="20"/>
        </w:rPr>
        <w:t>assegurar uma jurisprudência uniforme</w:t>
      </w:r>
      <w:r w:rsidR="004D0DD0">
        <w:rPr>
          <w:rFonts w:ascii="Arial" w:hAnsi="Arial" w:cs="Arial"/>
          <w:sz w:val="20"/>
          <w:szCs w:val="20"/>
        </w:rPr>
        <w:t>”</w:t>
      </w:r>
      <w:r w:rsidR="00FF75FA" w:rsidRPr="004D0DD0">
        <w:rPr>
          <w:rFonts w:ascii="Arial" w:hAnsi="Arial" w:cs="Arial"/>
          <w:sz w:val="20"/>
          <w:szCs w:val="20"/>
        </w:rPr>
        <w:t xml:space="preserve"> (</w:t>
      </w:r>
      <w:r w:rsidR="004D0DD0">
        <w:rPr>
          <w:rFonts w:ascii="Arial" w:hAnsi="Arial" w:cs="Arial"/>
          <w:sz w:val="20"/>
          <w:szCs w:val="20"/>
        </w:rPr>
        <w:t>“</w:t>
      </w:r>
      <w:proofErr w:type="spellStart"/>
      <w:r w:rsidR="00FF75FA" w:rsidRPr="004D0DD0">
        <w:rPr>
          <w:rFonts w:ascii="Arial" w:hAnsi="Arial" w:cs="Arial"/>
          <w:sz w:val="20"/>
          <w:szCs w:val="20"/>
        </w:rPr>
        <w:t>Sicherung</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einer</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einheitlichen</w:t>
      </w:r>
      <w:proofErr w:type="spellEnd"/>
      <w:r w:rsidR="00FF75FA" w:rsidRPr="004D0DD0">
        <w:rPr>
          <w:rFonts w:ascii="Arial" w:hAnsi="Arial" w:cs="Arial"/>
          <w:sz w:val="20"/>
          <w:szCs w:val="20"/>
        </w:rPr>
        <w:t xml:space="preserve"> </w:t>
      </w:r>
      <w:proofErr w:type="spellStart"/>
      <w:r w:rsidR="00FF75FA" w:rsidRPr="004D0DD0">
        <w:rPr>
          <w:rFonts w:ascii="Arial" w:hAnsi="Arial" w:cs="Arial"/>
          <w:sz w:val="20"/>
          <w:szCs w:val="20"/>
        </w:rPr>
        <w:t>Rechtsprechung</w:t>
      </w:r>
      <w:proofErr w:type="spellEnd"/>
      <w:r w:rsidR="004D0DD0">
        <w:rPr>
          <w:rFonts w:ascii="Arial" w:hAnsi="Arial" w:cs="Arial"/>
          <w:sz w:val="20"/>
          <w:szCs w:val="20"/>
        </w:rPr>
        <w:t>”</w:t>
      </w:r>
      <w:r w:rsidR="00FF75FA" w:rsidRPr="004D0DD0">
        <w:rPr>
          <w:rFonts w:ascii="Arial" w:hAnsi="Arial" w:cs="Arial"/>
          <w:sz w:val="20"/>
          <w:szCs w:val="20"/>
        </w:rPr>
        <w:t xml:space="preserve">). No direito argentino, por exemplo, a Corte Suprema </w:t>
      </w:r>
      <w:r w:rsidR="00FF1E08" w:rsidRPr="004D0DD0">
        <w:rPr>
          <w:rFonts w:ascii="Arial" w:hAnsi="Arial" w:cs="Arial"/>
          <w:sz w:val="20"/>
          <w:szCs w:val="20"/>
        </w:rPr>
        <w:t xml:space="preserve">pode não conhecer de recurso extraordinário </w:t>
      </w:r>
      <w:r w:rsidR="004D0DD0">
        <w:rPr>
          <w:rFonts w:ascii="Arial" w:hAnsi="Arial" w:cs="Arial"/>
          <w:sz w:val="20"/>
          <w:szCs w:val="20"/>
        </w:rPr>
        <w:t>“</w:t>
      </w:r>
      <w:r w:rsidR="00FF1E08" w:rsidRPr="004D0DD0">
        <w:rPr>
          <w:rFonts w:ascii="Arial" w:hAnsi="Arial" w:cs="Arial"/>
          <w:sz w:val="20"/>
          <w:szCs w:val="20"/>
        </w:rPr>
        <w:t xml:space="preserve">por falta de agravio federal suficiente o </w:t>
      </w:r>
      <w:proofErr w:type="spellStart"/>
      <w:r w:rsidR="00FF1E08" w:rsidRPr="004D0DD0">
        <w:rPr>
          <w:rFonts w:ascii="Arial" w:hAnsi="Arial" w:cs="Arial"/>
          <w:sz w:val="20"/>
          <w:szCs w:val="20"/>
        </w:rPr>
        <w:t>cuando</w:t>
      </w:r>
      <w:proofErr w:type="spellEnd"/>
      <w:r w:rsidR="00FF1E08" w:rsidRPr="004D0DD0">
        <w:rPr>
          <w:rFonts w:ascii="Arial" w:hAnsi="Arial" w:cs="Arial"/>
          <w:sz w:val="20"/>
          <w:szCs w:val="20"/>
        </w:rPr>
        <w:t xml:space="preserve"> </w:t>
      </w:r>
      <w:proofErr w:type="spellStart"/>
      <w:r w:rsidR="00FF1E08" w:rsidRPr="004D0DD0">
        <w:rPr>
          <w:rFonts w:ascii="Arial" w:hAnsi="Arial" w:cs="Arial"/>
          <w:sz w:val="20"/>
          <w:szCs w:val="20"/>
        </w:rPr>
        <w:t>las</w:t>
      </w:r>
      <w:proofErr w:type="spellEnd"/>
      <w:r w:rsidR="00FF1E08" w:rsidRPr="004D0DD0">
        <w:rPr>
          <w:rFonts w:ascii="Arial" w:hAnsi="Arial" w:cs="Arial"/>
          <w:sz w:val="20"/>
          <w:szCs w:val="20"/>
        </w:rPr>
        <w:t xml:space="preserve"> </w:t>
      </w:r>
      <w:proofErr w:type="spellStart"/>
      <w:r w:rsidR="00FF1E08" w:rsidRPr="004D0DD0">
        <w:rPr>
          <w:rFonts w:ascii="Arial" w:hAnsi="Arial" w:cs="Arial"/>
          <w:sz w:val="20"/>
          <w:szCs w:val="20"/>
        </w:rPr>
        <w:t>cuestiones</w:t>
      </w:r>
      <w:proofErr w:type="spellEnd"/>
      <w:r w:rsidR="00FF1E08" w:rsidRPr="004D0DD0">
        <w:rPr>
          <w:rFonts w:ascii="Arial" w:hAnsi="Arial" w:cs="Arial"/>
          <w:sz w:val="20"/>
          <w:szCs w:val="20"/>
        </w:rPr>
        <w:t xml:space="preserve"> planteadas resultarem </w:t>
      </w:r>
      <w:proofErr w:type="spellStart"/>
      <w:r w:rsidR="00FF1E08" w:rsidRPr="004D0DD0">
        <w:rPr>
          <w:rFonts w:ascii="Arial" w:hAnsi="Arial" w:cs="Arial"/>
          <w:sz w:val="20"/>
          <w:szCs w:val="20"/>
        </w:rPr>
        <w:t>insustanciales</w:t>
      </w:r>
      <w:proofErr w:type="spellEnd"/>
      <w:r w:rsidR="00FF1E08" w:rsidRPr="004D0DD0">
        <w:rPr>
          <w:rFonts w:ascii="Arial" w:hAnsi="Arial" w:cs="Arial"/>
          <w:sz w:val="20"/>
          <w:szCs w:val="20"/>
        </w:rPr>
        <w:t xml:space="preserve"> </w:t>
      </w:r>
      <w:proofErr w:type="gramStart"/>
      <w:r w:rsidR="00FF1E08" w:rsidRPr="004D0DD0">
        <w:rPr>
          <w:rFonts w:ascii="Arial" w:hAnsi="Arial" w:cs="Arial"/>
          <w:sz w:val="20"/>
          <w:szCs w:val="20"/>
        </w:rPr>
        <w:t>o carentes</w:t>
      </w:r>
      <w:proofErr w:type="gramEnd"/>
      <w:r w:rsidR="00FF1E08" w:rsidRPr="004D0DD0">
        <w:rPr>
          <w:rFonts w:ascii="Arial" w:hAnsi="Arial" w:cs="Arial"/>
          <w:sz w:val="20"/>
          <w:szCs w:val="20"/>
        </w:rPr>
        <w:t xml:space="preserve"> de </w:t>
      </w:r>
      <w:proofErr w:type="spellStart"/>
      <w:r w:rsidR="00FF1E08" w:rsidRPr="004D0DD0">
        <w:rPr>
          <w:rFonts w:ascii="Arial" w:hAnsi="Arial" w:cs="Arial"/>
          <w:sz w:val="20"/>
          <w:szCs w:val="20"/>
        </w:rPr>
        <w:t>trascendencia</w:t>
      </w:r>
      <w:proofErr w:type="spellEnd"/>
      <w:r w:rsidR="004D0DD0">
        <w:rPr>
          <w:rFonts w:ascii="Arial" w:hAnsi="Arial" w:cs="Arial"/>
          <w:sz w:val="20"/>
          <w:szCs w:val="20"/>
        </w:rPr>
        <w:t>”</w:t>
      </w:r>
      <w:r w:rsidR="00FF1E08" w:rsidRPr="004D0DD0">
        <w:rPr>
          <w:rFonts w:ascii="Arial" w:hAnsi="Arial" w:cs="Arial"/>
          <w:sz w:val="20"/>
          <w:szCs w:val="20"/>
        </w:rPr>
        <w:t xml:space="preserve"> (art. 280, Código </w:t>
      </w:r>
      <w:proofErr w:type="spellStart"/>
      <w:r w:rsidR="00FF1E08" w:rsidRPr="004D0DD0">
        <w:rPr>
          <w:rFonts w:ascii="Arial" w:hAnsi="Arial" w:cs="Arial"/>
          <w:sz w:val="20"/>
          <w:szCs w:val="20"/>
        </w:rPr>
        <w:t>Procesal</w:t>
      </w:r>
      <w:proofErr w:type="spellEnd"/>
      <w:r w:rsidR="00FF1E08" w:rsidRPr="004D0DD0">
        <w:rPr>
          <w:rFonts w:ascii="Arial" w:hAnsi="Arial" w:cs="Arial"/>
          <w:sz w:val="20"/>
          <w:szCs w:val="20"/>
        </w:rPr>
        <w:t xml:space="preserve"> Civil y Comercial de </w:t>
      </w:r>
      <w:proofErr w:type="spellStart"/>
      <w:r w:rsidR="00FF1E08" w:rsidRPr="004D0DD0">
        <w:rPr>
          <w:rFonts w:ascii="Arial" w:hAnsi="Arial" w:cs="Arial"/>
          <w:sz w:val="20"/>
          <w:szCs w:val="20"/>
        </w:rPr>
        <w:t>la</w:t>
      </w:r>
      <w:proofErr w:type="spellEnd"/>
      <w:r w:rsidR="00FF1E08" w:rsidRPr="004D0DD0">
        <w:rPr>
          <w:rFonts w:ascii="Arial" w:hAnsi="Arial" w:cs="Arial"/>
          <w:sz w:val="20"/>
          <w:szCs w:val="20"/>
        </w:rPr>
        <w:t xml:space="preserve"> Nación Argentina).</w:t>
      </w:r>
      <w:r w:rsidR="005C79CD" w:rsidRPr="004D0DD0">
        <w:rPr>
          <w:rFonts w:ascii="Arial" w:hAnsi="Arial" w:cs="Arial"/>
          <w:sz w:val="20"/>
          <w:szCs w:val="20"/>
        </w:rPr>
        <w:t xml:space="preserve"> </w:t>
      </w:r>
      <w:r w:rsidR="00A87B49" w:rsidRPr="004D0DD0">
        <w:rPr>
          <w:rFonts w:ascii="Arial" w:hAnsi="Arial" w:cs="Arial"/>
          <w:sz w:val="20"/>
          <w:szCs w:val="20"/>
        </w:rPr>
        <w:t xml:space="preserve">(MARINONI; MITIDIERO, </w:t>
      </w:r>
      <w:r w:rsidR="007B1241" w:rsidRPr="00A045C7">
        <w:rPr>
          <w:rFonts w:ascii="Arial" w:hAnsi="Arial" w:cs="Arial"/>
          <w:sz w:val="20"/>
          <w:szCs w:val="20"/>
        </w:rPr>
        <w:t>2012, p</w:t>
      </w:r>
      <w:r w:rsidR="00FF1E08" w:rsidRPr="00932E93">
        <w:rPr>
          <w:rFonts w:ascii="Arial" w:hAnsi="Arial" w:cs="Arial"/>
          <w:sz w:val="20"/>
          <w:szCs w:val="20"/>
        </w:rPr>
        <w:t>. 25</w:t>
      </w:r>
      <w:r w:rsidR="005C79CD" w:rsidRPr="006B6158">
        <w:rPr>
          <w:rFonts w:ascii="Arial" w:hAnsi="Arial" w:cs="Arial"/>
          <w:sz w:val="20"/>
          <w:szCs w:val="20"/>
        </w:rPr>
        <w:t>.</w:t>
      </w:r>
      <w:r w:rsidR="00A87B49" w:rsidRPr="008F3814">
        <w:rPr>
          <w:rFonts w:ascii="Arial" w:hAnsi="Arial" w:cs="Arial"/>
          <w:sz w:val="20"/>
          <w:szCs w:val="20"/>
        </w:rPr>
        <w:t>)</w:t>
      </w:r>
    </w:p>
    <w:p w14:paraId="5C3F1046" w14:textId="77777777" w:rsidR="00904F5D" w:rsidRPr="00E07A3C" w:rsidRDefault="00904F5D" w:rsidP="00FF75FA">
      <w:pPr>
        <w:tabs>
          <w:tab w:val="left" w:pos="851"/>
          <w:tab w:val="left" w:pos="1397"/>
        </w:tabs>
        <w:spacing w:before="120" w:after="120"/>
        <w:ind w:left="1134" w:firstLine="567"/>
        <w:jc w:val="both"/>
        <w:rPr>
          <w:rFonts w:ascii="Arial" w:hAnsi="Arial" w:cs="Arial"/>
          <w:sz w:val="20"/>
          <w:szCs w:val="20"/>
        </w:rPr>
      </w:pPr>
    </w:p>
    <w:p w14:paraId="7A602FF5" w14:textId="2ED35BD3" w:rsidR="00904F5D" w:rsidRDefault="00904F5D" w:rsidP="00127A60">
      <w:pPr>
        <w:tabs>
          <w:tab w:val="left" w:pos="851"/>
          <w:tab w:val="left" w:pos="8364"/>
          <w:tab w:val="left" w:pos="8789"/>
        </w:tabs>
        <w:spacing w:before="120" w:after="120" w:line="360" w:lineRule="auto"/>
        <w:ind w:firstLine="708"/>
        <w:jc w:val="both"/>
        <w:rPr>
          <w:rFonts w:ascii="Arial" w:hAnsi="Arial" w:cs="Arial"/>
          <w:sz w:val="24"/>
          <w:szCs w:val="24"/>
        </w:rPr>
      </w:pPr>
      <w:r>
        <w:rPr>
          <w:rFonts w:ascii="Arial" w:hAnsi="Arial" w:cs="Arial"/>
          <w:sz w:val="24"/>
          <w:szCs w:val="24"/>
        </w:rPr>
        <w:t>Em todos esses mecanismos processuais internacionalmente comparados, nota-se o ponto comum de zelo pela unidade da aplicação</w:t>
      </w:r>
      <w:r w:rsidR="000E7B6B">
        <w:rPr>
          <w:rFonts w:ascii="Arial" w:hAnsi="Arial" w:cs="Arial"/>
          <w:sz w:val="24"/>
          <w:szCs w:val="24"/>
        </w:rPr>
        <w:t xml:space="preserve"> do</w:t>
      </w:r>
      <w:r>
        <w:rPr>
          <w:rFonts w:ascii="Arial" w:hAnsi="Arial" w:cs="Arial"/>
          <w:sz w:val="24"/>
          <w:szCs w:val="24"/>
        </w:rPr>
        <w:t xml:space="preserve"> </w:t>
      </w:r>
      <w:r w:rsidR="00B45688">
        <w:rPr>
          <w:rFonts w:ascii="Arial" w:hAnsi="Arial" w:cs="Arial"/>
          <w:sz w:val="24"/>
          <w:szCs w:val="24"/>
        </w:rPr>
        <w:t>direito</w:t>
      </w:r>
      <w:r>
        <w:rPr>
          <w:rFonts w:ascii="Arial" w:hAnsi="Arial" w:cs="Arial"/>
          <w:sz w:val="24"/>
          <w:szCs w:val="24"/>
        </w:rPr>
        <w:t xml:space="preserve">, coordenado pela atuação de </w:t>
      </w:r>
      <w:r w:rsidR="00E127BE">
        <w:rPr>
          <w:rFonts w:ascii="Arial" w:hAnsi="Arial" w:cs="Arial"/>
          <w:sz w:val="24"/>
          <w:szCs w:val="24"/>
        </w:rPr>
        <w:t>tribunais superiores</w:t>
      </w:r>
      <w:r>
        <w:rPr>
          <w:rFonts w:ascii="Arial" w:hAnsi="Arial" w:cs="Arial"/>
          <w:sz w:val="24"/>
          <w:szCs w:val="24"/>
        </w:rPr>
        <w:t>, por meio da análise de casos significativos e de ampla repercussão social/jurídica/econômica</w:t>
      </w:r>
      <w:r w:rsidR="000B012D">
        <w:rPr>
          <w:rFonts w:ascii="Arial" w:hAnsi="Arial" w:cs="Arial"/>
          <w:sz w:val="24"/>
          <w:szCs w:val="24"/>
        </w:rPr>
        <w:t>, cujos fundamentos possam ser universalizáveis a outros processos semelhantes.</w:t>
      </w:r>
      <w:r w:rsidR="0044543A">
        <w:rPr>
          <w:rFonts w:ascii="Arial" w:hAnsi="Arial" w:cs="Arial"/>
          <w:sz w:val="24"/>
          <w:szCs w:val="24"/>
        </w:rPr>
        <w:t xml:space="preserve"> Entretanto, além dessas destacadas funções, o mecanismo da repercussão geral – e demais </w:t>
      </w:r>
      <w:r w:rsidR="005F5B5C">
        <w:rPr>
          <w:rFonts w:ascii="Arial" w:hAnsi="Arial" w:cs="Arial"/>
          <w:sz w:val="24"/>
          <w:szCs w:val="24"/>
        </w:rPr>
        <w:t xml:space="preserve">institutos análogos – </w:t>
      </w:r>
      <w:r w:rsidR="004D0DD0">
        <w:rPr>
          <w:rFonts w:ascii="Arial" w:hAnsi="Arial" w:cs="Arial"/>
          <w:sz w:val="24"/>
          <w:szCs w:val="24"/>
        </w:rPr>
        <w:t>presta-se</w:t>
      </w:r>
      <w:r w:rsidR="0044543A">
        <w:rPr>
          <w:rFonts w:ascii="Arial" w:hAnsi="Arial" w:cs="Arial"/>
          <w:sz w:val="24"/>
          <w:szCs w:val="24"/>
        </w:rPr>
        <w:t xml:space="preserve"> também a outras </w:t>
      </w:r>
      <w:r w:rsidR="00792630">
        <w:rPr>
          <w:rFonts w:ascii="Arial" w:hAnsi="Arial" w:cs="Arial"/>
          <w:sz w:val="24"/>
          <w:szCs w:val="24"/>
        </w:rPr>
        <w:t xml:space="preserve">finalidades, como assegurar </w:t>
      </w:r>
      <w:r w:rsidR="0044543A">
        <w:rPr>
          <w:rFonts w:ascii="Arial" w:hAnsi="Arial" w:cs="Arial"/>
          <w:sz w:val="24"/>
          <w:szCs w:val="24"/>
        </w:rPr>
        <w:t xml:space="preserve">mais rápida tramitação processual (a </w:t>
      </w:r>
      <w:r w:rsidR="0044543A">
        <w:rPr>
          <w:rFonts w:ascii="Arial" w:hAnsi="Arial" w:cs="Arial"/>
          <w:i/>
          <w:sz w:val="24"/>
          <w:szCs w:val="24"/>
        </w:rPr>
        <w:t>razoável duração dos processos</w:t>
      </w:r>
      <w:r w:rsidR="00792630">
        <w:rPr>
          <w:rFonts w:ascii="Arial" w:hAnsi="Arial" w:cs="Arial"/>
          <w:sz w:val="24"/>
          <w:szCs w:val="24"/>
        </w:rPr>
        <w:t xml:space="preserve">), notadamente ante </w:t>
      </w:r>
      <w:r w:rsidR="004D0DD0">
        <w:rPr>
          <w:rFonts w:ascii="Arial" w:hAnsi="Arial" w:cs="Arial"/>
          <w:sz w:val="24"/>
          <w:szCs w:val="24"/>
        </w:rPr>
        <w:t xml:space="preserve">o </w:t>
      </w:r>
      <w:r w:rsidR="0044543A">
        <w:rPr>
          <w:rFonts w:ascii="Arial" w:hAnsi="Arial" w:cs="Arial"/>
          <w:sz w:val="24"/>
          <w:szCs w:val="24"/>
        </w:rPr>
        <w:t>alto e crescente número de processos que circulam perante o Judiciário.</w:t>
      </w:r>
      <w:r w:rsidR="00F54CD6">
        <w:rPr>
          <w:rFonts w:ascii="Arial" w:hAnsi="Arial" w:cs="Arial"/>
          <w:sz w:val="24"/>
          <w:szCs w:val="24"/>
        </w:rPr>
        <w:t xml:space="preserve"> Esse é outro aspecto sobre o qual passamos a tratar no próximo tópico.</w:t>
      </w:r>
    </w:p>
    <w:p w14:paraId="571CC4BC" w14:textId="77777777" w:rsidR="00A71B8C" w:rsidRPr="0044543A" w:rsidRDefault="00A71B8C" w:rsidP="00127A60">
      <w:pPr>
        <w:tabs>
          <w:tab w:val="left" w:pos="851"/>
          <w:tab w:val="left" w:pos="8364"/>
          <w:tab w:val="left" w:pos="8789"/>
        </w:tabs>
        <w:spacing w:before="120" w:after="120" w:line="360" w:lineRule="auto"/>
        <w:ind w:firstLine="708"/>
        <w:jc w:val="both"/>
        <w:rPr>
          <w:rFonts w:ascii="Arial" w:hAnsi="Arial" w:cs="Arial"/>
          <w:sz w:val="24"/>
          <w:szCs w:val="24"/>
        </w:rPr>
      </w:pPr>
    </w:p>
    <w:p w14:paraId="05B44E85" w14:textId="3CE7B0AF" w:rsidR="00CE1EE5" w:rsidRPr="009A194A" w:rsidRDefault="00A97B2A" w:rsidP="006C6628">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9A194A">
        <w:rPr>
          <w:rFonts w:ascii="Arial" w:hAnsi="Arial" w:cs="Arial"/>
          <w:sz w:val="24"/>
          <w:szCs w:val="24"/>
          <w:u w:val="single"/>
        </w:rPr>
        <w:t xml:space="preserve">A </w:t>
      </w:r>
      <w:r w:rsidR="003D0559">
        <w:rPr>
          <w:rFonts w:ascii="Arial" w:hAnsi="Arial" w:cs="Arial"/>
          <w:i/>
          <w:sz w:val="24"/>
          <w:szCs w:val="24"/>
          <w:u w:val="single"/>
        </w:rPr>
        <w:t>c</w:t>
      </w:r>
      <w:r w:rsidRPr="009A194A">
        <w:rPr>
          <w:rFonts w:ascii="Arial" w:hAnsi="Arial" w:cs="Arial"/>
          <w:i/>
          <w:sz w:val="24"/>
          <w:szCs w:val="24"/>
          <w:u w:val="single"/>
        </w:rPr>
        <w:t xml:space="preserve">rise do </w:t>
      </w:r>
      <w:r w:rsidR="003D0559">
        <w:rPr>
          <w:rFonts w:ascii="Arial" w:hAnsi="Arial" w:cs="Arial"/>
          <w:i/>
          <w:sz w:val="24"/>
          <w:szCs w:val="24"/>
          <w:u w:val="single"/>
        </w:rPr>
        <w:t>recurso e</w:t>
      </w:r>
      <w:r w:rsidR="00A71B8C" w:rsidRPr="009A194A">
        <w:rPr>
          <w:rFonts w:ascii="Arial" w:hAnsi="Arial" w:cs="Arial"/>
          <w:i/>
          <w:sz w:val="24"/>
          <w:szCs w:val="24"/>
          <w:u w:val="single"/>
        </w:rPr>
        <w:t>xtraordinário</w:t>
      </w:r>
      <w:r w:rsidRPr="009A194A">
        <w:rPr>
          <w:rFonts w:ascii="Arial" w:hAnsi="Arial" w:cs="Arial"/>
          <w:sz w:val="24"/>
          <w:szCs w:val="24"/>
          <w:u w:val="single"/>
        </w:rPr>
        <w:t xml:space="preserve"> e as tentativas de solução</w:t>
      </w:r>
    </w:p>
    <w:p w14:paraId="7134FF35" w14:textId="3DC5EF32" w:rsidR="00EB6D8F" w:rsidRDefault="00A71B8C"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A repercussão geral é instituto que se manifesta no âmbito do recurso extraordinário. Tal meio de impugnação de decisões judiciais foi inicialmente criado em 1890</w:t>
      </w:r>
      <w:r w:rsidR="00104419">
        <w:rPr>
          <w:rFonts w:ascii="Arial" w:hAnsi="Arial" w:cs="Arial"/>
          <w:sz w:val="24"/>
          <w:szCs w:val="24"/>
        </w:rPr>
        <w:t xml:space="preserve"> pelo Decreto</w:t>
      </w:r>
      <w:r w:rsidR="003D0559">
        <w:rPr>
          <w:rFonts w:ascii="Arial" w:hAnsi="Arial" w:cs="Arial"/>
          <w:sz w:val="24"/>
          <w:szCs w:val="24"/>
        </w:rPr>
        <w:t xml:space="preserve"> n</w:t>
      </w:r>
      <w:r w:rsidR="004D0DD0">
        <w:rPr>
          <w:rFonts w:ascii="Arial" w:hAnsi="Arial" w:cs="Arial"/>
          <w:sz w:val="24"/>
          <w:szCs w:val="24"/>
        </w:rPr>
        <w:t>º</w:t>
      </w:r>
      <w:r w:rsidR="00104419">
        <w:rPr>
          <w:rFonts w:ascii="Arial" w:hAnsi="Arial" w:cs="Arial"/>
          <w:sz w:val="24"/>
          <w:szCs w:val="24"/>
        </w:rPr>
        <w:t xml:space="preserve"> 510</w:t>
      </w:r>
      <w:r w:rsidR="00104419">
        <w:rPr>
          <w:rStyle w:val="Refdenotaderodap"/>
          <w:rFonts w:ascii="Arial" w:hAnsi="Arial" w:cs="Arial"/>
          <w:sz w:val="24"/>
          <w:szCs w:val="24"/>
        </w:rPr>
        <w:footnoteReference w:id="1"/>
      </w:r>
      <w:r w:rsidR="00104419">
        <w:rPr>
          <w:rFonts w:ascii="Arial" w:hAnsi="Arial" w:cs="Arial"/>
          <w:sz w:val="24"/>
          <w:szCs w:val="24"/>
        </w:rPr>
        <w:t xml:space="preserve"> (que antecedeu a Constituição de 1891)</w:t>
      </w:r>
      <w:r w:rsidR="00135411">
        <w:rPr>
          <w:rFonts w:ascii="Arial" w:hAnsi="Arial" w:cs="Arial"/>
          <w:sz w:val="24"/>
          <w:szCs w:val="24"/>
        </w:rPr>
        <w:t>,</w:t>
      </w:r>
      <w:r w:rsidR="00E524AC">
        <w:rPr>
          <w:rFonts w:ascii="Arial" w:hAnsi="Arial" w:cs="Arial"/>
          <w:sz w:val="24"/>
          <w:szCs w:val="24"/>
        </w:rPr>
        <w:t xml:space="preserve"> e</w:t>
      </w:r>
      <w:r w:rsidR="004D0DD0">
        <w:rPr>
          <w:rFonts w:ascii="Arial" w:hAnsi="Arial" w:cs="Arial"/>
          <w:sz w:val="24"/>
          <w:szCs w:val="24"/>
        </w:rPr>
        <w:t>,</w:t>
      </w:r>
      <w:r w:rsidR="00E524AC">
        <w:rPr>
          <w:rFonts w:ascii="Arial" w:hAnsi="Arial" w:cs="Arial"/>
          <w:sz w:val="24"/>
          <w:szCs w:val="24"/>
        </w:rPr>
        <w:t xml:space="preserve"> desde o início de sua existência</w:t>
      </w:r>
      <w:r w:rsidR="004D0DD0">
        <w:rPr>
          <w:rFonts w:ascii="Arial" w:hAnsi="Arial" w:cs="Arial"/>
          <w:sz w:val="24"/>
          <w:szCs w:val="24"/>
        </w:rPr>
        <w:t>,</w:t>
      </w:r>
      <w:r w:rsidR="00E524AC">
        <w:rPr>
          <w:rFonts w:ascii="Arial" w:hAnsi="Arial" w:cs="Arial"/>
          <w:sz w:val="24"/>
          <w:szCs w:val="24"/>
        </w:rPr>
        <w:t xml:space="preserve"> já se apresentavam ideias para sua reforma, em razão do problema do crescente número de recursos que chegavam ao STF. Já na década de 1920, sob a vigência da Constituição de 1891, identificavam-se debates jurídicos e legislativos nesse sentido, especialmente no âmbito das deliberações sobre a posteriormente concretizada reforma constitucional de 1926.</w:t>
      </w:r>
    </w:p>
    <w:p w14:paraId="192F8B9E" w14:textId="47F955C8" w:rsidR="00E524AC" w:rsidRDefault="00E524AC"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Segundo já apontava Enrico </w:t>
      </w:r>
      <w:proofErr w:type="spellStart"/>
      <w:r>
        <w:rPr>
          <w:rFonts w:ascii="Arial" w:hAnsi="Arial" w:cs="Arial"/>
          <w:sz w:val="24"/>
          <w:szCs w:val="24"/>
        </w:rPr>
        <w:t>Tullio</w:t>
      </w:r>
      <w:proofErr w:type="spellEnd"/>
      <w:r>
        <w:rPr>
          <w:rFonts w:ascii="Arial" w:hAnsi="Arial" w:cs="Arial"/>
          <w:sz w:val="24"/>
          <w:szCs w:val="24"/>
        </w:rPr>
        <w:t xml:space="preserve"> </w:t>
      </w:r>
      <w:proofErr w:type="spellStart"/>
      <w:r>
        <w:rPr>
          <w:rFonts w:ascii="Arial" w:hAnsi="Arial" w:cs="Arial"/>
          <w:sz w:val="24"/>
          <w:szCs w:val="24"/>
        </w:rPr>
        <w:t>Liebman</w:t>
      </w:r>
      <w:proofErr w:type="spellEnd"/>
      <w:r>
        <w:rPr>
          <w:rFonts w:ascii="Arial" w:hAnsi="Arial" w:cs="Arial"/>
          <w:sz w:val="24"/>
          <w:szCs w:val="24"/>
        </w:rPr>
        <w:t xml:space="preserve"> na década de 1940</w:t>
      </w:r>
      <w:r w:rsidR="00BD4BDE">
        <w:rPr>
          <w:rFonts w:ascii="Arial" w:hAnsi="Arial" w:cs="Arial"/>
          <w:sz w:val="24"/>
          <w:szCs w:val="24"/>
        </w:rPr>
        <w:t xml:space="preserve"> (agora já após a superveniência das Constituições de 1934 e 1937)</w:t>
      </w:r>
      <w:r>
        <w:rPr>
          <w:rFonts w:ascii="Arial" w:hAnsi="Arial" w:cs="Arial"/>
          <w:sz w:val="24"/>
          <w:szCs w:val="24"/>
        </w:rPr>
        <w:t>, o rápido crescimento do número de processos que chegavam ao STF pela via recursal dava-se por um aspecto típico brasileiro: ao mesmo tempo em que nosso sistema se inspirava no modelo norte-american</w:t>
      </w:r>
      <w:r w:rsidR="00573D34">
        <w:rPr>
          <w:rFonts w:ascii="Arial" w:hAnsi="Arial" w:cs="Arial"/>
          <w:sz w:val="24"/>
          <w:szCs w:val="24"/>
        </w:rPr>
        <w:t>o (tanto em relação à forma de E</w:t>
      </w:r>
      <w:r w:rsidR="00612251">
        <w:rPr>
          <w:rFonts w:ascii="Arial" w:hAnsi="Arial" w:cs="Arial"/>
          <w:sz w:val="24"/>
          <w:szCs w:val="24"/>
        </w:rPr>
        <w:t>stado federativa</w:t>
      </w:r>
      <w:r>
        <w:rPr>
          <w:rFonts w:ascii="Arial" w:hAnsi="Arial" w:cs="Arial"/>
          <w:sz w:val="24"/>
          <w:szCs w:val="24"/>
        </w:rPr>
        <w:t xml:space="preserve"> quanto em relação à própria estruturação do Poder Judiciário, como vimos na aula passada), guardava-se uma maior centralidade da</w:t>
      </w:r>
      <w:r w:rsidR="00497793">
        <w:rPr>
          <w:rFonts w:ascii="Arial" w:hAnsi="Arial" w:cs="Arial"/>
          <w:sz w:val="24"/>
          <w:szCs w:val="24"/>
        </w:rPr>
        <w:t xml:space="preserve">s competências legislativas no </w:t>
      </w:r>
      <w:r w:rsidR="00573D34">
        <w:rPr>
          <w:rFonts w:ascii="Arial" w:hAnsi="Arial" w:cs="Arial"/>
          <w:sz w:val="24"/>
          <w:szCs w:val="24"/>
        </w:rPr>
        <w:t xml:space="preserve">Poder Federal </w:t>
      </w:r>
      <w:r>
        <w:rPr>
          <w:rFonts w:ascii="Arial" w:hAnsi="Arial" w:cs="Arial"/>
          <w:sz w:val="24"/>
          <w:szCs w:val="24"/>
        </w:rPr>
        <w:t xml:space="preserve">(a União). É dizer: apesar de se assegurar autonomia política, orçamentária, financeira e administrativa aos demais entes membros, algumas matérias apenas poderiam ser legisladas </w:t>
      </w:r>
      <w:r w:rsidR="00BD4BDE">
        <w:rPr>
          <w:rFonts w:ascii="Arial" w:hAnsi="Arial" w:cs="Arial"/>
          <w:sz w:val="24"/>
          <w:szCs w:val="24"/>
        </w:rPr>
        <w:t>pela União (ex</w:t>
      </w:r>
      <w:r w:rsidR="00573D34">
        <w:rPr>
          <w:rFonts w:ascii="Arial" w:hAnsi="Arial" w:cs="Arial"/>
          <w:sz w:val="24"/>
          <w:szCs w:val="24"/>
        </w:rPr>
        <w:t>.</w:t>
      </w:r>
      <w:r w:rsidR="00990274">
        <w:rPr>
          <w:rFonts w:ascii="Arial" w:hAnsi="Arial" w:cs="Arial"/>
          <w:sz w:val="24"/>
          <w:szCs w:val="24"/>
        </w:rPr>
        <w:t xml:space="preserve">: </w:t>
      </w:r>
      <w:r w:rsidR="00B45688">
        <w:rPr>
          <w:rFonts w:ascii="Arial" w:hAnsi="Arial" w:cs="Arial"/>
          <w:sz w:val="24"/>
          <w:szCs w:val="24"/>
        </w:rPr>
        <w:t>direito civil, direito comercial, direito penal, direito processual</w:t>
      </w:r>
      <w:r w:rsidR="00BD4BDE">
        <w:rPr>
          <w:rFonts w:ascii="Arial" w:hAnsi="Arial" w:cs="Arial"/>
          <w:sz w:val="24"/>
          <w:szCs w:val="24"/>
        </w:rPr>
        <w:t>, etc</w:t>
      </w:r>
      <w:r w:rsidR="00573D34">
        <w:rPr>
          <w:rFonts w:ascii="Arial" w:hAnsi="Arial" w:cs="Arial"/>
          <w:sz w:val="24"/>
          <w:szCs w:val="24"/>
        </w:rPr>
        <w:t>.</w:t>
      </w:r>
      <w:r w:rsidR="00BD4BDE">
        <w:rPr>
          <w:rFonts w:ascii="Arial" w:hAnsi="Arial" w:cs="Arial"/>
          <w:sz w:val="24"/>
          <w:szCs w:val="24"/>
        </w:rPr>
        <w:t xml:space="preserve">). Assim, tendo em vista que uma das funções principais do recurso extraordinário – ao qual hoje se incorpora a repercussão geral – era garantir </w:t>
      </w:r>
      <w:r w:rsidR="00132174">
        <w:rPr>
          <w:rFonts w:ascii="Arial" w:hAnsi="Arial" w:cs="Arial"/>
          <w:sz w:val="24"/>
          <w:szCs w:val="24"/>
        </w:rPr>
        <w:t xml:space="preserve">a uniformidade de aplicação do </w:t>
      </w:r>
      <w:r w:rsidR="00B45688">
        <w:rPr>
          <w:rFonts w:ascii="Arial" w:hAnsi="Arial" w:cs="Arial"/>
          <w:sz w:val="24"/>
          <w:szCs w:val="24"/>
        </w:rPr>
        <w:t>direito</w:t>
      </w:r>
      <w:r w:rsidR="00BD4BDE">
        <w:rPr>
          <w:rFonts w:ascii="Arial" w:hAnsi="Arial" w:cs="Arial"/>
          <w:sz w:val="24"/>
          <w:szCs w:val="24"/>
        </w:rPr>
        <w:t xml:space="preserve"> federal, tinha-se maior número de leis e assuntos juridicamente relevantes sobre o qual se tratar perante o STF.</w:t>
      </w:r>
    </w:p>
    <w:p w14:paraId="500BED83" w14:textId="77777777" w:rsidR="00BD4BDE" w:rsidRDefault="00BD4BDE"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Sobre esse aspecto, </w:t>
      </w:r>
      <w:proofErr w:type="spellStart"/>
      <w:r>
        <w:rPr>
          <w:rFonts w:ascii="Arial" w:hAnsi="Arial" w:cs="Arial"/>
          <w:sz w:val="24"/>
          <w:szCs w:val="24"/>
        </w:rPr>
        <w:t>Liebman</w:t>
      </w:r>
      <w:proofErr w:type="spellEnd"/>
      <w:r>
        <w:rPr>
          <w:rFonts w:ascii="Arial" w:hAnsi="Arial" w:cs="Arial"/>
          <w:sz w:val="24"/>
          <w:szCs w:val="24"/>
        </w:rPr>
        <w:t xml:space="preserve"> assentava que:</w:t>
      </w:r>
    </w:p>
    <w:p w14:paraId="621EF202" w14:textId="77777777" w:rsidR="00573D34" w:rsidRDefault="00573D34" w:rsidP="00CE1DB7">
      <w:pPr>
        <w:tabs>
          <w:tab w:val="left" w:pos="851"/>
          <w:tab w:val="left" w:pos="1985"/>
        </w:tabs>
        <w:spacing w:after="0" w:line="360" w:lineRule="auto"/>
        <w:ind w:left="2268"/>
        <w:jc w:val="both"/>
        <w:rPr>
          <w:rFonts w:ascii="Arial" w:hAnsi="Arial" w:cs="Arial"/>
          <w:sz w:val="20"/>
          <w:szCs w:val="20"/>
        </w:rPr>
      </w:pPr>
    </w:p>
    <w:p w14:paraId="419EFBDA" w14:textId="12F9B180" w:rsidR="00BD4BDE" w:rsidRPr="00BD4BDE" w:rsidRDefault="00FA4901" w:rsidP="00D61D65">
      <w:pPr>
        <w:tabs>
          <w:tab w:val="left" w:pos="851"/>
          <w:tab w:val="left" w:pos="1985"/>
        </w:tabs>
        <w:spacing w:after="0" w:line="240" w:lineRule="auto"/>
        <w:ind w:left="2268" w:firstLine="284"/>
        <w:jc w:val="both"/>
        <w:rPr>
          <w:rFonts w:ascii="Arial" w:hAnsi="Arial" w:cs="Arial"/>
          <w:sz w:val="20"/>
          <w:szCs w:val="20"/>
        </w:rPr>
      </w:pPr>
      <w:r>
        <w:rPr>
          <w:rFonts w:ascii="Arial" w:hAnsi="Arial" w:cs="Arial"/>
          <w:sz w:val="20"/>
          <w:szCs w:val="20"/>
        </w:rPr>
        <w:t xml:space="preserve">[...] </w:t>
      </w:r>
      <w:r w:rsidR="00BD4BDE" w:rsidRPr="00BD4BDE">
        <w:rPr>
          <w:rFonts w:ascii="Arial" w:hAnsi="Arial" w:cs="Arial"/>
          <w:sz w:val="20"/>
          <w:szCs w:val="20"/>
        </w:rPr>
        <w:t>dessas circunstâncias decorre que os Tribunais estaduais aplicam direito federal com frequência muito maior, vale dizer, mais precisament</w:t>
      </w:r>
      <w:r w:rsidR="00BD4BDE">
        <w:rPr>
          <w:rFonts w:ascii="Arial" w:hAnsi="Arial" w:cs="Arial"/>
          <w:sz w:val="20"/>
          <w:szCs w:val="20"/>
        </w:rPr>
        <w:t xml:space="preserve">e, na imensa maioria dos casos. </w:t>
      </w:r>
      <w:r w:rsidR="00BD4BDE" w:rsidRPr="00BD4BDE">
        <w:rPr>
          <w:rFonts w:ascii="Arial" w:hAnsi="Arial" w:cs="Arial"/>
          <w:sz w:val="20"/>
          <w:szCs w:val="20"/>
        </w:rPr>
        <w:t xml:space="preserve">Trata-se, é certo, de uma diferença de quantidade, conservando-se </w:t>
      </w:r>
      <w:proofErr w:type="spellStart"/>
      <w:r w:rsidR="00BD4BDE" w:rsidRPr="00BD4BDE">
        <w:rPr>
          <w:rFonts w:ascii="Arial" w:hAnsi="Arial" w:cs="Arial"/>
          <w:sz w:val="20"/>
          <w:szCs w:val="20"/>
        </w:rPr>
        <w:t>invariadas</w:t>
      </w:r>
      <w:proofErr w:type="spellEnd"/>
      <w:r w:rsidR="00BD4BDE" w:rsidRPr="00BD4BDE">
        <w:rPr>
          <w:rFonts w:ascii="Arial" w:hAnsi="Arial" w:cs="Arial"/>
          <w:sz w:val="20"/>
          <w:szCs w:val="20"/>
        </w:rPr>
        <w:t xml:space="preserve"> as relações de qualidade. Mas os problemas quantitativos têm nos fenômenos sociais muita import</w:t>
      </w:r>
      <w:r w:rsidR="00BD4BDE">
        <w:rPr>
          <w:rFonts w:ascii="Arial" w:hAnsi="Arial" w:cs="Arial"/>
          <w:sz w:val="20"/>
          <w:szCs w:val="20"/>
        </w:rPr>
        <w:t>ância e sempre acabam</w:t>
      </w:r>
      <w:r w:rsidR="00BD4BDE" w:rsidRPr="00BD4BDE">
        <w:rPr>
          <w:rFonts w:ascii="Arial" w:hAnsi="Arial" w:cs="Arial"/>
          <w:sz w:val="20"/>
          <w:szCs w:val="20"/>
        </w:rPr>
        <w:t xml:space="preserve"> por repercutir s</w:t>
      </w:r>
      <w:r w:rsidR="00573D34">
        <w:rPr>
          <w:rFonts w:ascii="Arial" w:hAnsi="Arial" w:cs="Arial"/>
          <w:sz w:val="20"/>
          <w:szCs w:val="20"/>
        </w:rPr>
        <w:t>o</w:t>
      </w:r>
      <w:r w:rsidR="00BD4BDE" w:rsidRPr="00BD4BDE">
        <w:rPr>
          <w:rFonts w:ascii="Arial" w:hAnsi="Arial" w:cs="Arial"/>
          <w:sz w:val="20"/>
          <w:szCs w:val="20"/>
        </w:rPr>
        <w:t>bre as soluções jurídicas.</w:t>
      </w:r>
      <w:r w:rsidR="00CE1DB7">
        <w:rPr>
          <w:rFonts w:ascii="Arial" w:hAnsi="Arial" w:cs="Arial"/>
          <w:sz w:val="20"/>
          <w:szCs w:val="20"/>
        </w:rPr>
        <w:t xml:space="preserve"> </w:t>
      </w:r>
      <w:r w:rsidR="00BD4BDE">
        <w:rPr>
          <w:rFonts w:ascii="Arial" w:hAnsi="Arial" w:cs="Arial"/>
          <w:sz w:val="20"/>
          <w:szCs w:val="20"/>
        </w:rPr>
        <w:t>(LIEBMAN, 1941, p. 601/602</w:t>
      </w:r>
      <w:r w:rsidR="00CE1DB7">
        <w:rPr>
          <w:rFonts w:ascii="Arial" w:hAnsi="Arial" w:cs="Arial"/>
          <w:sz w:val="20"/>
          <w:szCs w:val="20"/>
        </w:rPr>
        <w:t>.)</w:t>
      </w:r>
    </w:p>
    <w:p w14:paraId="0B309FF5" w14:textId="77777777" w:rsidR="00BD4BDE" w:rsidRPr="00BD4BDE" w:rsidRDefault="00BD4BDE" w:rsidP="00BD4BDE">
      <w:pPr>
        <w:tabs>
          <w:tab w:val="left" w:pos="851"/>
          <w:tab w:val="left" w:pos="8364"/>
          <w:tab w:val="left" w:pos="8789"/>
        </w:tabs>
        <w:spacing w:before="120" w:after="120" w:line="360" w:lineRule="auto"/>
        <w:ind w:left="1701"/>
        <w:jc w:val="both"/>
        <w:rPr>
          <w:rFonts w:ascii="Arial" w:hAnsi="Arial" w:cs="Arial"/>
          <w:sz w:val="20"/>
          <w:szCs w:val="20"/>
        </w:rPr>
      </w:pPr>
    </w:p>
    <w:p w14:paraId="63753199" w14:textId="77777777" w:rsidR="00A71B8C" w:rsidRDefault="00BD4BDE"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r>
      <w:r w:rsidR="00D47C60">
        <w:rPr>
          <w:rFonts w:ascii="Arial" w:hAnsi="Arial" w:cs="Arial"/>
          <w:sz w:val="24"/>
          <w:szCs w:val="24"/>
        </w:rPr>
        <w:t>É importante</w:t>
      </w:r>
      <w:r w:rsidR="006A064A">
        <w:rPr>
          <w:rFonts w:ascii="Arial" w:hAnsi="Arial" w:cs="Arial"/>
          <w:sz w:val="24"/>
          <w:szCs w:val="24"/>
        </w:rPr>
        <w:t xml:space="preserve"> destacar</w:t>
      </w:r>
      <w:r w:rsidR="00D47C60">
        <w:rPr>
          <w:rFonts w:ascii="Arial" w:hAnsi="Arial" w:cs="Arial"/>
          <w:sz w:val="24"/>
          <w:szCs w:val="24"/>
        </w:rPr>
        <w:t xml:space="preserve"> que, nessa época, cabia ao Supremo</w:t>
      </w:r>
      <w:r w:rsidR="006A064A">
        <w:rPr>
          <w:rFonts w:ascii="Arial" w:hAnsi="Arial" w:cs="Arial"/>
          <w:sz w:val="24"/>
          <w:szCs w:val="24"/>
        </w:rPr>
        <w:t xml:space="preserve"> zelar também pela uniformidade de aplicação das normas infraconstitucionais. </w:t>
      </w:r>
      <w:r w:rsidR="00732FD2">
        <w:rPr>
          <w:rFonts w:ascii="Arial" w:hAnsi="Arial" w:cs="Arial"/>
          <w:sz w:val="24"/>
          <w:szCs w:val="24"/>
        </w:rPr>
        <w:t>Mais recentemente a mesma constatação é também perfilada por José Miguel Garcia Medina, que afirma:</w:t>
      </w:r>
    </w:p>
    <w:p w14:paraId="2AACC498" w14:textId="77777777" w:rsidR="00FA4901" w:rsidRDefault="00FA4901" w:rsidP="00D61D65">
      <w:pPr>
        <w:tabs>
          <w:tab w:val="left" w:pos="851"/>
          <w:tab w:val="left" w:pos="1985"/>
        </w:tabs>
        <w:spacing w:after="0" w:line="360" w:lineRule="auto"/>
        <w:ind w:left="2268" w:firstLine="284"/>
        <w:jc w:val="both"/>
        <w:rPr>
          <w:rFonts w:ascii="Arial" w:hAnsi="Arial" w:cs="Arial"/>
          <w:sz w:val="20"/>
          <w:szCs w:val="20"/>
        </w:rPr>
      </w:pPr>
    </w:p>
    <w:p w14:paraId="764ED16E" w14:textId="438A19C0" w:rsidR="00732FD2" w:rsidRDefault="00FA4901" w:rsidP="00D61D65">
      <w:pPr>
        <w:tabs>
          <w:tab w:val="left" w:pos="851"/>
          <w:tab w:val="left" w:pos="1985"/>
        </w:tabs>
        <w:spacing w:after="0" w:line="240" w:lineRule="auto"/>
        <w:ind w:left="2268" w:firstLine="284"/>
        <w:jc w:val="both"/>
        <w:rPr>
          <w:rFonts w:ascii="Arial" w:hAnsi="Arial" w:cs="Arial"/>
          <w:sz w:val="20"/>
          <w:szCs w:val="20"/>
        </w:rPr>
      </w:pPr>
      <w:r>
        <w:rPr>
          <w:rFonts w:ascii="Arial" w:hAnsi="Arial" w:cs="Arial"/>
          <w:sz w:val="20"/>
          <w:szCs w:val="20"/>
        </w:rPr>
        <w:t xml:space="preserve">[...] </w:t>
      </w:r>
      <w:r w:rsidR="00732FD2">
        <w:rPr>
          <w:rFonts w:ascii="Arial" w:hAnsi="Arial" w:cs="Arial"/>
          <w:sz w:val="20"/>
          <w:szCs w:val="20"/>
        </w:rPr>
        <w:t xml:space="preserve">o recurso extraordinário teve como modelo o </w:t>
      </w:r>
      <w:r w:rsidR="00732FD2">
        <w:rPr>
          <w:rFonts w:ascii="Arial" w:hAnsi="Arial" w:cs="Arial"/>
          <w:i/>
          <w:sz w:val="20"/>
          <w:szCs w:val="20"/>
        </w:rPr>
        <w:t xml:space="preserve">writ </w:t>
      </w:r>
      <w:proofErr w:type="spellStart"/>
      <w:r w:rsidR="00732FD2">
        <w:rPr>
          <w:rFonts w:ascii="Arial" w:hAnsi="Arial" w:cs="Arial"/>
          <w:i/>
          <w:sz w:val="20"/>
          <w:szCs w:val="20"/>
        </w:rPr>
        <w:t>of</w:t>
      </w:r>
      <w:proofErr w:type="spellEnd"/>
      <w:r w:rsidR="00732FD2">
        <w:rPr>
          <w:rFonts w:ascii="Arial" w:hAnsi="Arial" w:cs="Arial"/>
          <w:i/>
          <w:sz w:val="20"/>
          <w:szCs w:val="20"/>
        </w:rPr>
        <w:t xml:space="preserve"> </w:t>
      </w:r>
      <w:proofErr w:type="spellStart"/>
      <w:r w:rsidR="00732FD2">
        <w:rPr>
          <w:rFonts w:ascii="Arial" w:hAnsi="Arial" w:cs="Arial"/>
          <w:i/>
          <w:sz w:val="20"/>
          <w:szCs w:val="20"/>
        </w:rPr>
        <w:t>error</w:t>
      </w:r>
      <w:proofErr w:type="spellEnd"/>
      <w:r w:rsidR="00732FD2">
        <w:rPr>
          <w:rFonts w:ascii="Arial" w:hAnsi="Arial" w:cs="Arial"/>
          <w:sz w:val="20"/>
          <w:szCs w:val="20"/>
        </w:rPr>
        <w:t xml:space="preserve"> do direito norte-americano; ressaltou-se, também, que não se atentou, à época, para uma grande diferença existente entre os dois países: a competência legislativa federal, no brasil, é ampla, ao contrário do que ocorre no direito norte-americano, onde tal competência é bem mais restrita. Como o recurso extraordinário tinha a peculiaridade de ser exercitável em qualquer causa na qual estivesse presente a questão federal (aqui abrangidas as questões constitucionais e as questões federais propriamente ditas), é compreensível que se tenha verificado um grande número de recursos distribuídos ao </w:t>
      </w:r>
      <w:r w:rsidR="00732FD2" w:rsidRPr="00732FD2">
        <w:rPr>
          <w:rFonts w:ascii="Arial" w:hAnsi="Arial" w:cs="Arial"/>
          <w:sz w:val="20"/>
          <w:szCs w:val="20"/>
        </w:rPr>
        <w:t>Supremo Tribunal Federal</w:t>
      </w:r>
      <w:r w:rsidR="00732FD2">
        <w:rPr>
          <w:rFonts w:ascii="Arial" w:hAnsi="Arial" w:cs="Arial"/>
          <w:sz w:val="20"/>
          <w:szCs w:val="20"/>
        </w:rPr>
        <w:t xml:space="preserve">, problema que, por causa da demora em sua resolução, tornou-se crônico, passando a ser referido como a </w:t>
      </w:r>
      <w:r>
        <w:rPr>
          <w:rFonts w:ascii="Arial" w:hAnsi="Arial" w:cs="Arial"/>
          <w:sz w:val="20"/>
          <w:szCs w:val="20"/>
        </w:rPr>
        <w:t>“</w:t>
      </w:r>
      <w:r w:rsidR="00732FD2">
        <w:rPr>
          <w:rFonts w:ascii="Arial" w:hAnsi="Arial" w:cs="Arial"/>
          <w:sz w:val="20"/>
          <w:szCs w:val="20"/>
        </w:rPr>
        <w:t>crise do Supremo</w:t>
      </w:r>
      <w:r>
        <w:rPr>
          <w:rFonts w:ascii="Arial" w:hAnsi="Arial" w:cs="Arial"/>
          <w:sz w:val="20"/>
          <w:szCs w:val="20"/>
        </w:rPr>
        <w:t>”</w:t>
      </w:r>
      <w:r w:rsidR="00732FD2">
        <w:rPr>
          <w:rFonts w:ascii="Arial" w:hAnsi="Arial" w:cs="Arial"/>
          <w:sz w:val="20"/>
          <w:szCs w:val="20"/>
        </w:rPr>
        <w:t>.</w:t>
      </w:r>
      <w:r w:rsidR="009F1F96">
        <w:rPr>
          <w:rFonts w:ascii="Arial" w:hAnsi="Arial" w:cs="Arial"/>
          <w:sz w:val="20"/>
          <w:szCs w:val="20"/>
        </w:rPr>
        <w:t xml:space="preserve"> </w:t>
      </w:r>
      <w:r w:rsidR="00F36D2D">
        <w:rPr>
          <w:rFonts w:ascii="Arial" w:hAnsi="Arial" w:cs="Arial"/>
          <w:sz w:val="20"/>
          <w:szCs w:val="20"/>
        </w:rPr>
        <w:t>(</w:t>
      </w:r>
      <w:r w:rsidR="00732FD2">
        <w:rPr>
          <w:rFonts w:ascii="Arial" w:hAnsi="Arial" w:cs="Arial"/>
          <w:sz w:val="20"/>
          <w:szCs w:val="20"/>
        </w:rPr>
        <w:t>MEDINA,</w:t>
      </w:r>
      <w:r w:rsidR="00732FD2" w:rsidRPr="00732FD2">
        <w:t xml:space="preserve"> </w:t>
      </w:r>
      <w:r w:rsidR="00BC137C">
        <w:rPr>
          <w:rFonts w:ascii="Arial" w:hAnsi="Arial" w:cs="Arial"/>
          <w:sz w:val="20"/>
          <w:szCs w:val="20"/>
        </w:rPr>
        <w:t>2012</w:t>
      </w:r>
      <w:r w:rsidR="00732FD2">
        <w:rPr>
          <w:rFonts w:ascii="Arial" w:hAnsi="Arial" w:cs="Arial"/>
          <w:sz w:val="20"/>
          <w:szCs w:val="20"/>
        </w:rPr>
        <w:t xml:space="preserve">, p. </w:t>
      </w:r>
      <w:r w:rsidR="00BC137C">
        <w:rPr>
          <w:rFonts w:ascii="Arial" w:hAnsi="Arial" w:cs="Arial"/>
          <w:sz w:val="20"/>
          <w:szCs w:val="20"/>
        </w:rPr>
        <w:t>46</w:t>
      </w:r>
      <w:r w:rsidR="009F1F96">
        <w:rPr>
          <w:rFonts w:ascii="Arial" w:hAnsi="Arial" w:cs="Arial"/>
          <w:sz w:val="20"/>
          <w:szCs w:val="20"/>
        </w:rPr>
        <w:t>.)</w:t>
      </w:r>
    </w:p>
    <w:p w14:paraId="48C57228" w14:textId="77777777" w:rsidR="008644BF" w:rsidRPr="00BD4BDE" w:rsidRDefault="008644BF" w:rsidP="00732FD2">
      <w:pPr>
        <w:tabs>
          <w:tab w:val="left" w:pos="851"/>
          <w:tab w:val="left" w:pos="1985"/>
        </w:tabs>
        <w:spacing w:after="0" w:line="360" w:lineRule="auto"/>
        <w:ind w:left="1701"/>
        <w:jc w:val="both"/>
        <w:rPr>
          <w:rFonts w:ascii="Arial" w:hAnsi="Arial" w:cs="Arial"/>
          <w:sz w:val="20"/>
          <w:szCs w:val="20"/>
        </w:rPr>
      </w:pPr>
    </w:p>
    <w:p w14:paraId="59B9327C" w14:textId="78779991" w:rsidR="006A064A" w:rsidRDefault="006A064A"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Esse viés mais centralizador de nossa federação decorre, também, do pr</w:t>
      </w:r>
      <w:r w:rsidR="00712D94">
        <w:rPr>
          <w:rFonts w:ascii="Arial" w:hAnsi="Arial" w:cs="Arial"/>
          <w:sz w:val="24"/>
          <w:szCs w:val="24"/>
        </w:rPr>
        <w:t>ópri</w:t>
      </w:r>
      <w:r>
        <w:rPr>
          <w:rFonts w:ascii="Arial" w:hAnsi="Arial" w:cs="Arial"/>
          <w:sz w:val="24"/>
          <w:szCs w:val="24"/>
        </w:rPr>
        <w:t>o modo pelo qual se deu sua formaç</w:t>
      </w:r>
      <w:r w:rsidR="00712D94">
        <w:rPr>
          <w:rFonts w:ascii="Arial" w:hAnsi="Arial" w:cs="Arial"/>
          <w:sz w:val="24"/>
          <w:szCs w:val="24"/>
        </w:rPr>
        <w:t>ão, quando em comparação ao modelo original norte-americano, por exemplo.</w:t>
      </w:r>
      <w:r w:rsidR="006F313D">
        <w:rPr>
          <w:rFonts w:ascii="Arial" w:hAnsi="Arial" w:cs="Arial"/>
          <w:sz w:val="24"/>
          <w:szCs w:val="24"/>
        </w:rPr>
        <w:t xml:space="preserve"> Nos Estados Unidos, tinha-se uma situação inicial com províncias bastante independentes que só aceitaram se unir em torno de um poder central se pudessem conservar boa parte de suas autonomias, possuindo competência legislativ</w:t>
      </w:r>
      <w:r w:rsidR="006B0AB5">
        <w:rPr>
          <w:rFonts w:ascii="Arial" w:hAnsi="Arial" w:cs="Arial"/>
          <w:sz w:val="24"/>
          <w:szCs w:val="24"/>
        </w:rPr>
        <w:t xml:space="preserve">a para tratar de matérias como </w:t>
      </w:r>
      <w:r w:rsidR="00B45688">
        <w:rPr>
          <w:rFonts w:ascii="Arial" w:hAnsi="Arial" w:cs="Arial"/>
          <w:sz w:val="24"/>
          <w:szCs w:val="24"/>
        </w:rPr>
        <w:t>direito civil, direito penal, direito comercial</w:t>
      </w:r>
      <w:r w:rsidR="006F313D">
        <w:rPr>
          <w:rFonts w:ascii="Arial" w:hAnsi="Arial" w:cs="Arial"/>
          <w:sz w:val="24"/>
          <w:szCs w:val="24"/>
        </w:rPr>
        <w:t xml:space="preserve">, etc. No Brasil, de modo inverso, percorreu-se um caminho desde uma forma unitária até uma forma fracionária, de modo que as competências próprias das entidades subnacionais sempre foram vistas como </w:t>
      </w:r>
      <w:r w:rsidR="006F313D">
        <w:rPr>
          <w:rFonts w:ascii="Arial" w:hAnsi="Arial" w:cs="Arial"/>
          <w:i/>
          <w:sz w:val="24"/>
          <w:szCs w:val="24"/>
        </w:rPr>
        <w:t>concessões</w:t>
      </w:r>
      <w:r w:rsidR="006F313D">
        <w:rPr>
          <w:rFonts w:ascii="Arial" w:hAnsi="Arial" w:cs="Arial"/>
          <w:sz w:val="24"/>
          <w:szCs w:val="24"/>
        </w:rPr>
        <w:t xml:space="preserve"> do poder central em prol desses entes.</w:t>
      </w:r>
      <w:r w:rsidR="0033693D">
        <w:rPr>
          <w:rFonts w:ascii="Arial" w:hAnsi="Arial" w:cs="Arial"/>
          <w:sz w:val="24"/>
          <w:szCs w:val="24"/>
        </w:rPr>
        <w:t xml:space="preserve"> </w:t>
      </w:r>
    </w:p>
    <w:p w14:paraId="30D2A39A" w14:textId="47ADEE53" w:rsidR="0033693D" w:rsidRDefault="0033693D"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Essa tendência centralizadora do federalismo brasileiro persiste ainda nos tempos atuais e pode ser bem exemplificada pela distribuição das competências legislativas privativas da União (art. 22 da CRFB/</w:t>
      </w:r>
      <w:r w:rsidR="00BA7EFB">
        <w:rPr>
          <w:rFonts w:ascii="Arial" w:hAnsi="Arial" w:cs="Arial"/>
          <w:sz w:val="24"/>
          <w:szCs w:val="24"/>
        </w:rPr>
        <w:t>19</w:t>
      </w:r>
      <w:r>
        <w:rPr>
          <w:rFonts w:ascii="Arial" w:hAnsi="Arial" w:cs="Arial"/>
          <w:sz w:val="24"/>
          <w:szCs w:val="24"/>
        </w:rPr>
        <w:t xml:space="preserve">88), bem como pela maior competência tributária atribuída ao ente federal, dentre outros fatores. Essa </w:t>
      </w:r>
      <w:r w:rsidR="008B3C41">
        <w:rPr>
          <w:rFonts w:ascii="Arial" w:hAnsi="Arial" w:cs="Arial"/>
          <w:sz w:val="24"/>
          <w:szCs w:val="24"/>
        </w:rPr>
        <w:t xml:space="preserve">ampla unidade do </w:t>
      </w:r>
      <w:r w:rsidR="00B45688">
        <w:rPr>
          <w:rFonts w:ascii="Arial" w:hAnsi="Arial" w:cs="Arial"/>
          <w:sz w:val="24"/>
          <w:szCs w:val="24"/>
        </w:rPr>
        <w:t>direito</w:t>
      </w:r>
      <w:r>
        <w:rPr>
          <w:rFonts w:ascii="Arial" w:hAnsi="Arial" w:cs="Arial"/>
          <w:sz w:val="24"/>
          <w:szCs w:val="24"/>
        </w:rPr>
        <w:t xml:space="preserve"> federal, alcançando de modo igual todo o território nacional sem que as legislações estaduais possam dispor em sentido contrário, repercute de forma direta na tarefa de uniformização de sua aplicação, já que se tem uma multiplicida</w:t>
      </w:r>
      <w:r w:rsidR="00AA1E88">
        <w:rPr>
          <w:rFonts w:ascii="Arial" w:hAnsi="Arial" w:cs="Arial"/>
          <w:sz w:val="24"/>
          <w:szCs w:val="24"/>
        </w:rPr>
        <w:t xml:space="preserve">de de </w:t>
      </w:r>
      <w:r w:rsidR="00E127BE">
        <w:rPr>
          <w:rFonts w:ascii="Arial" w:hAnsi="Arial" w:cs="Arial"/>
          <w:sz w:val="24"/>
          <w:szCs w:val="24"/>
        </w:rPr>
        <w:t>tribunais</w:t>
      </w:r>
      <w:r w:rsidR="00AA1E88">
        <w:rPr>
          <w:rFonts w:ascii="Arial" w:hAnsi="Arial" w:cs="Arial"/>
          <w:sz w:val="24"/>
          <w:szCs w:val="24"/>
        </w:rPr>
        <w:t xml:space="preserve"> – estaduais e f</w:t>
      </w:r>
      <w:r>
        <w:rPr>
          <w:rFonts w:ascii="Arial" w:hAnsi="Arial" w:cs="Arial"/>
          <w:sz w:val="24"/>
          <w:szCs w:val="24"/>
        </w:rPr>
        <w:t>ederais – interpretando as mesmas normas jurídicas.</w:t>
      </w:r>
      <w:r w:rsidR="00E11E29">
        <w:rPr>
          <w:rFonts w:ascii="Arial" w:hAnsi="Arial" w:cs="Arial"/>
          <w:sz w:val="24"/>
          <w:szCs w:val="24"/>
        </w:rPr>
        <w:t xml:space="preserve"> Ainda sob a vigência da Constituição de 1946, </w:t>
      </w:r>
      <w:commentRangeStart w:id="1"/>
      <w:r w:rsidR="00E11E29">
        <w:rPr>
          <w:rFonts w:ascii="Arial" w:hAnsi="Arial" w:cs="Arial"/>
          <w:sz w:val="24"/>
          <w:szCs w:val="24"/>
        </w:rPr>
        <w:t xml:space="preserve">José Afonso da Silva </w:t>
      </w:r>
      <w:commentRangeEnd w:id="1"/>
      <w:r w:rsidR="000925CF">
        <w:rPr>
          <w:rStyle w:val="Refdecomentrio"/>
        </w:rPr>
        <w:commentReference w:id="1"/>
      </w:r>
      <w:r w:rsidR="00E11E29">
        <w:rPr>
          <w:rFonts w:ascii="Arial" w:hAnsi="Arial" w:cs="Arial"/>
          <w:sz w:val="24"/>
          <w:szCs w:val="24"/>
        </w:rPr>
        <w:t>já tratava das consequências desses fatores sobre a execução da atividade judicial no Brasil:</w:t>
      </w:r>
    </w:p>
    <w:p w14:paraId="3FC05478" w14:textId="35F50A4D" w:rsidR="00E11E29" w:rsidRDefault="00E11E29" w:rsidP="00D61D65">
      <w:pPr>
        <w:tabs>
          <w:tab w:val="left" w:pos="851"/>
          <w:tab w:val="left" w:pos="1985"/>
        </w:tabs>
        <w:spacing w:after="0" w:line="240" w:lineRule="auto"/>
        <w:ind w:left="2268" w:firstLine="284"/>
        <w:jc w:val="both"/>
        <w:rPr>
          <w:rFonts w:ascii="Arial" w:hAnsi="Arial" w:cs="Arial"/>
          <w:sz w:val="20"/>
          <w:szCs w:val="20"/>
        </w:rPr>
      </w:pPr>
      <w:r w:rsidRPr="00E11E29">
        <w:rPr>
          <w:rFonts w:ascii="Arial" w:hAnsi="Arial" w:cs="Arial"/>
          <w:sz w:val="20"/>
          <w:szCs w:val="20"/>
        </w:rPr>
        <w:t xml:space="preserve">O que existe é uma descentralização judiciária. As chamadas Justiças estaduais não são propriamente estaduais, senão órgãos da Justiça nacional descentralizados. Descentralização de tipo especial, mas essencialmente descentralização. Aos Estados cabe tão somente o direito (melhor diria o ônus) da organização judiciária: mesmo assim segundo os princípios que lhes traça a Constituição federal, e ainda o direito de dividir, como bem entender, o seu território em circunscrição judiciária. E é somente nesse sentido que se pode falar </w:t>
      </w:r>
      <w:r w:rsidRPr="00E11E29">
        <w:rPr>
          <w:rFonts w:ascii="Arial" w:hAnsi="Arial" w:cs="Arial"/>
          <w:sz w:val="20"/>
          <w:szCs w:val="20"/>
        </w:rPr>
        <w:lastRenderedPageBreak/>
        <w:t>em Justiças estaduais; locais pela organização, pela manutenção. No mais, não diferem em nada das Justiças federais, assim chamadas as Justiças especiais, organizadas e mantidas pela União, como a do Trabalho e a Eleitora</w:t>
      </w:r>
      <w:r w:rsidR="00CB1F1D">
        <w:rPr>
          <w:rFonts w:ascii="Arial" w:hAnsi="Arial" w:cs="Arial"/>
          <w:sz w:val="20"/>
          <w:szCs w:val="20"/>
        </w:rPr>
        <w:t>l</w:t>
      </w:r>
      <w:r w:rsidRPr="00E11E29">
        <w:rPr>
          <w:rFonts w:ascii="Arial" w:hAnsi="Arial" w:cs="Arial"/>
          <w:sz w:val="20"/>
          <w:szCs w:val="20"/>
        </w:rPr>
        <w:t>, que, por sinal, são também descentralizadas.</w:t>
      </w:r>
      <w:r w:rsidR="00B83AE0">
        <w:rPr>
          <w:rFonts w:ascii="Arial" w:hAnsi="Arial" w:cs="Arial"/>
          <w:sz w:val="20"/>
          <w:szCs w:val="20"/>
        </w:rPr>
        <w:t xml:space="preserve"> </w:t>
      </w:r>
      <w:r>
        <w:rPr>
          <w:rFonts w:ascii="Arial" w:hAnsi="Arial" w:cs="Arial"/>
          <w:sz w:val="20"/>
          <w:szCs w:val="20"/>
        </w:rPr>
        <w:t>(</w:t>
      </w:r>
      <w:r w:rsidRPr="00E11E29">
        <w:rPr>
          <w:rFonts w:ascii="Arial" w:hAnsi="Arial" w:cs="Arial"/>
          <w:sz w:val="20"/>
          <w:szCs w:val="20"/>
        </w:rPr>
        <w:t xml:space="preserve">SILVA, 1963, p. </w:t>
      </w:r>
      <w:r>
        <w:rPr>
          <w:rFonts w:ascii="Arial" w:hAnsi="Arial" w:cs="Arial"/>
          <w:sz w:val="20"/>
          <w:szCs w:val="20"/>
        </w:rPr>
        <w:t>9</w:t>
      </w:r>
      <w:r w:rsidR="00760C1E">
        <w:rPr>
          <w:rFonts w:ascii="Arial" w:hAnsi="Arial" w:cs="Arial"/>
          <w:sz w:val="20"/>
          <w:szCs w:val="20"/>
        </w:rPr>
        <w:t>.)</w:t>
      </w:r>
    </w:p>
    <w:p w14:paraId="50755D07" w14:textId="77777777" w:rsidR="00E11E29" w:rsidRPr="00E11E29" w:rsidRDefault="00E11E29" w:rsidP="00E11E29">
      <w:pPr>
        <w:tabs>
          <w:tab w:val="left" w:pos="851"/>
          <w:tab w:val="left" w:pos="1985"/>
        </w:tabs>
        <w:spacing w:after="0" w:line="360" w:lineRule="auto"/>
        <w:ind w:left="1701"/>
        <w:jc w:val="both"/>
        <w:rPr>
          <w:rFonts w:ascii="Arial" w:hAnsi="Arial" w:cs="Arial"/>
          <w:sz w:val="20"/>
          <w:szCs w:val="20"/>
        </w:rPr>
      </w:pPr>
    </w:p>
    <w:p w14:paraId="417EC2CA" w14:textId="04B64DCA" w:rsidR="00066E63" w:rsidRDefault="00F36D2D"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8644BF">
        <w:rPr>
          <w:rFonts w:ascii="Arial" w:hAnsi="Arial" w:cs="Arial"/>
          <w:sz w:val="24"/>
          <w:szCs w:val="24"/>
        </w:rPr>
        <w:t>Dessa forma, foi a partir dessas pecu</w:t>
      </w:r>
      <w:r w:rsidR="00760C1E">
        <w:rPr>
          <w:rFonts w:ascii="Arial" w:hAnsi="Arial" w:cs="Arial"/>
          <w:sz w:val="24"/>
          <w:szCs w:val="24"/>
        </w:rPr>
        <w:t>liaridades do modelo brasileiro</w:t>
      </w:r>
      <w:r w:rsidR="008644BF">
        <w:rPr>
          <w:rFonts w:ascii="Arial" w:hAnsi="Arial" w:cs="Arial"/>
          <w:sz w:val="24"/>
          <w:szCs w:val="24"/>
        </w:rPr>
        <w:t xml:space="preserve"> que começaram a surgir os primeiros </w:t>
      </w:r>
      <w:r w:rsidR="00D47C60">
        <w:rPr>
          <w:rFonts w:ascii="Arial" w:hAnsi="Arial" w:cs="Arial"/>
          <w:sz w:val="24"/>
          <w:szCs w:val="24"/>
        </w:rPr>
        <w:t xml:space="preserve">questionamentos quanto à criação de mecanismos de limitação do cabimento do recurso extraordinário. Desde então já se falava na </w:t>
      </w:r>
      <w:r w:rsidR="00D47C60" w:rsidRPr="00D47C60">
        <w:rPr>
          <w:rFonts w:ascii="Arial" w:hAnsi="Arial" w:cs="Arial"/>
          <w:i/>
          <w:sz w:val="24"/>
          <w:szCs w:val="24"/>
        </w:rPr>
        <w:t>crise do recurso extraordinário</w:t>
      </w:r>
      <w:r w:rsidR="00D47C60">
        <w:rPr>
          <w:rFonts w:ascii="Arial" w:hAnsi="Arial" w:cs="Arial"/>
          <w:sz w:val="24"/>
          <w:szCs w:val="24"/>
        </w:rPr>
        <w:t>, em razão do gra</w:t>
      </w:r>
      <w:r w:rsidR="00EA2E32">
        <w:rPr>
          <w:rFonts w:ascii="Arial" w:hAnsi="Arial" w:cs="Arial"/>
          <w:sz w:val="24"/>
          <w:szCs w:val="24"/>
        </w:rPr>
        <w:t xml:space="preserve">nde volume de processos </w:t>
      </w:r>
      <w:r w:rsidR="00D47C60">
        <w:rPr>
          <w:rFonts w:ascii="Arial" w:hAnsi="Arial" w:cs="Arial"/>
          <w:sz w:val="24"/>
          <w:szCs w:val="24"/>
        </w:rPr>
        <w:t xml:space="preserve">submetidos à apreciação </w:t>
      </w:r>
      <w:r w:rsidR="00066E63">
        <w:rPr>
          <w:rFonts w:ascii="Arial" w:hAnsi="Arial" w:cs="Arial"/>
          <w:sz w:val="24"/>
          <w:szCs w:val="24"/>
        </w:rPr>
        <w:t xml:space="preserve">do STF, problema que ainda hoje se constata. No </w:t>
      </w:r>
      <w:hyperlink r:id="rId10" w:history="1">
        <w:r w:rsidR="00066E63" w:rsidRPr="004B0E54">
          <w:rPr>
            <w:rStyle w:val="Hyperlink"/>
            <w:rFonts w:ascii="Arial" w:hAnsi="Arial" w:cs="Arial"/>
            <w:sz w:val="24"/>
            <w:szCs w:val="24"/>
          </w:rPr>
          <w:t>sítio eletrônico do STF</w:t>
        </w:r>
      </w:hyperlink>
      <w:r w:rsidR="00FA4901">
        <w:rPr>
          <w:rStyle w:val="Hyperlink"/>
          <w:rFonts w:ascii="Arial" w:hAnsi="Arial" w:cs="Arial"/>
          <w:sz w:val="24"/>
          <w:szCs w:val="24"/>
        </w:rPr>
        <w:t>,</w:t>
      </w:r>
      <w:r w:rsidR="00A55A13">
        <w:rPr>
          <w:rStyle w:val="Refdenotaderodap"/>
          <w:rFonts w:ascii="Arial" w:hAnsi="Arial" w:cs="Arial"/>
          <w:sz w:val="24"/>
          <w:szCs w:val="24"/>
        </w:rPr>
        <w:footnoteReference w:id="2"/>
      </w:r>
      <w:r w:rsidR="00066E63">
        <w:rPr>
          <w:rFonts w:ascii="Arial" w:hAnsi="Arial" w:cs="Arial"/>
          <w:sz w:val="24"/>
          <w:szCs w:val="24"/>
        </w:rPr>
        <w:t xml:space="preserve"> é possível identificar o número de processos distribuídos, filtrando entre as classes </w:t>
      </w:r>
      <w:r w:rsidR="00A24477">
        <w:rPr>
          <w:rFonts w:ascii="Arial" w:hAnsi="Arial" w:cs="Arial"/>
          <w:sz w:val="24"/>
          <w:szCs w:val="24"/>
        </w:rPr>
        <w:t>de agravo de instrumento (AI), recurso e</w:t>
      </w:r>
      <w:r w:rsidR="005C5D5F">
        <w:rPr>
          <w:rFonts w:ascii="Arial" w:hAnsi="Arial" w:cs="Arial"/>
          <w:sz w:val="24"/>
          <w:szCs w:val="24"/>
        </w:rPr>
        <w:t>xtraordinário (RE) e recurso extraordinário com a</w:t>
      </w:r>
      <w:r w:rsidR="00066E63">
        <w:rPr>
          <w:rFonts w:ascii="Arial" w:hAnsi="Arial" w:cs="Arial"/>
          <w:sz w:val="24"/>
          <w:szCs w:val="24"/>
        </w:rPr>
        <w:t>gravo (ARE)</w:t>
      </w:r>
      <w:r w:rsidR="001A48A8">
        <w:rPr>
          <w:rStyle w:val="Refdenotaderodap"/>
          <w:rFonts w:ascii="Arial" w:hAnsi="Arial" w:cs="Arial"/>
          <w:sz w:val="24"/>
          <w:szCs w:val="24"/>
        </w:rPr>
        <w:footnoteReference w:id="3"/>
      </w:r>
      <w:r w:rsidR="00066E63">
        <w:rPr>
          <w:rFonts w:ascii="Arial" w:hAnsi="Arial" w:cs="Arial"/>
          <w:sz w:val="24"/>
          <w:szCs w:val="24"/>
        </w:rPr>
        <w:t xml:space="preserve"> – todas relacionadas ao recurso extraordinário – desde 1994 até 2014, evidenciando que tais processos correspondem à grande maioria </w:t>
      </w:r>
      <w:r w:rsidR="00A55A13">
        <w:rPr>
          <w:rFonts w:ascii="Arial" w:hAnsi="Arial" w:cs="Arial"/>
          <w:sz w:val="24"/>
          <w:szCs w:val="24"/>
        </w:rPr>
        <w:t>dos feitos distribuídos ao STF:</w:t>
      </w:r>
    </w:p>
    <w:p w14:paraId="370392C7" w14:textId="77777777" w:rsidR="00602232" w:rsidRDefault="00602232" w:rsidP="00806227">
      <w:pPr>
        <w:tabs>
          <w:tab w:val="left" w:pos="851"/>
          <w:tab w:val="left" w:pos="8364"/>
          <w:tab w:val="left" w:pos="8789"/>
        </w:tabs>
        <w:spacing w:before="120" w:after="120" w:line="360" w:lineRule="auto"/>
        <w:jc w:val="both"/>
        <w:rPr>
          <w:rFonts w:ascii="Arial" w:hAnsi="Arial" w:cs="Arial"/>
          <w:sz w:val="24"/>
          <w:szCs w:val="24"/>
        </w:rPr>
      </w:pPr>
    </w:p>
    <w:p w14:paraId="1F22BC81" w14:textId="77777777" w:rsidR="00A55A13" w:rsidRPr="006B10CA" w:rsidRDefault="00A55A13" w:rsidP="00806227">
      <w:pPr>
        <w:tabs>
          <w:tab w:val="left" w:pos="851"/>
          <w:tab w:val="left" w:pos="8364"/>
          <w:tab w:val="left" w:pos="8789"/>
        </w:tabs>
        <w:spacing w:before="120" w:after="120" w:line="360" w:lineRule="auto"/>
        <w:jc w:val="both"/>
        <w:rPr>
          <w:rFonts w:ascii="Arial" w:hAnsi="Arial" w:cs="Arial"/>
          <w:sz w:val="16"/>
          <w:szCs w:val="16"/>
        </w:rPr>
      </w:pPr>
    </w:p>
    <w:tbl>
      <w:tblPr>
        <w:tblW w:w="8900" w:type="dxa"/>
        <w:jc w:val="center"/>
        <w:tblCellMar>
          <w:left w:w="70" w:type="dxa"/>
          <w:right w:w="70" w:type="dxa"/>
        </w:tblCellMar>
        <w:tblLook w:val="04A0" w:firstRow="1" w:lastRow="0" w:firstColumn="1" w:lastColumn="0" w:noHBand="0" w:noVBand="1"/>
      </w:tblPr>
      <w:tblGrid>
        <w:gridCol w:w="960"/>
        <w:gridCol w:w="1120"/>
        <w:gridCol w:w="1120"/>
        <w:gridCol w:w="1120"/>
        <w:gridCol w:w="1120"/>
        <w:gridCol w:w="1860"/>
        <w:gridCol w:w="1600"/>
      </w:tblGrid>
      <w:tr w:rsidR="00066E63" w:rsidRPr="00066E63" w14:paraId="53364CB2" w14:textId="77777777" w:rsidTr="00066E63">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3366FF"/>
            <w:noWrap/>
            <w:vAlign w:val="center"/>
            <w:hideMark/>
          </w:tcPr>
          <w:p w14:paraId="12A65D09"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Ano</w:t>
            </w:r>
          </w:p>
        </w:tc>
        <w:tc>
          <w:tcPr>
            <w:tcW w:w="1120" w:type="dxa"/>
            <w:tcBorders>
              <w:top w:val="single" w:sz="4" w:space="0" w:color="auto"/>
              <w:left w:val="nil"/>
              <w:bottom w:val="single" w:sz="4" w:space="0" w:color="auto"/>
              <w:right w:val="single" w:sz="4" w:space="0" w:color="auto"/>
            </w:tcBorders>
            <w:shd w:val="clear" w:color="000000" w:fill="3366FF"/>
            <w:noWrap/>
            <w:vAlign w:val="center"/>
            <w:hideMark/>
          </w:tcPr>
          <w:p w14:paraId="134BD047"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Processos</w:t>
            </w:r>
          </w:p>
        </w:tc>
        <w:tc>
          <w:tcPr>
            <w:tcW w:w="1120" w:type="dxa"/>
            <w:tcBorders>
              <w:top w:val="single" w:sz="4" w:space="0" w:color="auto"/>
              <w:left w:val="nil"/>
              <w:bottom w:val="single" w:sz="4" w:space="0" w:color="auto"/>
              <w:right w:val="single" w:sz="4" w:space="0" w:color="auto"/>
            </w:tcBorders>
            <w:shd w:val="clear" w:color="000000" w:fill="3366FF"/>
            <w:noWrap/>
            <w:vAlign w:val="center"/>
            <w:hideMark/>
          </w:tcPr>
          <w:p w14:paraId="5E81FB7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AI</w:t>
            </w:r>
          </w:p>
        </w:tc>
        <w:tc>
          <w:tcPr>
            <w:tcW w:w="1120" w:type="dxa"/>
            <w:tcBorders>
              <w:top w:val="single" w:sz="4" w:space="0" w:color="auto"/>
              <w:left w:val="nil"/>
              <w:bottom w:val="single" w:sz="4" w:space="0" w:color="auto"/>
              <w:right w:val="single" w:sz="4" w:space="0" w:color="auto"/>
            </w:tcBorders>
            <w:shd w:val="clear" w:color="000000" w:fill="3366FF"/>
            <w:noWrap/>
            <w:vAlign w:val="center"/>
            <w:hideMark/>
          </w:tcPr>
          <w:p w14:paraId="3B9A30D2"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RE</w:t>
            </w:r>
          </w:p>
        </w:tc>
        <w:tc>
          <w:tcPr>
            <w:tcW w:w="1120" w:type="dxa"/>
            <w:tcBorders>
              <w:top w:val="single" w:sz="4" w:space="0" w:color="auto"/>
              <w:left w:val="nil"/>
              <w:bottom w:val="single" w:sz="4" w:space="0" w:color="auto"/>
              <w:right w:val="single" w:sz="4" w:space="0" w:color="auto"/>
            </w:tcBorders>
            <w:shd w:val="clear" w:color="000000" w:fill="3366FF"/>
            <w:noWrap/>
            <w:vAlign w:val="center"/>
            <w:hideMark/>
          </w:tcPr>
          <w:p w14:paraId="254FC188"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ARE</w:t>
            </w:r>
          </w:p>
        </w:tc>
        <w:tc>
          <w:tcPr>
            <w:tcW w:w="1860" w:type="dxa"/>
            <w:tcBorders>
              <w:top w:val="single" w:sz="4" w:space="0" w:color="auto"/>
              <w:left w:val="nil"/>
              <w:bottom w:val="single" w:sz="4" w:space="0" w:color="auto"/>
              <w:right w:val="single" w:sz="4" w:space="0" w:color="auto"/>
            </w:tcBorders>
            <w:shd w:val="clear" w:color="000000" w:fill="3366FF"/>
            <w:noWrap/>
            <w:vAlign w:val="center"/>
            <w:hideMark/>
          </w:tcPr>
          <w:p w14:paraId="7FC03EB1"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%AI+RE+ARE/Total</w:t>
            </w:r>
          </w:p>
        </w:tc>
        <w:tc>
          <w:tcPr>
            <w:tcW w:w="1600" w:type="dxa"/>
            <w:tcBorders>
              <w:top w:val="single" w:sz="4" w:space="0" w:color="auto"/>
              <w:left w:val="nil"/>
              <w:bottom w:val="single" w:sz="4" w:space="0" w:color="auto"/>
              <w:right w:val="single" w:sz="4" w:space="0" w:color="auto"/>
            </w:tcBorders>
            <w:shd w:val="clear" w:color="000000" w:fill="3366FF"/>
            <w:noWrap/>
            <w:vAlign w:val="center"/>
            <w:hideMark/>
          </w:tcPr>
          <w:p w14:paraId="0D3206AA"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 Outras Classes</w:t>
            </w:r>
          </w:p>
        </w:tc>
      </w:tr>
      <w:tr w:rsidR="00066E63" w:rsidRPr="00066E63" w14:paraId="36389F52" w14:textId="77777777" w:rsidTr="00066E63">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29378E" w14:textId="77777777" w:rsidR="00066E63" w:rsidRPr="00066E63" w:rsidRDefault="00066E63" w:rsidP="00066E63">
            <w:pPr>
              <w:spacing w:after="0" w:line="240" w:lineRule="auto"/>
              <w:rPr>
                <w:rFonts w:ascii="Tahoma" w:eastAsia="Times New Roman" w:hAnsi="Tahoma" w:cs="Tahoma"/>
                <w:b/>
                <w:bCs/>
                <w:color w:val="FFFFFF"/>
                <w:sz w:val="16"/>
                <w:szCs w:val="16"/>
                <w:lang w:eastAsia="pt-BR"/>
              </w:rPr>
            </w:pPr>
          </w:p>
        </w:tc>
        <w:tc>
          <w:tcPr>
            <w:tcW w:w="1120" w:type="dxa"/>
            <w:tcBorders>
              <w:top w:val="nil"/>
              <w:left w:val="nil"/>
              <w:bottom w:val="single" w:sz="4" w:space="0" w:color="auto"/>
              <w:right w:val="single" w:sz="4" w:space="0" w:color="auto"/>
            </w:tcBorders>
            <w:shd w:val="clear" w:color="000000" w:fill="3366FF"/>
            <w:noWrap/>
            <w:vAlign w:val="center"/>
            <w:hideMark/>
          </w:tcPr>
          <w:p w14:paraId="79453C31"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Distribuídos</w:t>
            </w:r>
          </w:p>
        </w:tc>
        <w:tc>
          <w:tcPr>
            <w:tcW w:w="1120" w:type="dxa"/>
            <w:tcBorders>
              <w:top w:val="nil"/>
              <w:left w:val="nil"/>
              <w:bottom w:val="single" w:sz="4" w:space="0" w:color="auto"/>
              <w:right w:val="single" w:sz="4" w:space="0" w:color="auto"/>
            </w:tcBorders>
            <w:shd w:val="clear" w:color="000000" w:fill="3366FF"/>
            <w:noWrap/>
            <w:vAlign w:val="center"/>
            <w:hideMark/>
          </w:tcPr>
          <w:p w14:paraId="70231C6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Distribuídos</w:t>
            </w:r>
          </w:p>
        </w:tc>
        <w:tc>
          <w:tcPr>
            <w:tcW w:w="1120" w:type="dxa"/>
            <w:tcBorders>
              <w:top w:val="nil"/>
              <w:left w:val="nil"/>
              <w:bottom w:val="single" w:sz="4" w:space="0" w:color="auto"/>
              <w:right w:val="single" w:sz="4" w:space="0" w:color="auto"/>
            </w:tcBorders>
            <w:shd w:val="clear" w:color="000000" w:fill="3366FF"/>
            <w:noWrap/>
            <w:vAlign w:val="center"/>
            <w:hideMark/>
          </w:tcPr>
          <w:p w14:paraId="0E06B940"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Distribuídos</w:t>
            </w:r>
          </w:p>
        </w:tc>
        <w:tc>
          <w:tcPr>
            <w:tcW w:w="1120" w:type="dxa"/>
            <w:tcBorders>
              <w:top w:val="nil"/>
              <w:left w:val="nil"/>
              <w:bottom w:val="single" w:sz="4" w:space="0" w:color="auto"/>
              <w:right w:val="single" w:sz="4" w:space="0" w:color="auto"/>
            </w:tcBorders>
            <w:shd w:val="clear" w:color="000000" w:fill="3366FF"/>
            <w:noWrap/>
            <w:vAlign w:val="center"/>
            <w:hideMark/>
          </w:tcPr>
          <w:p w14:paraId="32FD8785"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Distribuídos</w:t>
            </w:r>
          </w:p>
        </w:tc>
        <w:tc>
          <w:tcPr>
            <w:tcW w:w="1860" w:type="dxa"/>
            <w:tcBorders>
              <w:top w:val="nil"/>
              <w:left w:val="nil"/>
              <w:bottom w:val="single" w:sz="4" w:space="0" w:color="auto"/>
              <w:right w:val="single" w:sz="4" w:space="0" w:color="auto"/>
            </w:tcBorders>
            <w:shd w:val="clear" w:color="000000" w:fill="3366FF"/>
            <w:noWrap/>
            <w:vAlign w:val="center"/>
            <w:hideMark/>
          </w:tcPr>
          <w:p w14:paraId="4344C6CB"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Distribuídos</w:t>
            </w:r>
          </w:p>
        </w:tc>
        <w:tc>
          <w:tcPr>
            <w:tcW w:w="1600" w:type="dxa"/>
            <w:tcBorders>
              <w:top w:val="nil"/>
              <w:left w:val="nil"/>
              <w:bottom w:val="single" w:sz="4" w:space="0" w:color="auto"/>
              <w:right w:val="single" w:sz="4" w:space="0" w:color="auto"/>
            </w:tcBorders>
            <w:shd w:val="clear" w:color="000000" w:fill="3366FF"/>
            <w:noWrap/>
            <w:vAlign w:val="center"/>
            <w:hideMark/>
          </w:tcPr>
          <w:p w14:paraId="408B2C8B"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Distribuídas</w:t>
            </w:r>
          </w:p>
        </w:tc>
      </w:tr>
      <w:tr w:rsidR="00066E63" w:rsidRPr="00066E63" w14:paraId="7BF4803A"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3544E9ED"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2014</w:t>
            </w:r>
          </w:p>
        </w:tc>
        <w:tc>
          <w:tcPr>
            <w:tcW w:w="1120" w:type="dxa"/>
            <w:tcBorders>
              <w:top w:val="nil"/>
              <w:left w:val="nil"/>
              <w:bottom w:val="single" w:sz="4" w:space="0" w:color="auto"/>
              <w:right w:val="single" w:sz="4" w:space="0" w:color="auto"/>
            </w:tcBorders>
            <w:shd w:val="clear" w:color="auto" w:fill="auto"/>
            <w:noWrap/>
            <w:vAlign w:val="center"/>
            <w:hideMark/>
          </w:tcPr>
          <w:p w14:paraId="2FCEFA7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57.799</w:t>
            </w:r>
          </w:p>
        </w:tc>
        <w:tc>
          <w:tcPr>
            <w:tcW w:w="1120" w:type="dxa"/>
            <w:tcBorders>
              <w:top w:val="nil"/>
              <w:left w:val="nil"/>
              <w:bottom w:val="single" w:sz="4" w:space="0" w:color="auto"/>
              <w:right w:val="single" w:sz="4" w:space="0" w:color="auto"/>
            </w:tcBorders>
            <w:shd w:val="clear" w:color="auto" w:fill="auto"/>
            <w:noWrap/>
            <w:vAlign w:val="center"/>
            <w:hideMark/>
          </w:tcPr>
          <w:p w14:paraId="326BB17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850</w:t>
            </w:r>
          </w:p>
        </w:tc>
        <w:tc>
          <w:tcPr>
            <w:tcW w:w="1120" w:type="dxa"/>
            <w:tcBorders>
              <w:top w:val="nil"/>
              <w:left w:val="nil"/>
              <w:bottom w:val="single" w:sz="4" w:space="0" w:color="auto"/>
              <w:right w:val="single" w:sz="4" w:space="0" w:color="auto"/>
            </w:tcBorders>
            <w:shd w:val="clear" w:color="auto" w:fill="auto"/>
            <w:noWrap/>
            <w:vAlign w:val="center"/>
            <w:hideMark/>
          </w:tcPr>
          <w:p w14:paraId="68844DA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9.671</w:t>
            </w:r>
          </w:p>
        </w:tc>
        <w:tc>
          <w:tcPr>
            <w:tcW w:w="1120" w:type="dxa"/>
            <w:tcBorders>
              <w:top w:val="nil"/>
              <w:left w:val="nil"/>
              <w:bottom w:val="single" w:sz="4" w:space="0" w:color="auto"/>
              <w:right w:val="single" w:sz="4" w:space="0" w:color="auto"/>
            </w:tcBorders>
            <w:shd w:val="clear" w:color="auto" w:fill="auto"/>
            <w:noWrap/>
            <w:vAlign w:val="center"/>
            <w:hideMark/>
          </w:tcPr>
          <w:p w14:paraId="36A4636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38.442</w:t>
            </w:r>
          </w:p>
        </w:tc>
        <w:tc>
          <w:tcPr>
            <w:tcW w:w="1860" w:type="dxa"/>
            <w:tcBorders>
              <w:top w:val="nil"/>
              <w:left w:val="nil"/>
              <w:bottom w:val="single" w:sz="4" w:space="0" w:color="auto"/>
              <w:right w:val="single" w:sz="4" w:space="0" w:color="auto"/>
            </w:tcBorders>
            <w:shd w:val="clear" w:color="auto" w:fill="auto"/>
            <w:noWrap/>
            <w:vAlign w:val="center"/>
            <w:hideMark/>
          </w:tcPr>
          <w:p w14:paraId="5B8533F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84,71%</w:t>
            </w:r>
          </w:p>
        </w:tc>
        <w:tc>
          <w:tcPr>
            <w:tcW w:w="1600" w:type="dxa"/>
            <w:tcBorders>
              <w:top w:val="nil"/>
              <w:left w:val="nil"/>
              <w:bottom w:val="single" w:sz="4" w:space="0" w:color="auto"/>
              <w:right w:val="single" w:sz="4" w:space="0" w:color="auto"/>
            </w:tcBorders>
            <w:shd w:val="clear" w:color="auto" w:fill="auto"/>
            <w:noWrap/>
            <w:vAlign w:val="center"/>
            <w:hideMark/>
          </w:tcPr>
          <w:p w14:paraId="202664C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15,29%</w:t>
            </w:r>
          </w:p>
        </w:tc>
      </w:tr>
      <w:tr w:rsidR="00066E63" w:rsidRPr="00066E63" w14:paraId="1BBCFB37"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6DE826C8"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2013</w:t>
            </w:r>
          </w:p>
        </w:tc>
        <w:tc>
          <w:tcPr>
            <w:tcW w:w="1120" w:type="dxa"/>
            <w:tcBorders>
              <w:top w:val="nil"/>
              <w:left w:val="nil"/>
              <w:bottom w:val="single" w:sz="4" w:space="0" w:color="auto"/>
              <w:right w:val="single" w:sz="4" w:space="0" w:color="auto"/>
            </w:tcBorders>
            <w:shd w:val="clear" w:color="auto" w:fill="auto"/>
            <w:noWrap/>
            <w:vAlign w:val="center"/>
            <w:hideMark/>
          </w:tcPr>
          <w:p w14:paraId="7E24AE4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27.528</w:t>
            </w:r>
          </w:p>
        </w:tc>
        <w:tc>
          <w:tcPr>
            <w:tcW w:w="1120" w:type="dxa"/>
            <w:tcBorders>
              <w:top w:val="nil"/>
              <w:left w:val="nil"/>
              <w:bottom w:val="single" w:sz="4" w:space="0" w:color="auto"/>
              <w:right w:val="single" w:sz="4" w:space="0" w:color="auto"/>
            </w:tcBorders>
            <w:shd w:val="clear" w:color="auto" w:fill="auto"/>
            <w:noWrap/>
            <w:vAlign w:val="center"/>
            <w:hideMark/>
          </w:tcPr>
          <w:p w14:paraId="603EE21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1.034</w:t>
            </w:r>
          </w:p>
        </w:tc>
        <w:tc>
          <w:tcPr>
            <w:tcW w:w="1120" w:type="dxa"/>
            <w:tcBorders>
              <w:top w:val="nil"/>
              <w:left w:val="nil"/>
              <w:bottom w:val="single" w:sz="4" w:space="0" w:color="auto"/>
              <w:right w:val="single" w:sz="4" w:space="0" w:color="auto"/>
            </w:tcBorders>
            <w:shd w:val="clear" w:color="auto" w:fill="auto"/>
            <w:noWrap/>
            <w:vAlign w:val="center"/>
            <w:hideMark/>
          </w:tcPr>
          <w:p w14:paraId="67744F6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3.805</w:t>
            </w:r>
          </w:p>
        </w:tc>
        <w:tc>
          <w:tcPr>
            <w:tcW w:w="1120" w:type="dxa"/>
            <w:tcBorders>
              <w:top w:val="nil"/>
              <w:left w:val="nil"/>
              <w:bottom w:val="single" w:sz="4" w:space="0" w:color="auto"/>
              <w:right w:val="single" w:sz="4" w:space="0" w:color="auto"/>
            </w:tcBorders>
            <w:shd w:val="clear" w:color="auto" w:fill="auto"/>
            <w:noWrap/>
            <w:vAlign w:val="center"/>
            <w:hideMark/>
          </w:tcPr>
          <w:p w14:paraId="7417852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17.057</w:t>
            </w:r>
          </w:p>
        </w:tc>
        <w:tc>
          <w:tcPr>
            <w:tcW w:w="1860" w:type="dxa"/>
            <w:tcBorders>
              <w:top w:val="nil"/>
              <w:left w:val="nil"/>
              <w:bottom w:val="single" w:sz="4" w:space="0" w:color="auto"/>
              <w:right w:val="single" w:sz="4" w:space="0" w:color="auto"/>
            </w:tcBorders>
            <w:shd w:val="clear" w:color="auto" w:fill="auto"/>
            <w:noWrap/>
            <w:vAlign w:val="center"/>
            <w:hideMark/>
          </w:tcPr>
          <w:p w14:paraId="455BF55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79,54%</w:t>
            </w:r>
          </w:p>
        </w:tc>
        <w:tc>
          <w:tcPr>
            <w:tcW w:w="1600" w:type="dxa"/>
            <w:tcBorders>
              <w:top w:val="nil"/>
              <w:left w:val="nil"/>
              <w:bottom w:val="single" w:sz="4" w:space="0" w:color="auto"/>
              <w:right w:val="single" w:sz="4" w:space="0" w:color="auto"/>
            </w:tcBorders>
            <w:shd w:val="clear" w:color="auto" w:fill="auto"/>
            <w:noWrap/>
            <w:vAlign w:val="center"/>
            <w:hideMark/>
          </w:tcPr>
          <w:p w14:paraId="73E10D0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20,46%</w:t>
            </w:r>
          </w:p>
        </w:tc>
      </w:tr>
      <w:tr w:rsidR="00066E63" w:rsidRPr="00066E63" w14:paraId="22C5F217"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3BFE3FA0"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2012</w:t>
            </w:r>
          </w:p>
        </w:tc>
        <w:tc>
          <w:tcPr>
            <w:tcW w:w="1120" w:type="dxa"/>
            <w:tcBorders>
              <w:top w:val="nil"/>
              <w:left w:val="nil"/>
              <w:bottom w:val="single" w:sz="4" w:space="0" w:color="auto"/>
              <w:right w:val="single" w:sz="4" w:space="0" w:color="auto"/>
            </w:tcBorders>
            <w:shd w:val="clear" w:color="auto" w:fill="auto"/>
            <w:noWrap/>
            <w:vAlign w:val="center"/>
            <w:hideMark/>
          </w:tcPr>
          <w:p w14:paraId="23DBC46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46.392</w:t>
            </w:r>
          </w:p>
        </w:tc>
        <w:tc>
          <w:tcPr>
            <w:tcW w:w="1120" w:type="dxa"/>
            <w:tcBorders>
              <w:top w:val="nil"/>
              <w:left w:val="nil"/>
              <w:bottom w:val="single" w:sz="4" w:space="0" w:color="auto"/>
              <w:right w:val="single" w:sz="4" w:space="0" w:color="auto"/>
            </w:tcBorders>
            <w:shd w:val="clear" w:color="auto" w:fill="auto"/>
            <w:noWrap/>
            <w:vAlign w:val="center"/>
            <w:hideMark/>
          </w:tcPr>
          <w:p w14:paraId="41097C4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6.198</w:t>
            </w:r>
          </w:p>
        </w:tc>
        <w:tc>
          <w:tcPr>
            <w:tcW w:w="1120" w:type="dxa"/>
            <w:tcBorders>
              <w:top w:val="nil"/>
              <w:left w:val="nil"/>
              <w:bottom w:val="single" w:sz="4" w:space="0" w:color="auto"/>
              <w:right w:val="single" w:sz="4" w:space="0" w:color="auto"/>
            </w:tcBorders>
            <w:shd w:val="clear" w:color="auto" w:fill="auto"/>
            <w:noWrap/>
            <w:vAlign w:val="center"/>
            <w:hideMark/>
          </w:tcPr>
          <w:p w14:paraId="23F09A3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6.042</w:t>
            </w:r>
          </w:p>
        </w:tc>
        <w:tc>
          <w:tcPr>
            <w:tcW w:w="1120" w:type="dxa"/>
            <w:tcBorders>
              <w:top w:val="nil"/>
              <w:left w:val="nil"/>
              <w:bottom w:val="single" w:sz="4" w:space="0" w:color="auto"/>
              <w:right w:val="single" w:sz="4" w:space="0" w:color="auto"/>
            </w:tcBorders>
            <w:shd w:val="clear" w:color="auto" w:fill="auto"/>
            <w:noWrap/>
            <w:vAlign w:val="center"/>
            <w:hideMark/>
          </w:tcPr>
          <w:p w14:paraId="6059DAB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25.835</w:t>
            </w:r>
          </w:p>
        </w:tc>
        <w:tc>
          <w:tcPr>
            <w:tcW w:w="1860" w:type="dxa"/>
            <w:tcBorders>
              <w:top w:val="nil"/>
              <w:left w:val="nil"/>
              <w:bottom w:val="single" w:sz="4" w:space="0" w:color="auto"/>
              <w:right w:val="single" w:sz="4" w:space="0" w:color="auto"/>
            </w:tcBorders>
            <w:shd w:val="clear" w:color="auto" w:fill="auto"/>
            <w:noWrap/>
            <w:vAlign w:val="center"/>
            <w:hideMark/>
          </w:tcPr>
          <w:p w14:paraId="7228A66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82,07%</w:t>
            </w:r>
          </w:p>
        </w:tc>
        <w:tc>
          <w:tcPr>
            <w:tcW w:w="1600" w:type="dxa"/>
            <w:tcBorders>
              <w:top w:val="nil"/>
              <w:left w:val="nil"/>
              <w:bottom w:val="single" w:sz="4" w:space="0" w:color="auto"/>
              <w:right w:val="single" w:sz="4" w:space="0" w:color="auto"/>
            </w:tcBorders>
            <w:shd w:val="clear" w:color="auto" w:fill="auto"/>
            <w:noWrap/>
            <w:vAlign w:val="center"/>
            <w:hideMark/>
          </w:tcPr>
          <w:p w14:paraId="1C8483EE"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17,93%</w:t>
            </w:r>
          </w:p>
        </w:tc>
      </w:tr>
      <w:tr w:rsidR="00066E63" w:rsidRPr="00066E63" w14:paraId="6CDA330B"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1EE531C7"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2011</w:t>
            </w:r>
          </w:p>
        </w:tc>
        <w:tc>
          <w:tcPr>
            <w:tcW w:w="1120" w:type="dxa"/>
            <w:tcBorders>
              <w:top w:val="nil"/>
              <w:left w:val="nil"/>
              <w:bottom w:val="single" w:sz="4" w:space="0" w:color="auto"/>
              <w:right w:val="single" w:sz="4" w:space="0" w:color="auto"/>
            </w:tcBorders>
            <w:shd w:val="clear" w:color="auto" w:fill="auto"/>
            <w:noWrap/>
            <w:vAlign w:val="center"/>
            <w:hideMark/>
          </w:tcPr>
          <w:p w14:paraId="59B3557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38.109</w:t>
            </w:r>
          </w:p>
        </w:tc>
        <w:tc>
          <w:tcPr>
            <w:tcW w:w="1120" w:type="dxa"/>
            <w:tcBorders>
              <w:top w:val="nil"/>
              <w:left w:val="nil"/>
              <w:bottom w:val="single" w:sz="4" w:space="0" w:color="auto"/>
              <w:right w:val="single" w:sz="4" w:space="0" w:color="auto"/>
            </w:tcBorders>
            <w:shd w:val="clear" w:color="auto" w:fill="auto"/>
            <w:noWrap/>
            <w:vAlign w:val="center"/>
            <w:hideMark/>
          </w:tcPr>
          <w:p w14:paraId="4FE29C9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14.530</w:t>
            </w:r>
          </w:p>
        </w:tc>
        <w:tc>
          <w:tcPr>
            <w:tcW w:w="1120" w:type="dxa"/>
            <w:tcBorders>
              <w:top w:val="nil"/>
              <w:left w:val="nil"/>
              <w:bottom w:val="single" w:sz="4" w:space="0" w:color="auto"/>
              <w:right w:val="single" w:sz="4" w:space="0" w:color="auto"/>
            </w:tcBorders>
            <w:shd w:val="clear" w:color="auto" w:fill="auto"/>
            <w:noWrap/>
            <w:vAlign w:val="center"/>
            <w:hideMark/>
          </w:tcPr>
          <w:p w14:paraId="439DDE9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6.388</w:t>
            </w:r>
          </w:p>
        </w:tc>
        <w:tc>
          <w:tcPr>
            <w:tcW w:w="1120" w:type="dxa"/>
            <w:tcBorders>
              <w:top w:val="nil"/>
              <w:left w:val="nil"/>
              <w:bottom w:val="single" w:sz="4" w:space="0" w:color="auto"/>
              <w:right w:val="single" w:sz="4" w:space="0" w:color="auto"/>
            </w:tcBorders>
            <w:shd w:val="clear" w:color="auto" w:fill="auto"/>
            <w:noWrap/>
            <w:vAlign w:val="center"/>
            <w:hideMark/>
          </w:tcPr>
          <w:p w14:paraId="1A7208C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8.661</w:t>
            </w:r>
          </w:p>
        </w:tc>
        <w:tc>
          <w:tcPr>
            <w:tcW w:w="1860" w:type="dxa"/>
            <w:tcBorders>
              <w:top w:val="nil"/>
              <w:left w:val="nil"/>
              <w:bottom w:val="single" w:sz="4" w:space="0" w:color="auto"/>
              <w:right w:val="single" w:sz="4" w:space="0" w:color="auto"/>
            </w:tcBorders>
            <w:shd w:val="clear" w:color="auto" w:fill="auto"/>
            <w:noWrap/>
            <w:vAlign w:val="center"/>
            <w:hideMark/>
          </w:tcPr>
          <w:p w14:paraId="23C66DD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77,62%</w:t>
            </w:r>
          </w:p>
        </w:tc>
        <w:tc>
          <w:tcPr>
            <w:tcW w:w="1600" w:type="dxa"/>
            <w:tcBorders>
              <w:top w:val="nil"/>
              <w:left w:val="nil"/>
              <w:bottom w:val="single" w:sz="4" w:space="0" w:color="auto"/>
              <w:right w:val="single" w:sz="4" w:space="0" w:color="auto"/>
            </w:tcBorders>
            <w:shd w:val="clear" w:color="auto" w:fill="auto"/>
            <w:noWrap/>
            <w:vAlign w:val="center"/>
            <w:hideMark/>
          </w:tcPr>
          <w:p w14:paraId="0E6FAA0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22,38%</w:t>
            </w:r>
          </w:p>
        </w:tc>
      </w:tr>
      <w:tr w:rsidR="00066E63" w:rsidRPr="00066E63" w14:paraId="44B9F2DC"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09E513CD"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2010</w:t>
            </w:r>
          </w:p>
        </w:tc>
        <w:tc>
          <w:tcPr>
            <w:tcW w:w="1120" w:type="dxa"/>
            <w:tcBorders>
              <w:top w:val="nil"/>
              <w:left w:val="nil"/>
              <w:bottom w:val="single" w:sz="4" w:space="0" w:color="auto"/>
              <w:right w:val="single" w:sz="4" w:space="0" w:color="auto"/>
            </w:tcBorders>
            <w:shd w:val="clear" w:color="auto" w:fill="auto"/>
            <w:noWrap/>
            <w:vAlign w:val="center"/>
            <w:hideMark/>
          </w:tcPr>
          <w:p w14:paraId="34355B0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41.014</w:t>
            </w:r>
          </w:p>
        </w:tc>
        <w:tc>
          <w:tcPr>
            <w:tcW w:w="1120" w:type="dxa"/>
            <w:tcBorders>
              <w:top w:val="nil"/>
              <w:left w:val="nil"/>
              <w:bottom w:val="single" w:sz="4" w:space="0" w:color="auto"/>
              <w:right w:val="single" w:sz="4" w:space="0" w:color="auto"/>
            </w:tcBorders>
            <w:shd w:val="clear" w:color="auto" w:fill="auto"/>
            <w:noWrap/>
            <w:vAlign w:val="center"/>
            <w:hideMark/>
          </w:tcPr>
          <w:p w14:paraId="7DF277F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24.801</w:t>
            </w:r>
          </w:p>
        </w:tc>
        <w:tc>
          <w:tcPr>
            <w:tcW w:w="1120" w:type="dxa"/>
            <w:tcBorders>
              <w:top w:val="nil"/>
              <w:left w:val="nil"/>
              <w:bottom w:val="single" w:sz="4" w:space="0" w:color="auto"/>
              <w:right w:val="single" w:sz="4" w:space="0" w:color="auto"/>
            </w:tcBorders>
            <w:shd w:val="clear" w:color="auto" w:fill="auto"/>
            <w:noWrap/>
            <w:vAlign w:val="center"/>
            <w:hideMark/>
          </w:tcPr>
          <w:p w14:paraId="59F1C0D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6.735</w:t>
            </w:r>
          </w:p>
        </w:tc>
        <w:tc>
          <w:tcPr>
            <w:tcW w:w="1120" w:type="dxa"/>
            <w:tcBorders>
              <w:top w:val="nil"/>
              <w:left w:val="nil"/>
              <w:bottom w:val="single" w:sz="4" w:space="0" w:color="auto"/>
              <w:right w:val="single" w:sz="4" w:space="0" w:color="auto"/>
            </w:tcBorders>
            <w:shd w:val="clear" w:color="auto" w:fill="auto"/>
            <w:noWrap/>
            <w:vAlign w:val="center"/>
            <w:hideMark/>
          </w:tcPr>
          <w:p w14:paraId="2A80885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1FFA87C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76,89%</w:t>
            </w:r>
          </w:p>
        </w:tc>
        <w:tc>
          <w:tcPr>
            <w:tcW w:w="1600" w:type="dxa"/>
            <w:tcBorders>
              <w:top w:val="nil"/>
              <w:left w:val="nil"/>
              <w:bottom w:val="single" w:sz="4" w:space="0" w:color="auto"/>
              <w:right w:val="single" w:sz="4" w:space="0" w:color="auto"/>
            </w:tcBorders>
            <w:shd w:val="clear" w:color="auto" w:fill="auto"/>
            <w:noWrap/>
            <w:vAlign w:val="center"/>
            <w:hideMark/>
          </w:tcPr>
          <w:p w14:paraId="6938D7C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23,11%</w:t>
            </w:r>
          </w:p>
        </w:tc>
      </w:tr>
      <w:tr w:rsidR="00066E63" w:rsidRPr="00066E63" w14:paraId="7C4DA78E"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2CA6C368"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2009</w:t>
            </w:r>
          </w:p>
        </w:tc>
        <w:tc>
          <w:tcPr>
            <w:tcW w:w="1120" w:type="dxa"/>
            <w:tcBorders>
              <w:top w:val="nil"/>
              <w:left w:val="nil"/>
              <w:bottom w:val="single" w:sz="4" w:space="0" w:color="auto"/>
              <w:right w:val="single" w:sz="4" w:space="0" w:color="auto"/>
            </w:tcBorders>
            <w:shd w:val="clear" w:color="auto" w:fill="auto"/>
            <w:noWrap/>
            <w:vAlign w:val="center"/>
            <w:hideMark/>
          </w:tcPr>
          <w:p w14:paraId="14A32C5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42.729</w:t>
            </w:r>
          </w:p>
        </w:tc>
        <w:tc>
          <w:tcPr>
            <w:tcW w:w="1120" w:type="dxa"/>
            <w:tcBorders>
              <w:top w:val="nil"/>
              <w:left w:val="nil"/>
              <w:bottom w:val="single" w:sz="4" w:space="0" w:color="auto"/>
              <w:right w:val="single" w:sz="4" w:space="0" w:color="auto"/>
            </w:tcBorders>
            <w:shd w:val="clear" w:color="auto" w:fill="auto"/>
            <w:noWrap/>
            <w:vAlign w:val="center"/>
            <w:hideMark/>
          </w:tcPr>
          <w:p w14:paraId="52E820D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24.301</w:t>
            </w:r>
          </w:p>
        </w:tc>
        <w:tc>
          <w:tcPr>
            <w:tcW w:w="1120" w:type="dxa"/>
            <w:tcBorders>
              <w:top w:val="nil"/>
              <w:left w:val="nil"/>
              <w:bottom w:val="single" w:sz="4" w:space="0" w:color="auto"/>
              <w:right w:val="single" w:sz="4" w:space="0" w:color="auto"/>
            </w:tcBorders>
            <w:shd w:val="clear" w:color="auto" w:fill="auto"/>
            <w:noWrap/>
            <w:vAlign w:val="center"/>
            <w:hideMark/>
          </w:tcPr>
          <w:p w14:paraId="2E40331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8.348</w:t>
            </w:r>
          </w:p>
        </w:tc>
        <w:tc>
          <w:tcPr>
            <w:tcW w:w="1120" w:type="dxa"/>
            <w:tcBorders>
              <w:top w:val="nil"/>
              <w:left w:val="nil"/>
              <w:bottom w:val="single" w:sz="4" w:space="0" w:color="auto"/>
              <w:right w:val="single" w:sz="4" w:space="0" w:color="auto"/>
            </w:tcBorders>
            <w:shd w:val="clear" w:color="auto" w:fill="auto"/>
            <w:noWrap/>
            <w:vAlign w:val="center"/>
            <w:hideMark/>
          </w:tcPr>
          <w:p w14:paraId="6FF4DD8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1FE3A4FE"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76,41%</w:t>
            </w:r>
          </w:p>
        </w:tc>
        <w:tc>
          <w:tcPr>
            <w:tcW w:w="1600" w:type="dxa"/>
            <w:tcBorders>
              <w:top w:val="nil"/>
              <w:left w:val="nil"/>
              <w:bottom w:val="single" w:sz="4" w:space="0" w:color="auto"/>
              <w:right w:val="single" w:sz="4" w:space="0" w:color="auto"/>
            </w:tcBorders>
            <w:shd w:val="clear" w:color="auto" w:fill="auto"/>
            <w:noWrap/>
            <w:vAlign w:val="center"/>
            <w:hideMark/>
          </w:tcPr>
          <w:p w14:paraId="7B3D5E0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23,59%</w:t>
            </w:r>
          </w:p>
        </w:tc>
      </w:tr>
      <w:tr w:rsidR="00066E63" w:rsidRPr="00066E63" w14:paraId="71BF5F5C"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4A21F197"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2008</w:t>
            </w:r>
          </w:p>
        </w:tc>
        <w:tc>
          <w:tcPr>
            <w:tcW w:w="1120" w:type="dxa"/>
            <w:tcBorders>
              <w:top w:val="nil"/>
              <w:left w:val="nil"/>
              <w:bottom w:val="single" w:sz="4" w:space="0" w:color="auto"/>
              <w:right w:val="single" w:sz="4" w:space="0" w:color="auto"/>
            </w:tcBorders>
            <w:shd w:val="clear" w:color="auto" w:fill="auto"/>
            <w:noWrap/>
            <w:vAlign w:val="center"/>
            <w:hideMark/>
          </w:tcPr>
          <w:p w14:paraId="133E033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66.873</w:t>
            </w:r>
          </w:p>
        </w:tc>
        <w:tc>
          <w:tcPr>
            <w:tcW w:w="1120" w:type="dxa"/>
            <w:tcBorders>
              <w:top w:val="nil"/>
              <w:left w:val="nil"/>
              <w:bottom w:val="single" w:sz="4" w:space="0" w:color="auto"/>
              <w:right w:val="single" w:sz="4" w:space="0" w:color="auto"/>
            </w:tcBorders>
            <w:shd w:val="clear" w:color="auto" w:fill="auto"/>
            <w:noWrap/>
            <w:vAlign w:val="center"/>
            <w:hideMark/>
          </w:tcPr>
          <w:p w14:paraId="4D0D911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37.783</w:t>
            </w:r>
          </w:p>
        </w:tc>
        <w:tc>
          <w:tcPr>
            <w:tcW w:w="1120" w:type="dxa"/>
            <w:tcBorders>
              <w:top w:val="nil"/>
              <w:left w:val="nil"/>
              <w:bottom w:val="single" w:sz="4" w:space="0" w:color="auto"/>
              <w:right w:val="single" w:sz="4" w:space="0" w:color="auto"/>
            </w:tcBorders>
            <w:shd w:val="clear" w:color="auto" w:fill="auto"/>
            <w:noWrap/>
            <w:vAlign w:val="center"/>
            <w:hideMark/>
          </w:tcPr>
          <w:p w14:paraId="1C84303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21.531</w:t>
            </w:r>
          </w:p>
        </w:tc>
        <w:tc>
          <w:tcPr>
            <w:tcW w:w="1120" w:type="dxa"/>
            <w:tcBorders>
              <w:top w:val="nil"/>
              <w:left w:val="nil"/>
              <w:bottom w:val="single" w:sz="4" w:space="0" w:color="auto"/>
              <w:right w:val="single" w:sz="4" w:space="0" w:color="auto"/>
            </w:tcBorders>
            <w:shd w:val="clear" w:color="auto" w:fill="auto"/>
            <w:noWrap/>
            <w:vAlign w:val="center"/>
            <w:hideMark/>
          </w:tcPr>
          <w:p w14:paraId="1639A5E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3C9EBAE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88,70%</w:t>
            </w:r>
          </w:p>
        </w:tc>
        <w:tc>
          <w:tcPr>
            <w:tcW w:w="1600" w:type="dxa"/>
            <w:tcBorders>
              <w:top w:val="nil"/>
              <w:left w:val="nil"/>
              <w:bottom w:val="single" w:sz="4" w:space="0" w:color="auto"/>
              <w:right w:val="single" w:sz="4" w:space="0" w:color="auto"/>
            </w:tcBorders>
            <w:shd w:val="clear" w:color="auto" w:fill="auto"/>
            <w:noWrap/>
            <w:vAlign w:val="center"/>
            <w:hideMark/>
          </w:tcPr>
          <w:p w14:paraId="30741E6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11,30%</w:t>
            </w:r>
          </w:p>
        </w:tc>
      </w:tr>
      <w:tr w:rsidR="00066E63" w:rsidRPr="00066E63" w14:paraId="4C11774A"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55BA359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2007</w:t>
            </w:r>
          </w:p>
        </w:tc>
        <w:tc>
          <w:tcPr>
            <w:tcW w:w="1120" w:type="dxa"/>
            <w:tcBorders>
              <w:top w:val="nil"/>
              <w:left w:val="nil"/>
              <w:bottom w:val="single" w:sz="4" w:space="0" w:color="auto"/>
              <w:right w:val="single" w:sz="4" w:space="0" w:color="auto"/>
            </w:tcBorders>
            <w:shd w:val="clear" w:color="auto" w:fill="auto"/>
            <w:noWrap/>
            <w:vAlign w:val="center"/>
            <w:hideMark/>
          </w:tcPr>
          <w:p w14:paraId="63A7EF7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112.938</w:t>
            </w:r>
          </w:p>
        </w:tc>
        <w:tc>
          <w:tcPr>
            <w:tcW w:w="1120" w:type="dxa"/>
            <w:tcBorders>
              <w:top w:val="nil"/>
              <w:left w:val="nil"/>
              <w:bottom w:val="single" w:sz="4" w:space="0" w:color="auto"/>
              <w:right w:val="single" w:sz="4" w:space="0" w:color="auto"/>
            </w:tcBorders>
            <w:shd w:val="clear" w:color="auto" w:fill="auto"/>
            <w:noWrap/>
            <w:vAlign w:val="center"/>
            <w:hideMark/>
          </w:tcPr>
          <w:p w14:paraId="3C9BDA1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56.909</w:t>
            </w:r>
          </w:p>
        </w:tc>
        <w:tc>
          <w:tcPr>
            <w:tcW w:w="1120" w:type="dxa"/>
            <w:tcBorders>
              <w:top w:val="nil"/>
              <w:left w:val="nil"/>
              <w:bottom w:val="single" w:sz="4" w:space="0" w:color="auto"/>
              <w:right w:val="single" w:sz="4" w:space="0" w:color="auto"/>
            </w:tcBorders>
            <w:shd w:val="clear" w:color="auto" w:fill="auto"/>
            <w:noWrap/>
            <w:vAlign w:val="center"/>
            <w:hideMark/>
          </w:tcPr>
          <w:p w14:paraId="42098C7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49.708</w:t>
            </w:r>
          </w:p>
        </w:tc>
        <w:tc>
          <w:tcPr>
            <w:tcW w:w="1120" w:type="dxa"/>
            <w:tcBorders>
              <w:top w:val="nil"/>
              <w:left w:val="nil"/>
              <w:bottom w:val="single" w:sz="4" w:space="0" w:color="auto"/>
              <w:right w:val="single" w:sz="4" w:space="0" w:color="auto"/>
            </w:tcBorders>
            <w:shd w:val="clear" w:color="auto" w:fill="auto"/>
            <w:noWrap/>
            <w:vAlign w:val="center"/>
            <w:hideMark/>
          </w:tcPr>
          <w:p w14:paraId="035EF70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6D3828D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94,40%</w:t>
            </w:r>
          </w:p>
        </w:tc>
        <w:tc>
          <w:tcPr>
            <w:tcW w:w="1600" w:type="dxa"/>
            <w:tcBorders>
              <w:top w:val="nil"/>
              <w:left w:val="nil"/>
              <w:bottom w:val="single" w:sz="4" w:space="0" w:color="auto"/>
              <w:right w:val="single" w:sz="4" w:space="0" w:color="auto"/>
            </w:tcBorders>
            <w:shd w:val="clear" w:color="auto" w:fill="auto"/>
            <w:noWrap/>
            <w:vAlign w:val="center"/>
            <w:hideMark/>
          </w:tcPr>
          <w:p w14:paraId="1E84147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5,60%</w:t>
            </w:r>
          </w:p>
        </w:tc>
      </w:tr>
      <w:tr w:rsidR="00066E63" w:rsidRPr="00066E63" w14:paraId="6232E8BB"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551A20DB"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2006</w:t>
            </w:r>
          </w:p>
        </w:tc>
        <w:tc>
          <w:tcPr>
            <w:tcW w:w="1120" w:type="dxa"/>
            <w:tcBorders>
              <w:top w:val="nil"/>
              <w:left w:val="nil"/>
              <w:bottom w:val="single" w:sz="4" w:space="0" w:color="auto"/>
              <w:right w:val="single" w:sz="4" w:space="0" w:color="auto"/>
            </w:tcBorders>
            <w:shd w:val="clear" w:color="auto" w:fill="auto"/>
            <w:noWrap/>
            <w:vAlign w:val="center"/>
            <w:hideMark/>
          </w:tcPr>
          <w:p w14:paraId="666B5CA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116.216</w:t>
            </w:r>
          </w:p>
        </w:tc>
        <w:tc>
          <w:tcPr>
            <w:tcW w:w="1120" w:type="dxa"/>
            <w:tcBorders>
              <w:top w:val="nil"/>
              <w:left w:val="nil"/>
              <w:bottom w:val="single" w:sz="4" w:space="0" w:color="auto"/>
              <w:right w:val="single" w:sz="4" w:space="0" w:color="auto"/>
            </w:tcBorders>
            <w:shd w:val="clear" w:color="auto" w:fill="auto"/>
            <w:noWrap/>
            <w:vAlign w:val="center"/>
            <w:hideMark/>
          </w:tcPr>
          <w:p w14:paraId="3FCD7BF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56.141</w:t>
            </w:r>
          </w:p>
        </w:tc>
        <w:tc>
          <w:tcPr>
            <w:tcW w:w="1120" w:type="dxa"/>
            <w:tcBorders>
              <w:top w:val="nil"/>
              <w:left w:val="nil"/>
              <w:bottom w:val="single" w:sz="4" w:space="0" w:color="auto"/>
              <w:right w:val="single" w:sz="4" w:space="0" w:color="auto"/>
            </w:tcBorders>
            <w:shd w:val="clear" w:color="auto" w:fill="auto"/>
            <w:noWrap/>
            <w:vAlign w:val="center"/>
            <w:hideMark/>
          </w:tcPr>
          <w:p w14:paraId="491A30D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54.575</w:t>
            </w:r>
          </w:p>
        </w:tc>
        <w:tc>
          <w:tcPr>
            <w:tcW w:w="1120" w:type="dxa"/>
            <w:tcBorders>
              <w:top w:val="nil"/>
              <w:left w:val="nil"/>
              <w:bottom w:val="single" w:sz="4" w:space="0" w:color="auto"/>
              <w:right w:val="single" w:sz="4" w:space="0" w:color="auto"/>
            </w:tcBorders>
            <w:shd w:val="clear" w:color="auto" w:fill="auto"/>
            <w:noWrap/>
            <w:vAlign w:val="center"/>
            <w:hideMark/>
          </w:tcPr>
          <w:p w14:paraId="0CCF733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0D8465D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95,27%</w:t>
            </w:r>
          </w:p>
        </w:tc>
        <w:tc>
          <w:tcPr>
            <w:tcW w:w="1600" w:type="dxa"/>
            <w:tcBorders>
              <w:top w:val="nil"/>
              <w:left w:val="nil"/>
              <w:bottom w:val="single" w:sz="4" w:space="0" w:color="auto"/>
              <w:right w:val="single" w:sz="4" w:space="0" w:color="auto"/>
            </w:tcBorders>
            <w:shd w:val="clear" w:color="auto" w:fill="auto"/>
            <w:noWrap/>
            <w:vAlign w:val="center"/>
            <w:hideMark/>
          </w:tcPr>
          <w:p w14:paraId="2B43C6E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4,73%</w:t>
            </w:r>
          </w:p>
        </w:tc>
      </w:tr>
      <w:tr w:rsidR="00066E63" w:rsidRPr="00066E63" w14:paraId="6E5B8A09"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56173316"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2005</w:t>
            </w:r>
          </w:p>
        </w:tc>
        <w:tc>
          <w:tcPr>
            <w:tcW w:w="1120" w:type="dxa"/>
            <w:tcBorders>
              <w:top w:val="nil"/>
              <w:left w:val="nil"/>
              <w:bottom w:val="single" w:sz="4" w:space="0" w:color="auto"/>
              <w:right w:val="single" w:sz="4" w:space="0" w:color="auto"/>
            </w:tcBorders>
            <w:shd w:val="clear" w:color="auto" w:fill="auto"/>
            <w:noWrap/>
            <w:vAlign w:val="center"/>
            <w:hideMark/>
          </w:tcPr>
          <w:p w14:paraId="530FB51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79.577</w:t>
            </w:r>
          </w:p>
        </w:tc>
        <w:tc>
          <w:tcPr>
            <w:tcW w:w="1120" w:type="dxa"/>
            <w:tcBorders>
              <w:top w:val="nil"/>
              <w:left w:val="nil"/>
              <w:bottom w:val="single" w:sz="4" w:space="0" w:color="auto"/>
              <w:right w:val="single" w:sz="4" w:space="0" w:color="auto"/>
            </w:tcBorders>
            <w:shd w:val="clear" w:color="auto" w:fill="auto"/>
            <w:noWrap/>
            <w:vAlign w:val="center"/>
            <w:hideMark/>
          </w:tcPr>
          <w:p w14:paraId="1CA26AD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44.691</w:t>
            </w:r>
          </w:p>
        </w:tc>
        <w:tc>
          <w:tcPr>
            <w:tcW w:w="1120" w:type="dxa"/>
            <w:tcBorders>
              <w:top w:val="nil"/>
              <w:left w:val="nil"/>
              <w:bottom w:val="single" w:sz="4" w:space="0" w:color="auto"/>
              <w:right w:val="single" w:sz="4" w:space="0" w:color="auto"/>
            </w:tcBorders>
            <w:shd w:val="clear" w:color="auto" w:fill="auto"/>
            <w:noWrap/>
            <w:vAlign w:val="center"/>
            <w:hideMark/>
          </w:tcPr>
          <w:p w14:paraId="1DE9011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29.483</w:t>
            </w:r>
          </w:p>
        </w:tc>
        <w:tc>
          <w:tcPr>
            <w:tcW w:w="1120" w:type="dxa"/>
            <w:tcBorders>
              <w:top w:val="nil"/>
              <w:left w:val="nil"/>
              <w:bottom w:val="single" w:sz="4" w:space="0" w:color="auto"/>
              <w:right w:val="single" w:sz="4" w:space="0" w:color="auto"/>
            </w:tcBorders>
            <w:shd w:val="clear" w:color="auto" w:fill="auto"/>
            <w:noWrap/>
            <w:vAlign w:val="center"/>
            <w:hideMark/>
          </w:tcPr>
          <w:p w14:paraId="0EDB7A1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14E6A62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93,21%</w:t>
            </w:r>
          </w:p>
        </w:tc>
        <w:tc>
          <w:tcPr>
            <w:tcW w:w="1600" w:type="dxa"/>
            <w:tcBorders>
              <w:top w:val="nil"/>
              <w:left w:val="nil"/>
              <w:bottom w:val="single" w:sz="4" w:space="0" w:color="auto"/>
              <w:right w:val="single" w:sz="4" w:space="0" w:color="auto"/>
            </w:tcBorders>
            <w:shd w:val="clear" w:color="auto" w:fill="auto"/>
            <w:noWrap/>
            <w:vAlign w:val="center"/>
            <w:hideMark/>
          </w:tcPr>
          <w:p w14:paraId="6F8221E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6,79%</w:t>
            </w:r>
          </w:p>
        </w:tc>
      </w:tr>
      <w:tr w:rsidR="00066E63" w:rsidRPr="00066E63" w14:paraId="62B83E17"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48CB637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2004</w:t>
            </w:r>
          </w:p>
        </w:tc>
        <w:tc>
          <w:tcPr>
            <w:tcW w:w="1120" w:type="dxa"/>
            <w:tcBorders>
              <w:top w:val="nil"/>
              <w:left w:val="nil"/>
              <w:bottom w:val="single" w:sz="4" w:space="0" w:color="auto"/>
              <w:right w:val="single" w:sz="4" w:space="0" w:color="auto"/>
            </w:tcBorders>
            <w:shd w:val="clear" w:color="auto" w:fill="auto"/>
            <w:noWrap/>
            <w:vAlign w:val="center"/>
            <w:hideMark/>
          </w:tcPr>
          <w:p w14:paraId="3DB4CC1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69.171</w:t>
            </w:r>
          </w:p>
        </w:tc>
        <w:tc>
          <w:tcPr>
            <w:tcW w:w="1120" w:type="dxa"/>
            <w:tcBorders>
              <w:top w:val="nil"/>
              <w:left w:val="nil"/>
              <w:bottom w:val="single" w:sz="4" w:space="0" w:color="auto"/>
              <w:right w:val="single" w:sz="4" w:space="0" w:color="auto"/>
            </w:tcBorders>
            <w:shd w:val="clear" w:color="auto" w:fill="auto"/>
            <w:noWrap/>
            <w:vAlign w:val="center"/>
            <w:hideMark/>
          </w:tcPr>
          <w:p w14:paraId="5C0656B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38.938</w:t>
            </w:r>
          </w:p>
        </w:tc>
        <w:tc>
          <w:tcPr>
            <w:tcW w:w="1120" w:type="dxa"/>
            <w:tcBorders>
              <w:top w:val="nil"/>
              <w:left w:val="nil"/>
              <w:bottom w:val="single" w:sz="4" w:space="0" w:color="auto"/>
              <w:right w:val="single" w:sz="4" w:space="0" w:color="auto"/>
            </w:tcBorders>
            <w:shd w:val="clear" w:color="auto" w:fill="auto"/>
            <w:noWrap/>
            <w:vAlign w:val="center"/>
            <w:hideMark/>
          </w:tcPr>
          <w:p w14:paraId="7A3A55F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26.540</w:t>
            </w:r>
          </w:p>
        </w:tc>
        <w:tc>
          <w:tcPr>
            <w:tcW w:w="1120" w:type="dxa"/>
            <w:tcBorders>
              <w:top w:val="nil"/>
              <w:left w:val="nil"/>
              <w:bottom w:val="single" w:sz="4" w:space="0" w:color="auto"/>
              <w:right w:val="single" w:sz="4" w:space="0" w:color="auto"/>
            </w:tcBorders>
            <w:shd w:val="clear" w:color="auto" w:fill="auto"/>
            <w:noWrap/>
            <w:vAlign w:val="center"/>
            <w:hideMark/>
          </w:tcPr>
          <w:p w14:paraId="2B00E59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5C75555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94,66%</w:t>
            </w:r>
          </w:p>
        </w:tc>
        <w:tc>
          <w:tcPr>
            <w:tcW w:w="1600" w:type="dxa"/>
            <w:tcBorders>
              <w:top w:val="nil"/>
              <w:left w:val="nil"/>
              <w:bottom w:val="single" w:sz="4" w:space="0" w:color="auto"/>
              <w:right w:val="single" w:sz="4" w:space="0" w:color="auto"/>
            </w:tcBorders>
            <w:shd w:val="clear" w:color="auto" w:fill="auto"/>
            <w:noWrap/>
            <w:vAlign w:val="center"/>
            <w:hideMark/>
          </w:tcPr>
          <w:p w14:paraId="1C57788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5,34%</w:t>
            </w:r>
          </w:p>
        </w:tc>
      </w:tr>
      <w:tr w:rsidR="00066E63" w:rsidRPr="00066E63" w14:paraId="6542D2BF"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5132F124"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2003</w:t>
            </w:r>
          </w:p>
        </w:tc>
        <w:tc>
          <w:tcPr>
            <w:tcW w:w="1120" w:type="dxa"/>
            <w:tcBorders>
              <w:top w:val="nil"/>
              <w:left w:val="nil"/>
              <w:bottom w:val="single" w:sz="4" w:space="0" w:color="auto"/>
              <w:right w:val="single" w:sz="4" w:space="0" w:color="auto"/>
            </w:tcBorders>
            <w:shd w:val="clear" w:color="auto" w:fill="auto"/>
            <w:noWrap/>
            <w:vAlign w:val="center"/>
            <w:hideMark/>
          </w:tcPr>
          <w:p w14:paraId="2A59C46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109.965</w:t>
            </w:r>
          </w:p>
        </w:tc>
        <w:tc>
          <w:tcPr>
            <w:tcW w:w="1120" w:type="dxa"/>
            <w:tcBorders>
              <w:top w:val="nil"/>
              <w:left w:val="nil"/>
              <w:bottom w:val="single" w:sz="4" w:space="0" w:color="auto"/>
              <w:right w:val="single" w:sz="4" w:space="0" w:color="auto"/>
            </w:tcBorders>
            <w:shd w:val="clear" w:color="auto" w:fill="auto"/>
            <w:noWrap/>
            <w:vAlign w:val="center"/>
            <w:hideMark/>
          </w:tcPr>
          <w:p w14:paraId="50D154F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62.519</w:t>
            </w:r>
          </w:p>
        </w:tc>
        <w:tc>
          <w:tcPr>
            <w:tcW w:w="1120" w:type="dxa"/>
            <w:tcBorders>
              <w:top w:val="nil"/>
              <w:left w:val="nil"/>
              <w:bottom w:val="single" w:sz="4" w:space="0" w:color="auto"/>
              <w:right w:val="single" w:sz="4" w:space="0" w:color="auto"/>
            </w:tcBorders>
            <w:shd w:val="clear" w:color="auto" w:fill="auto"/>
            <w:noWrap/>
            <w:vAlign w:val="center"/>
            <w:hideMark/>
          </w:tcPr>
          <w:p w14:paraId="09B5CA53" w14:textId="60D30111"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44.47</w:t>
            </w:r>
          </w:p>
        </w:tc>
        <w:tc>
          <w:tcPr>
            <w:tcW w:w="1120" w:type="dxa"/>
            <w:tcBorders>
              <w:top w:val="nil"/>
              <w:left w:val="nil"/>
              <w:bottom w:val="single" w:sz="4" w:space="0" w:color="auto"/>
              <w:right w:val="single" w:sz="4" w:space="0" w:color="auto"/>
            </w:tcBorders>
            <w:shd w:val="clear" w:color="auto" w:fill="auto"/>
            <w:noWrap/>
            <w:vAlign w:val="center"/>
            <w:hideMark/>
          </w:tcPr>
          <w:p w14:paraId="1E1F7AE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38BB35A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97,30%</w:t>
            </w:r>
          </w:p>
        </w:tc>
        <w:tc>
          <w:tcPr>
            <w:tcW w:w="1600" w:type="dxa"/>
            <w:tcBorders>
              <w:top w:val="nil"/>
              <w:left w:val="nil"/>
              <w:bottom w:val="single" w:sz="4" w:space="0" w:color="auto"/>
              <w:right w:val="single" w:sz="4" w:space="0" w:color="auto"/>
            </w:tcBorders>
            <w:shd w:val="clear" w:color="auto" w:fill="auto"/>
            <w:noWrap/>
            <w:vAlign w:val="center"/>
            <w:hideMark/>
          </w:tcPr>
          <w:p w14:paraId="01062EE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2,70%</w:t>
            </w:r>
          </w:p>
        </w:tc>
      </w:tr>
      <w:tr w:rsidR="00066E63" w:rsidRPr="00066E63" w14:paraId="782EB1E1"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4F9BE060"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2002</w:t>
            </w:r>
          </w:p>
        </w:tc>
        <w:tc>
          <w:tcPr>
            <w:tcW w:w="1120" w:type="dxa"/>
            <w:tcBorders>
              <w:top w:val="nil"/>
              <w:left w:val="nil"/>
              <w:bottom w:val="single" w:sz="4" w:space="0" w:color="auto"/>
              <w:right w:val="single" w:sz="4" w:space="0" w:color="auto"/>
            </w:tcBorders>
            <w:shd w:val="clear" w:color="auto" w:fill="auto"/>
            <w:noWrap/>
            <w:vAlign w:val="center"/>
            <w:hideMark/>
          </w:tcPr>
          <w:p w14:paraId="29FB92E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87.313</w:t>
            </w:r>
          </w:p>
        </w:tc>
        <w:tc>
          <w:tcPr>
            <w:tcW w:w="1120" w:type="dxa"/>
            <w:tcBorders>
              <w:top w:val="nil"/>
              <w:left w:val="nil"/>
              <w:bottom w:val="single" w:sz="4" w:space="0" w:color="auto"/>
              <w:right w:val="single" w:sz="4" w:space="0" w:color="auto"/>
            </w:tcBorders>
            <w:shd w:val="clear" w:color="auto" w:fill="auto"/>
            <w:noWrap/>
            <w:vAlign w:val="center"/>
            <w:hideMark/>
          </w:tcPr>
          <w:p w14:paraId="333F5B1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50.218</w:t>
            </w:r>
          </w:p>
        </w:tc>
        <w:tc>
          <w:tcPr>
            <w:tcW w:w="1120" w:type="dxa"/>
            <w:tcBorders>
              <w:top w:val="nil"/>
              <w:left w:val="nil"/>
              <w:bottom w:val="single" w:sz="4" w:space="0" w:color="auto"/>
              <w:right w:val="single" w:sz="4" w:space="0" w:color="auto"/>
            </w:tcBorders>
            <w:shd w:val="clear" w:color="auto" w:fill="auto"/>
            <w:noWrap/>
            <w:vAlign w:val="center"/>
            <w:hideMark/>
          </w:tcPr>
          <w:p w14:paraId="209683E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34.719</w:t>
            </w:r>
          </w:p>
        </w:tc>
        <w:tc>
          <w:tcPr>
            <w:tcW w:w="1120" w:type="dxa"/>
            <w:tcBorders>
              <w:top w:val="nil"/>
              <w:left w:val="nil"/>
              <w:bottom w:val="single" w:sz="4" w:space="0" w:color="auto"/>
              <w:right w:val="single" w:sz="4" w:space="0" w:color="auto"/>
            </w:tcBorders>
            <w:shd w:val="clear" w:color="auto" w:fill="auto"/>
            <w:noWrap/>
            <w:vAlign w:val="center"/>
            <w:hideMark/>
          </w:tcPr>
          <w:p w14:paraId="494E389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58DEABC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97,28%</w:t>
            </w:r>
          </w:p>
        </w:tc>
        <w:tc>
          <w:tcPr>
            <w:tcW w:w="1600" w:type="dxa"/>
            <w:tcBorders>
              <w:top w:val="nil"/>
              <w:left w:val="nil"/>
              <w:bottom w:val="single" w:sz="4" w:space="0" w:color="auto"/>
              <w:right w:val="single" w:sz="4" w:space="0" w:color="auto"/>
            </w:tcBorders>
            <w:shd w:val="clear" w:color="auto" w:fill="auto"/>
            <w:noWrap/>
            <w:vAlign w:val="center"/>
            <w:hideMark/>
          </w:tcPr>
          <w:p w14:paraId="717031A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2,72%</w:t>
            </w:r>
          </w:p>
        </w:tc>
      </w:tr>
      <w:tr w:rsidR="00066E63" w:rsidRPr="00066E63" w14:paraId="6396E082"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326B04A4"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2001</w:t>
            </w:r>
          </w:p>
        </w:tc>
        <w:tc>
          <w:tcPr>
            <w:tcW w:w="1120" w:type="dxa"/>
            <w:tcBorders>
              <w:top w:val="nil"/>
              <w:left w:val="nil"/>
              <w:bottom w:val="single" w:sz="4" w:space="0" w:color="auto"/>
              <w:right w:val="single" w:sz="4" w:space="0" w:color="auto"/>
            </w:tcBorders>
            <w:shd w:val="clear" w:color="auto" w:fill="auto"/>
            <w:noWrap/>
            <w:vAlign w:val="center"/>
            <w:hideMark/>
          </w:tcPr>
          <w:p w14:paraId="4E9DE3D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89.574</w:t>
            </w:r>
          </w:p>
        </w:tc>
        <w:tc>
          <w:tcPr>
            <w:tcW w:w="1120" w:type="dxa"/>
            <w:tcBorders>
              <w:top w:val="nil"/>
              <w:left w:val="nil"/>
              <w:bottom w:val="single" w:sz="4" w:space="0" w:color="auto"/>
              <w:right w:val="single" w:sz="4" w:space="0" w:color="auto"/>
            </w:tcBorders>
            <w:shd w:val="clear" w:color="auto" w:fill="auto"/>
            <w:noWrap/>
            <w:vAlign w:val="center"/>
            <w:hideMark/>
          </w:tcPr>
          <w:p w14:paraId="1A39936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52.465</w:t>
            </w:r>
          </w:p>
        </w:tc>
        <w:tc>
          <w:tcPr>
            <w:tcW w:w="1120" w:type="dxa"/>
            <w:tcBorders>
              <w:top w:val="nil"/>
              <w:left w:val="nil"/>
              <w:bottom w:val="single" w:sz="4" w:space="0" w:color="auto"/>
              <w:right w:val="single" w:sz="4" w:space="0" w:color="auto"/>
            </w:tcBorders>
            <w:shd w:val="clear" w:color="auto" w:fill="auto"/>
            <w:noWrap/>
            <w:vAlign w:val="center"/>
            <w:hideMark/>
          </w:tcPr>
          <w:p w14:paraId="2DD8C56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34.728</w:t>
            </w:r>
          </w:p>
        </w:tc>
        <w:tc>
          <w:tcPr>
            <w:tcW w:w="1120" w:type="dxa"/>
            <w:tcBorders>
              <w:top w:val="nil"/>
              <w:left w:val="nil"/>
              <w:bottom w:val="single" w:sz="4" w:space="0" w:color="auto"/>
              <w:right w:val="single" w:sz="4" w:space="0" w:color="auto"/>
            </w:tcBorders>
            <w:shd w:val="clear" w:color="auto" w:fill="auto"/>
            <w:noWrap/>
            <w:vAlign w:val="center"/>
            <w:hideMark/>
          </w:tcPr>
          <w:p w14:paraId="7019412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13E64FD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97,34%</w:t>
            </w:r>
          </w:p>
        </w:tc>
        <w:tc>
          <w:tcPr>
            <w:tcW w:w="1600" w:type="dxa"/>
            <w:tcBorders>
              <w:top w:val="nil"/>
              <w:left w:val="nil"/>
              <w:bottom w:val="single" w:sz="4" w:space="0" w:color="auto"/>
              <w:right w:val="single" w:sz="4" w:space="0" w:color="auto"/>
            </w:tcBorders>
            <w:shd w:val="clear" w:color="auto" w:fill="auto"/>
            <w:noWrap/>
            <w:vAlign w:val="center"/>
            <w:hideMark/>
          </w:tcPr>
          <w:p w14:paraId="0592962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2,66%</w:t>
            </w:r>
          </w:p>
        </w:tc>
      </w:tr>
      <w:tr w:rsidR="00066E63" w:rsidRPr="00066E63" w14:paraId="797CE955"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2E2FB79D"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2000</w:t>
            </w:r>
          </w:p>
        </w:tc>
        <w:tc>
          <w:tcPr>
            <w:tcW w:w="1120" w:type="dxa"/>
            <w:tcBorders>
              <w:top w:val="nil"/>
              <w:left w:val="nil"/>
              <w:bottom w:val="single" w:sz="4" w:space="0" w:color="auto"/>
              <w:right w:val="single" w:sz="4" w:space="0" w:color="auto"/>
            </w:tcBorders>
            <w:shd w:val="clear" w:color="auto" w:fill="auto"/>
            <w:noWrap/>
            <w:vAlign w:val="center"/>
            <w:hideMark/>
          </w:tcPr>
          <w:p w14:paraId="77A3DA7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90.839</w:t>
            </w:r>
          </w:p>
        </w:tc>
        <w:tc>
          <w:tcPr>
            <w:tcW w:w="1120" w:type="dxa"/>
            <w:tcBorders>
              <w:top w:val="nil"/>
              <w:left w:val="nil"/>
              <w:bottom w:val="single" w:sz="4" w:space="0" w:color="auto"/>
              <w:right w:val="single" w:sz="4" w:space="0" w:color="auto"/>
            </w:tcBorders>
            <w:shd w:val="clear" w:color="auto" w:fill="auto"/>
            <w:noWrap/>
            <w:vAlign w:val="center"/>
            <w:hideMark/>
          </w:tcPr>
          <w:p w14:paraId="6400548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59.236</w:t>
            </w:r>
          </w:p>
        </w:tc>
        <w:tc>
          <w:tcPr>
            <w:tcW w:w="1120" w:type="dxa"/>
            <w:tcBorders>
              <w:top w:val="nil"/>
              <w:left w:val="nil"/>
              <w:bottom w:val="single" w:sz="4" w:space="0" w:color="auto"/>
              <w:right w:val="single" w:sz="4" w:space="0" w:color="auto"/>
            </w:tcBorders>
            <w:shd w:val="clear" w:color="auto" w:fill="auto"/>
            <w:noWrap/>
            <w:vAlign w:val="center"/>
            <w:hideMark/>
          </w:tcPr>
          <w:p w14:paraId="7BB6B3E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29.196</w:t>
            </w:r>
          </w:p>
        </w:tc>
        <w:tc>
          <w:tcPr>
            <w:tcW w:w="1120" w:type="dxa"/>
            <w:tcBorders>
              <w:top w:val="nil"/>
              <w:left w:val="nil"/>
              <w:bottom w:val="single" w:sz="4" w:space="0" w:color="auto"/>
              <w:right w:val="single" w:sz="4" w:space="0" w:color="auto"/>
            </w:tcBorders>
            <w:shd w:val="clear" w:color="auto" w:fill="auto"/>
            <w:noWrap/>
            <w:vAlign w:val="center"/>
            <w:hideMark/>
          </w:tcPr>
          <w:p w14:paraId="2B2072F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16E85E9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97,35%</w:t>
            </w:r>
          </w:p>
        </w:tc>
        <w:tc>
          <w:tcPr>
            <w:tcW w:w="1600" w:type="dxa"/>
            <w:tcBorders>
              <w:top w:val="nil"/>
              <w:left w:val="nil"/>
              <w:bottom w:val="single" w:sz="4" w:space="0" w:color="auto"/>
              <w:right w:val="single" w:sz="4" w:space="0" w:color="auto"/>
            </w:tcBorders>
            <w:shd w:val="clear" w:color="auto" w:fill="auto"/>
            <w:noWrap/>
            <w:vAlign w:val="center"/>
            <w:hideMark/>
          </w:tcPr>
          <w:p w14:paraId="6B821C1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2,65%</w:t>
            </w:r>
          </w:p>
        </w:tc>
      </w:tr>
      <w:tr w:rsidR="00066E63" w:rsidRPr="00066E63" w14:paraId="2C366BAC"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481064A1"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1999</w:t>
            </w:r>
          </w:p>
        </w:tc>
        <w:tc>
          <w:tcPr>
            <w:tcW w:w="1120" w:type="dxa"/>
            <w:tcBorders>
              <w:top w:val="nil"/>
              <w:left w:val="nil"/>
              <w:bottom w:val="single" w:sz="4" w:space="0" w:color="auto"/>
              <w:right w:val="single" w:sz="4" w:space="0" w:color="auto"/>
            </w:tcBorders>
            <w:shd w:val="clear" w:color="auto" w:fill="auto"/>
            <w:noWrap/>
            <w:vAlign w:val="center"/>
            <w:hideMark/>
          </w:tcPr>
          <w:p w14:paraId="37F14CF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54.437</w:t>
            </w:r>
          </w:p>
        </w:tc>
        <w:tc>
          <w:tcPr>
            <w:tcW w:w="1120" w:type="dxa"/>
            <w:tcBorders>
              <w:top w:val="nil"/>
              <w:left w:val="nil"/>
              <w:bottom w:val="single" w:sz="4" w:space="0" w:color="auto"/>
              <w:right w:val="single" w:sz="4" w:space="0" w:color="auto"/>
            </w:tcBorders>
            <w:shd w:val="clear" w:color="auto" w:fill="auto"/>
            <w:noWrap/>
            <w:vAlign w:val="center"/>
            <w:hideMark/>
          </w:tcPr>
          <w:p w14:paraId="3F23008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29.677</w:t>
            </w:r>
          </w:p>
        </w:tc>
        <w:tc>
          <w:tcPr>
            <w:tcW w:w="1120" w:type="dxa"/>
            <w:tcBorders>
              <w:top w:val="nil"/>
              <w:left w:val="nil"/>
              <w:bottom w:val="single" w:sz="4" w:space="0" w:color="auto"/>
              <w:right w:val="single" w:sz="4" w:space="0" w:color="auto"/>
            </w:tcBorders>
            <w:shd w:val="clear" w:color="auto" w:fill="auto"/>
            <w:noWrap/>
            <w:vAlign w:val="center"/>
            <w:hideMark/>
          </w:tcPr>
          <w:p w14:paraId="3CD79EC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22.280</w:t>
            </w:r>
          </w:p>
        </w:tc>
        <w:tc>
          <w:tcPr>
            <w:tcW w:w="1120" w:type="dxa"/>
            <w:tcBorders>
              <w:top w:val="nil"/>
              <w:left w:val="nil"/>
              <w:bottom w:val="single" w:sz="4" w:space="0" w:color="auto"/>
              <w:right w:val="single" w:sz="4" w:space="0" w:color="auto"/>
            </w:tcBorders>
            <w:shd w:val="clear" w:color="auto" w:fill="auto"/>
            <w:noWrap/>
            <w:vAlign w:val="center"/>
            <w:hideMark/>
          </w:tcPr>
          <w:p w14:paraId="36F3BF9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4009E8A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95,44%</w:t>
            </w:r>
          </w:p>
        </w:tc>
        <w:tc>
          <w:tcPr>
            <w:tcW w:w="1600" w:type="dxa"/>
            <w:tcBorders>
              <w:top w:val="nil"/>
              <w:left w:val="nil"/>
              <w:bottom w:val="single" w:sz="4" w:space="0" w:color="auto"/>
              <w:right w:val="single" w:sz="4" w:space="0" w:color="auto"/>
            </w:tcBorders>
            <w:shd w:val="clear" w:color="auto" w:fill="auto"/>
            <w:noWrap/>
            <w:vAlign w:val="center"/>
            <w:hideMark/>
          </w:tcPr>
          <w:p w14:paraId="572E747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4,56%</w:t>
            </w:r>
          </w:p>
        </w:tc>
      </w:tr>
      <w:tr w:rsidR="00066E63" w:rsidRPr="00066E63" w14:paraId="3917F1BE"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3ECD5DAE"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1998</w:t>
            </w:r>
          </w:p>
        </w:tc>
        <w:tc>
          <w:tcPr>
            <w:tcW w:w="1120" w:type="dxa"/>
            <w:tcBorders>
              <w:top w:val="nil"/>
              <w:left w:val="nil"/>
              <w:bottom w:val="single" w:sz="4" w:space="0" w:color="auto"/>
              <w:right w:val="single" w:sz="4" w:space="0" w:color="auto"/>
            </w:tcBorders>
            <w:shd w:val="clear" w:color="auto" w:fill="auto"/>
            <w:noWrap/>
            <w:vAlign w:val="center"/>
            <w:hideMark/>
          </w:tcPr>
          <w:p w14:paraId="678FBEE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50.273</w:t>
            </w:r>
          </w:p>
        </w:tc>
        <w:tc>
          <w:tcPr>
            <w:tcW w:w="1120" w:type="dxa"/>
            <w:tcBorders>
              <w:top w:val="nil"/>
              <w:left w:val="nil"/>
              <w:bottom w:val="single" w:sz="4" w:space="0" w:color="auto"/>
              <w:right w:val="single" w:sz="4" w:space="0" w:color="auto"/>
            </w:tcBorders>
            <w:shd w:val="clear" w:color="auto" w:fill="auto"/>
            <w:noWrap/>
            <w:vAlign w:val="center"/>
            <w:hideMark/>
          </w:tcPr>
          <w:p w14:paraId="109B132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26.168</w:t>
            </w:r>
          </w:p>
        </w:tc>
        <w:tc>
          <w:tcPr>
            <w:tcW w:w="1120" w:type="dxa"/>
            <w:tcBorders>
              <w:top w:val="nil"/>
              <w:left w:val="nil"/>
              <w:bottom w:val="single" w:sz="4" w:space="0" w:color="auto"/>
              <w:right w:val="single" w:sz="4" w:space="0" w:color="auto"/>
            </w:tcBorders>
            <w:shd w:val="clear" w:color="auto" w:fill="auto"/>
            <w:noWrap/>
            <w:vAlign w:val="center"/>
            <w:hideMark/>
          </w:tcPr>
          <w:p w14:paraId="2839E52E"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20.595</w:t>
            </w:r>
          </w:p>
        </w:tc>
        <w:tc>
          <w:tcPr>
            <w:tcW w:w="1120" w:type="dxa"/>
            <w:tcBorders>
              <w:top w:val="nil"/>
              <w:left w:val="nil"/>
              <w:bottom w:val="single" w:sz="4" w:space="0" w:color="auto"/>
              <w:right w:val="single" w:sz="4" w:space="0" w:color="auto"/>
            </w:tcBorders>
            <w:shd w:val="clear" w:color="auto" w:fill="auto"/>
            <w:noWrap/>
            <w:vAlign w:val="center"/>
            <w:hideMark/>
          </w:tcPr>
          <w:p w14:paraId="5019E9C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0D2A6FD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93,02%</w:t>
            </w:r>
          </w:p>
        </w:tc>
        <w:tc>
          <w:tcPr>
            <w:tcW w:w="1600" w:type="dxa"/>
            <w:tcBorders>
              <w:top w:val="nil"/>
              <w:left w:val="nil"/>
              <w:bottom w:val="single" w:sz="4" w:space="0" w:color="auto"/>
              <w:right w:val="single" w:sz="4" w:space="0" w:color="auto"/>
            </w:tcBorders>
            <w:shd w:val="clear" w:color="auto" w:fill="auto"/>
            <w:noWrap/>
            <w:vAlign w:val="center"/>
            <w:hideMark/>
          </w:tcPr>
          <w:p w14:paraId="3011E20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6,98%</w:t>
            </w:r>
          </w:p>
        </w:tc>
      </w:tr>
      <w:tr w:rsidR="00066E63" w:rsidRPr="00066E63" w14:paraId="306E644D"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vAlign w:val="center"/>
            <w:hideMark/>
          </w:tcPr>
          <w:p w14:paraId="66A1D465"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1997</w:t>
            </w:r>
          </w:p>
        </w:tc>
        <w:tc>
          <w:tcPr>
            <w:tcW w:w="1120" w:type="dxa"/>
            <w:tcBorders>
              <w:top w:val="nil"/>
              <w:left w:val="nil"/>
              <w:bottom w:val="single" w:sz="4" w:space="0" w:color="auto"/>
              <w:right w:val="single" w:sz="4" w:space="0" w:color="auto"/>
            </w:tcBorders>
            <w:shd w:val="clear" w:color="auto" w:fill="auto"/>
            <w:noWrap/>
            <w:vAlign w:val="center"/>
            <w:hideMark/>
          </w:tcPr>
          <w:p w14:paraId="695E26BE"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34.289</w:t>
            </w:r>
          </w:p>
        </w:tc>
        <w:tc>
          <w:tcPr>
            <w:tcW w:w="1120" w:type="dxa"/>
            <w:tcBorders>
              <w:top w:val="nil"/>
              <w:left w:val="nil"/>
              <w:bottom w:val="single" w:sz="4" w:space="0" w:color="auto"/>
              <w:right w:val="single" w:sz="4" w:space="0" w:color="auto"/>
            </w:tcBorders>
            <w:shd w:val="clear" w:color="auto" w:fill="auto"/>
            <w:noWrap/>
            <w:vAlign w:val="center"/>
            <w:hideMark/>
          </w:tcPr>
          <w:p w14:paraId="5C01311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16.863</w:t>
            </w:r>
          </w:p>
        </w:tc>
        <w:tc>
          <w:tcPr>
            <w:tcW w:w="1120" w:type="dxa"/>
            <w:tcBorders>
              <w:top w:val="nil"/>
              <w:left w:val="nil"/>
              <w:bottom w:val="single" w:sz="4" w:space="0" w:color="auto"/>
              <w:right w:val="single" w:sz="4" w:space="0" w:color="auto"/>
            </w:tcBorders>
            <w:shd w:val="clear" w:color="auto" w:fill="auto"/>
            <w:noWrap/>
            <w:vAlign w:val="center"/>
            <w:hideMark/>
          </w:tcPr>
          <w:p w14:paraId="34C653E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14.841</w:t>
            </w:r>
          </w:p>
        </w:tc>
        <w:tc>
          <w:tcPr>
            <w:tcW w:w="1120" w:type="dxa"/>
            <w:tcBorders>
              <w:top w:val="nil"/>
              <w:left w:val="nil"/>
              <w:bottom w:val="single" w:sz="4" w:space="0" w:color="auto"/>
              <w:right w:val="single" w:sz="4" w:space="0" w:color="auto"/>
            </w:tcBorders>
            <w:shd w:val="clear" w:color="auto" w:fill="auto"/>
            <w:noWrap/>
            <w:vAlign w:val="center"/>
            <w:hideMark/>
          </w:tcPr>
          <w:p w14:paraId="378D45A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41B683E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92,46%</w:t>
            </w:r>
          </w:p>
        </w:tc>
        <w:tc>
          <w:tcPr>
            <w:tcW w:w="1600" w:type="dxa"/>
            <w:tcBorders>
              <w:top w:val="nil"/>
              <w:left w:val="nil"/>
              <w:bottom w:val="single" w:sz="4" w:space="0" w:color="auto"/>
              <w:right w:val="single" w:sz="4" w:space="0" w:color="auto"/>
            </w:tcBorders>
            <w:shd w:val="clear" w:color="auto" w:fill="auto"/>
            <w:noWrap/>
            <w:vAlign w:val="center"/>
            <w:hideMark/>
          </w:tcPr>
          <w:p w14:paraId="11EF9D3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7,54%</w:t>
            </w:r>
          </w:p>
        </w:tc>
      </w:tr>
      <w:tr w:rsidR="00066E63" w:rsidRPr="00066E63" w14:paraId="6A2BF116"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160AAF59"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lastRenderedPageBreak/>
              <w:t>1996</w:t>
            </w:r>
          </w:p>
        </w:tc>
        <w:tc>
          <w:tcPr>
            <w:tcW w:w="1120" w:type="dxa"/>
            <w:tcBorders>
              <w:top w:val="nil"/>
              <w:left w:val="nil"/>
              <w:bottom w:val="single" w:sz="4" w:space="0" w:color="auto"/>
              <w:right w:val="single" w:sz="4" w:space="0" w:color="auto"/>
            </w:tcBorders>
            <w:shd w:val="clear" w:color="auto" w:fill="auto"/>
            <w:noWrap/>
            <w:vAlign w:val="center"/>
            <w:hideMark/>
          </w:tcPr>
          <w:p w14:paraId="32F5A6D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23.883</w:t>
            </w:r>
          </w:p>
        </w:tc>
        <w:tc>
          <w:tcPr>
            <w:tcW w:w="1120" w:type="dxa"/>
            <w:tcBorders>
              <w:top w:val="nil"/>
              <w:left w:val="nil"/>
              <w:bottom w:val="single" w:sz="4" w:space="0" w:color="auto"/>
              <w:right w:val="single" w:sz="4" w:space="0" w:color="auto"/>
            </w:tcBorders>
            <w:shd w:val="clear" w:color="auto" w:fill="auto"/>
            <w:noWrap/>
            <w:vAlign w:val="center"/>
            <w:hideMark/>
          </w:tcPr>
          <w:p w14:paraId="150EB18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12.303</w:t>
            </w:r>
          </w:p>
        </w:tc>
        <w:tc>
          <w:tcPr>
            <w:tcW w:w="1120" w:type="dxa"/>
            <w:tcBorders>
              <w:top w:val="nil"/>
              <w:left w:val="nil"/>
              <w:bottom w:val="single" w:sz="4" w:space="0" w:color="auto"/>
              <w:right w:val="single" w:sz="4" w:space="0" w:color="auto"/>
            </w:tcBorders>
            <w:shd w:val="clear" w:color="auto" w:fill="auto"/>
            <w:noWrap/>
            <w:vAlign w:val="center"/>
            <w:hideMark/>
          </w:tcPr>
          <w:p w14:paraId="6FBDEBB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9.265</w:t>
            </w:r>
          </w:p>
        </w:tc>
        <w:tc>
          <w:tcPr>
            <w:tcW w:w="1120" w:type="dxa"/>
            <w:tcBorders>
              <w:top w:val="nil"/>
              <w:left w:val="nil"/>
              <w:bottom w:val="single" w:sz="4" w:space="0" w:color="auto"/>
              <w:right w:val="single" w:sz="4" w:space="0" w:color="auto"/>
            </w:tcBorders>
            <w:shd w:val="clear" w:color="auto" w:fill="auto"/>
            <w:noWrap/>
            <w:vAlign w:val="center"/>
            <w:hideMark/>
          </w:tcPr>
          <w:p w14:paraId="6409FED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6E81584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90,31%</w:t>
            </w:r>
          </w:p>
        </w:tc>
        <w:tc>
          <w:tcPr>
            <w:tcW w:w="1600" w:type="dxa"/>
            <w:tcBorders>
              <w:top w:val="nil"/>
              <w:left w:val="nil"/>
              <w:bottom w:val="single" w:sz="4" w:space="0" w:color="auto"/>
              <w:right w:val="single" w:sz="4" w:space="0" w:color="auto"/>
            </w:tcBorders>
            <w:shd w:val="clear" w:color="auto" w:fill="auto"/>
            <w:noWrap/>
            <w:vAlign w:val="center"/>
            <w:hideMark/>
          </w:tcPr>
          <w:p w14:paraId="7324E9D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9,69%</w:t>
            </w:r>
          </w:p>
        </w:tc>
      </w:tr>
      <w:tr w:rsidR="00066E63" w:rsidRPr="00066E63" w14:paraId="29501A07"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32CCCF4E"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1995</w:t>
            </w:r>
          </w:p>
        </w:tc>
        <w:tc>
          <w:tcPr>
            <w:tcW w:w="1120" w:type="dxa"/>
            <w:tcBorders>
              <w:top w:val="nil"/>
              <w:left w:val="nil"/>
              <w:bottom w:val="single" w:sz="4" w:space="0" w:color="auto"/>
              <w:right w:val="single" w:sz="4" w:space="0" w:color="auto"/>
            </w:tcBorders>
            <w:shd w:val="clear" w:color="auto" w:fill="auto"/>
            <w:noWrap/>
            <w:vAlign w:val="center"/>
            <w:hideMark/>
          </w:tcPr>
          <w:p w14:paraId="7639B5E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25.385</w:t>
            </w:r>
          </w:p>
        </w:tc>
        <w:tc>
          <w:tcPr>
            <w:tcW w:w="1120" w:type="dxa"/>
            <w:tcBorders>
              <w:top w:val="nil"/>
              <w:left w:val="nil"/>
              <w:bottom w:val="single" w:sz="4" w:space="0" w:color="auto"/>
              <w:right w:val="single" w:sz="4" w:space="0" w:color="auto"/>
            </w:tcBorders>
            <w:shd w:val="clear" w:color="auto" w:fill="auto"/>
            <w:noWrap/>
            <w:vAlign w:val="center"/>
            <w:hideMark/>
          </w:tcPr>
          <w:p w14:paraId="1F04659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11.803</w:t>
            </w:r>
          </w:p>
        </w:tc>
        <w:tc>
          <w:tcPr>
            <w:tcW w:w="1120" w:type="dxa"/>
            <w:tcBorders>
              <w:top w:val="nil"/>
              <w:left w:val="nil"/>
              <w:bottom w:val="single" w:sz="4" w:space="0" w:color="auto"/>
              <w:right w:val="single" w:sz="4" w:space="0" w:color="auto"/>
            </w:tcBorders>
            <w:shd w:val="clear" w:color="auto" w:fill="auto"/>
            <w:noWrap/>
            <w:vAlign w:val="center"/>
            <w:hideMark/>
          </w:tcPr>
          <w:p w14:paraId="06B92EE4"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11.195</w:t>
            </w:r>
          </w:p>
        </w:tc>
        <w:tc>
          <w:tcPr>
            <w:tcW w:w="1120" w:type="dxa"/>
            <w:tcBorders>
              <w:top w:val="nil"/>
              <w:left w:val="nil"/>
              <w:bottom w:val="single" w:sz="4" w:space="0" w:color="auto"/>
              <w:right w:val="single" w:sz="4" w:space="0" w:color="auto"/>
            </w:tcBorders>
            <w:shd w:val="clear" w:color="auto" w:fill="auto"/>
            <w:noWrap/>
            <w:vAlign w:val="center"/>
            <w:hideMark/>
          </w:tcPr>
          <w:p w14:paraId="094891A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4009AA8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90,60%</w:t>
            </w:r>
          </w:p>
        </w:tc>
        <w:tc>
          <w:tcPr>
            <w:tcW w:w="1600" w:type="dxa"/>
            <w:tcBorders>
              <w:top w:val="nil"/>
              <w:left w:val="nil"/>
              <w:bottom w:val="single" w:sz="4" w:space="0" w:color="auto"/>
              <w:right w:val="single" w:sz="4" w:space="0" w:color="auto"/>
            </w:tcBorders>
            <w:shd w:val="clear" w:color="auto" w:fill="auto"/>
            <w:noWrap/>
            <w:vAlign w:val="center"/>
            <w:hideMark/>
          </w:tcPr>
          <w:p w14:paraId="4DE019F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9,40%</w:t>
            </w:r>
          </w:p>
        </w:tc>
      </w:tr>
      <w:tr w:rsidR="00066E63" w:rsidRPr="00066E63" w14:paraId="30B42D8D"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01035278"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1994</w:t>
            </w:r>
          </w:p>
        </w:tc>
        <w:tc>
          <w:tcPr>
            <w:tcW w:w="1120" w:type="dxa"/>
            <w:tcBorders>
              <w:top w:val="nil"/>
              <w:left w:val="nil"/>
              <w:bottom w:val="single" w:sz="4" w:space="0" w:color="auto"/>
              <w:right w:val="single" w:sz="4" w:space="0" w:color="auto"/>
            </w:tcBorders>
            <w:shd w:val="clear" w:color="auto" w:fill="auto"/>
            <w:noWrap/>
            <w:vAlign w:val="center"/>
            <w:hideMark/>
          </w:tcPr>
          <w:p w14:paraId="777F637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25.868</w:t>
            </w:r>
          </w:p>
        </w:tc>
        <w:tc>
          <w:tcPr>
            <w:tcW w:w="1120" w:type="dxa"/>
            <w:tcBorders>
              <w:top w:val="nil"/>
              <w:left w:val="nil"/>
              <w:bottom w:val="single" w:sz="4" w:space="0" w:color="auto"/>
              <w:right w:val="single" w:sz="4" w:space="0" w:color="auto"/>
            </w:tcBorders>
            <w:shd w:val="clear" w:color="auto" w:fill="auto"/>
            <w:noWrap/>
            <w:vAlign w:val="center"/>
            <w:hideMark/>
          </w:tcPr>
          <w:p w14:paraId="6D189E7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8.699</w:t>
            </w:r>
          </w:p>
        </w:tc>
        <w:tc>
          <w:tcPr>
            <w:tcW w:w="1120" w:type="dxa"/>
            <w:tcBorders>
              <w:top w:val="nil"/>
              <w:left w:val="nil"/>
              <w:bottom w:val="single" w:sz="4" w:space="0" w:color="auto"/>
              <w:right w:val="single" w:sz="4" w:space="0" w:color="auto"/>
            </w:tcBorders>
            <w:shd w:val="clear" w:color="auto" w:fill="auto"/>
            <w:noWrap/>
            <w:vAlign w:val="center"/>
            <w:hideMark/>
          </w:tcPr>
          <w:p w14:paraId="6483D10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14.984</w:t>
            </w:r>
          </w:p>
        </w:tc>
        <w:tc>
          <w:tcPr>
            <w:tcW w:w="1120" w:type="dxa"/>
            <w:tcBorders>
              <w:top w:val="nil"/>
              <w:left w:val="nil"/>
              <w:bottom w:val="single" w:sz="4" w:space="0" w:color="auto"/>
              <w:right w:val="single" w:sz="4" w:space="0" w:color="auto"/>
            </w:tcBorders>
            <w:shd w:val="clear" w:color="auto" w:fill="auto"/>
            <w:noWrap/>
            <w:vAlign w:val="center"/>
            <w:hideMark/>
          </w:tcPr>
          <w:p w14:paraId="2FF71AB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35C8AD2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91,55%</w:t>
            </w:r>
          </w:p>
        </w:tc>
        <w:tc>
          <w:tcPr>
            <w:tcW w:w="1600" w:type="dxa"/>
            <w:tcBorders>
              <w:top w:val="nil"/>
              <w:left w:val="nil"/>
              <w:bottom w:val="single" w:sz="4" w:space="0" w:color="auto"/>
              <w:right w:val="single" w:sz="4" w:space="0" w:color="auto"/>
            </w:tcBorders>
            <w:shd w:val="clear" w:color="auto" w:fill="auto"/>
            <w:noWrap/>
            <w:vAlign w:val="center"/>
            <w:hideMark/>
          </w:tcPr>
          <w:p w14:paraId="6EA7A6B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8,45%</w:t>
            </w:r>
          </w:p>
        </w:tc>
      </w:tr>
      <w:tr w:rsidR="00066E63" w:rsidRPr="00066E63" w14:paraId="1F005699"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0B4436FE"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1993</w:t>
            </w:r>
          </w:p>
        </w:tc>
        <w:tc>
          <w:tcPr>
            <w:tcW w:w="1120" w:type="dxa"/>
            <w:tcBorders>
              <w:top w:val="nil"/>
              <w:left w:val="nil"/>
              <w:bottom w:val="single" w:sz="4" w:space="0" w:color="auto"/>
              <w:right w:val="single" w:sz="4" w:space="0" w:color="auto"/>
            </w:tcBorders>
            <w:shd w:val="clear" w:color="auto" w:fill="auto"/>
            <w:noWrap/>
            <w:vAlign w:val="center"/>
            <w:hideMark/>
          </w:tcPr>
          <w:p w14:paraId="52FE6DA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23.525</w:t>
            </w:r>
          </w:p>
        </w:tc>
        <w:tc>
          <w:tcPr>
            <w:tcW w:w="1120" w:type="dxa"/>
            <w:tcBorders>
              <w:top w:val="nil"/>
              <w:left w:val="nil"/>
              <w:bottom w:val="single" w:sz="4" w:space="0" w:color="auto"/>
              <w:right w:val="single" w:sz="4" w:space="0" w:color="auto"/>
            </w:tcBorders>
            <w:shd w:val="clear" w:color="auto" w:fill="auto"/>
            <w:noWrap/>
            <w:vAlign w:val="center"/>
            <w:hideMark/>
          </w:tcPr>
          <w:p w14:paraId="05C1DFD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9.345</w:t>
            </w:r>
          </w:p>
        </w:tc>
        <w:tc>
          <w:tcPr>
            <w:tcW w:w="1120" w:type="dxa"/>
            <w:tcBorders>
              <w:top w:val="nil"/>
              <w:left w:val="nil"/>
              <w:bottom w:val="single" w:sz="4" w:space="0" w:color="auto"/>
              <w:right w:val="single" w:sz="4" w:space="0" w:color="auto"/>
            </w:tcBorders>
            <w:shd w:val="clear" w:color="auto" w:fill="auto"/>
            <w:noWrap/>
            <w:vAlign w:val="center"/>
            <w:hideMark/>
          </w:tcPr>
          <w:p w14:paraId="79B5D13C"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12.281</w:t>
            </w:r>
          </w:p>
        </w:tc>
        <w:tc>
          <w:tcPr>
            <w:tcW w:w="1120" w:type="dxa"/>
            <w:tcBorders>
              <w:top w:val="nil"/>
              <w:left w:val="nil"/>
              <w:bottom w:val="single" w:sz="4" w:space="0" w:color="auto"/>
              <w:right w:val="single" w:sz="4" w:space="0" w:color="auto"/>
            </w:tcBorders>
            <w:shd w:val="clear" w:color="auto" w:fill="auto"/>
            <w:noWrap/>
            <w:vAlign w:val="center"/>
            <w:hideMark/>
          </w:tcPr>
          <w:p w14:paraId="4F28F497"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713C2031"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91,93%</w:t>
            </w:r>
          </w:p>
        </w:tc>
        <w:tc>
          <w:tcPr>
            <w:tcW w:w="1600" w:type="dxa"/>
            <w:tcBorders>
              <w:top w:val="nil"/>
              <w:left w:val="nil"/>
              <w:bottom w:val="single" w:sz="4" w:space="0" w:color="auto"/>
              <w:right w:val="single" w:sz="4" w:space="0" w:color="auto"/>
            </w:tcBorders>
            <w:shd w:val="clear" w:color="auto" w:fill="auto"/>
            <w:noWrap/>
            <w:vAlign w:val="center"/>
            <w:hideMark/>
          </w:tcPr>
          <w:p w14:paraId="2AABE1C0"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8,07%</w:t>
            </w:r>
          </w:p>
        </w:tc>
      </w:tr>
      <w:tr w:rsidR="00066E63" w:rsidRPr="00066E63" w14:paraId="54C608B8"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6B06E8D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1992</w:t>
            </w:r>
          </w:p>
        </w:tc>
        <w:tc>
          <w:tcPr>
            <w:tcW w:w="1120" w:type="dxa"/>
            <w:tcBorders>
              <w:top w:val="nil"/>
              <w:left w:val="nil"/>
              <w:bottom w:val="single" w:sz="4" w:space="0" w:color="auto"/>
              <w:right w:val="single" w:sz="4" w:space="0" w:color="auto"/>
            </w:tcBorders>
            <w:shd w:val="clear" w:color="auto" w:fill="auto"/>
            <w:noWrap/>
            <w:vAlign w:val="center"/>
            <w:hideMark/>
          </w:tcPr>
          <w:p w14:paraId="0320A32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26.325</w:t>
            </w:r>
          </w:p>
        </w:tc>
        <w:tc>
          <w:tcPr>
            <w:tcW w:w="1120" w:type="dxa"/>
            <w:tcBorders>
              <w:top w:val="nil"/>
              <w:left w:val="nil"/>
              <w:bottom w:val="single" w:sz="4" w:space="0" w:color="auto"/>
              <w:right w:val="single" w:sz="4" w:space="0" w:color="auto"/>
            </w:tcBorders>
            <w:shd w:val="clear" w:color="auto" w:fill="auto"/>
            <w:noWrap/>
            <w:vAlign w:val="center"/>
            <w:hideMark/>
          </w:tcPr>
          <w:p w14:paraId="1620F268"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7.838</w:t>
            </w:r>
          </w:p>
        </w:tc>
        <w:tc>
          <w:tcPr>
            <w:tcW w:w="1120" w:type="dxa"/>
            <w:tcBorders>
              <w:top w:val="nil"/>
              <w:left w:val="nil"/>
              <w:bottom w:val="single" w:sz="4" w:space="0" w:color="auto"/>
              <w:right w:val="single" w:sz="4" w:space="0" w:color="auto"/>
            </w:tcBorders>
            <w:shd w:val="clear" w:color="auto" w:fill="auto"/>
            <w:noWrap/>
            <w:vAlign w:val="center"/>
            <w:hideMark/>
          </w:tcPr>
          <w:p w14:paraId="09003955"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16.874</w:t>
            </w:r>
          </w:p>
        </w:tc>
        <w:tc>
          <w:tcPr>
            <w:tcW w:w="1120" w:type="dxa"/>
            <w:tcBorders>
              <w:top w:val="nil"/>
              <w:left w:val="nil"/>
              <w:bottom w:val="single" w:sz="4" w:space="0" w:color="auto"/>
              <w:right w:val="single" w:sz="4" w:space="0" w:color="auto"/>
            </w:tcBorders>
            <w:shd w:val="clear" w:color="auto" w:fill="auto"/>
            <w:noWrap/>
            <w:vAlign w:val="center"/>
            <w:hideMark/>
          </w:tcPr>
          <w:p w14:paraId="68A4292D"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7CCC7F2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93,87%</w:t>
            </w:r>
          </w:p>
        </w:tc>
        <w:tc>
          <w:tcPr>
            <w:tcW w:w="1600" w:type="dxa"/>
            <w:tcBorders>
              <w:top w:val="nil"/>
              <w:left w:val="nil"/>
              <w:bottom w:val="single" w:sz="4" w:space="0" w:color="auto"/>
              <w:right w:val="single" w:sz="4" w:space="0" w:color="auto"/>
            </w:tcBorders>
            <w:shd w:val="clear" w:color="auto" w:fill="auto"/>
            <w:noWrap/>
            <w:vAlign w:val="center"/>
            <w:hideMark/>
          </w:tcPr>
          <w:p w14:paraId="4C3628BF"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6,13%</w:t>
            </w:r>
          </w:p>
        </w:tc>
      </w:tr>
      <w:tr w:rsidR="00066E63" w:rsidRPr="00066E63" w14:paraId="470E3DAF"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4C4952CF"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1991</w:t>
            </w:r>
          </w:p>
        </w:tc>
        <w:tc>
          <w:tcPr>
            <w:tcW w:w="1120" w:type="dxa"/>
            <w:tcBorders>
              <w:top w:val="nil"/>
              <w:left w:val="nil"/>
              <w:bottom w:val="single" w:sz="4" w:space="0" w:color="auto"/>
              <w:right w:val="single" w:sz="4" w:space="0" w:color="auto"/>
            </w:tcBorders>
            <w:shd w:val="clear" w:color="auto" w:fill="auto"/>
            <w:noWrap/>
            <w:vAlign w:val="center"/>
            <w:hideMark/>
          </w:tcPr>
          <w:p w14:paraId="33FAB27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17.567</w:t>
            </w:r>
          </w:p>
        </w:tc>
        <w:tc>
          <w:tcPr>
            <w:tcW w:w="1120" w:type="dxa"/>
            <w:tcBorders>
              <w:top w:val="nil"/>
              <w:left w:val="nil"/>
              <w:bottom w:val="single" w:sz="4" w:space="0" w:color="auto"/>
              <w:right w:val="single" w:sz="4" w:space="0" w:color="auto"/>
            </w:tcBorders>
            <w:shd w:val="clear" w:color="auto" w:fill="auto"/>
            <w:noWrap/>
            <w:vAlign w:val="center"/>
            <w:hideMark/>
          </w:tcPr>
          <w:p w14:paraId="339DE60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5.380</w:t>
            </w:r>
          </w:p>
        </w:tc>
        <w:tc>
          <w:tcPr>
            <w:tcW w:w="1120" w:type="dxa"/>
            <w:tcBorders>
              <w:top w:val="nil"/>
              <w:left w:val="nil"/>
              <w:bottom w:val="single" w:sz="4" w:space="0" w:color="auto"/>
              <w:right w:val="single" w:sz="4" w:space="0" w:color="auto"/>
            </w:tcBorders>
            <w:shd w:val="clear" w:color="auto" w:fill="auto"/>
            <w:noWrap/>
            <w:vAlign w:val="center"/>
            <w:hideMark/>
          </w:tcPr>
          <w:p w14:paraId="4B8DC5F3"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10.518</w:t>
            </w:r>
          </w:p>
        </w:tc>
        <w:tc>
          <w:tcPr>
            <w:tcW w:w="1120" w:type="dxa"/>
            <w:tcBorders>
              <w:top w:val="nil"/>
              <w:left w:val="nil"/>
              <w:bottom w:val="single" w:sz="4" w:space="0" w:color="auto"/>
              <w:right w:val="single" w:sz="4" w:space="0" w:color="auto"/>
            </w:tcBorders>
            <w:shd w:val="clear" w:color="auto" w:fill="auto"/>
            <w:noWrap/>
            <w:vAlign w:val="center"/>
            <w:hideMark/>
          </w:tcPr>
          <w:p w14:paraId="18EFD25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4365565B"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90,50%</w:t>
            </w:r>
          </w:p>
        </w:tc>
        <w:tc>
          <w:tcPr>
            <w:tcW w:w="1600" w:type="dxa"/>
            <w:tcBorders>
              <w:top w:val="nil"/>
              <w:left w:val="nil"/>
              <w:bottom w:val="single" w:sz="4" w:space="0" w:color="auto"/>
              <w:right w:val="single" w:sz="4" w:space="0" w:color="auto"/>
            </w:tcBorders>
            <w:shd w:val="clear" w:color="auto" w:fill="auto"/>
            <w:noWrap/>
            <w:vAlign w:val="center"/>
            <w:hideMark/>
          </w:tcPr>
          <w:p w14:paraId="21AEB97A"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9,50%</w:t>
            </w:r>
          </w:p>
        </w:tc>
      </w:tr>
      <w:tr w:rsidR="00066E63" w:rsidRPr="00066E63" w14:paraId="7D06CDBA" w14:textId="77777777" w:rsidTr="00066E63">
        <w:trPr>
          <w:trHeight w:val="300"/>
          <w:jc w:val="center"/>
        </w:trPr>
        <w:tc>
          <w:tcPr>
            <w:tcW w:w="960" w:type="dxa"/>
            <w:tcBorders>
              <w:top w:val="nil"/>
              <w:left w:val="single" w:sz="4" w:space="0" w:color="auto"/>
              <w:bottom w:val="single" w:sz="4" w:space="0" w:color="auto"/>
              <w:right w:val="single" w:sz="4" w:space="0" w:color="auto"/>
            </w:tcBorders>
            <w:shd w:val="clear" w:color="000000" w:fill="3366FF"/>
            <w:noWrap/>
            <w:vAlign w:val="center"/>
            <w:hideMark/>
          </w:tcPr>
          <w:p w14:paraId="08613D8A" w14:textId="77777777" w:rsidR="00066E63" w:rsidRPr="00066E63" w:rsidRDefault="00066E63" w:rsidP="00066E63">
            <w:pPr>
              <w:spacing w:after="0" w:line="240" w:lineRule="auto"/>
              <w:jc w:val="center"/>
              <w:rPr>
                <w:rFonts w:ascii="Tahoma" w:eastAsia="Times New Roman" w:hAnsi="Tahoma" w:cs="Tahoma"/>
                <w:b/>
                <w:bCs/>
                <w:color w:val="FFFFFF"/>
                <w:sz w:val="16"/>
                <w:szCs w:val="16"/>
                <w:lang w:eastAsia="pt-BR"/>
              </w:rPr>
            </w:pPr>
            <w:r w:rsidRPr="00066E63">
              <w:rPr>
                <w:rFonts w:ascii="Tahoma" w:eastAsia="Times New Roman" w:hAnsi="Tahoma" w:cs="Tahoma"/>
                <w:b/>
                <w:bCs/>
                <w:color w:val="FFFFFF"/>
                <w:sz w:val="16"/>
                <w:szCs w:val="16"/>
                <w:lang w:eastAsia="pt-BR"/>
              </w:rPr>
              <w:t>1990</w:t>
            </w:r>
          </w:p>
        </w:tc>
        <w:tc>
          <w:tcPr>
            <w:tcW w:w="1120" w:type="dxa"/>
            <w:tcBorders>
              <w:top w:val="nil"/>
              <w:left w:val="nil"/>
              <w:bottom w:val="single" w:sz="4" w:space="0" w:color="auto"/>
              <w:right w:val="single" w:sz="4" w:space="0" w:color="auto"/>
            </w:tcBorders>
            <w:shd w:val="clear" w:color="auto" w:fill="auto"/>
            <w:noWrap/>
            <w:vAlign w:val="center"/>
            <w:hideMark/>
          </w:tcPr>
          <w:p w14:paraId="15829E3E"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16.226</w:t>
            </w:r>
          </w:p>
        </w:tc>
        <w:tc>
          <w:tcPr>
            <w:tcW w:w="1120" w:type="dxa"/>
            <w:tcBorders>
              <w:top w:val="nil"/>
              <w:left w:val="nil"/>
              <w:bottom w:val="single" w:sz="4" w:space="0" w:color="auto"/>
              <w:right w:val="single" w:sz="4" w:space="0" w:color="auto"/>
            </w:tcBorders>
            <w:shd w:val="clear" w:color="auto" w:fill="auto"/>
            <w:noWrap/>
            <w:vAlign w:val="center"/>
            <w:hideMark/>
          </w:tcPr>
          <w:p w14:paraId="4EFD727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2.465</w:t>
            </w:r>
          </w:p>
        </w:tc>
        <w:tc>
          <w:tcPr>
            <w:tcW w:w="1120" w:type="dxa"/>
            <w:tcBorders>
              <w:top w:val="nil"/>
              <w:left w:val="nil"/>
              <w:bottom w:val="single" w:sz="4" w:space="0" w:color="auto"/>
              <w:right w:val="single" w:sz="4" w:space="0" w:color="auto"/>
            </w:tcBorders>
            <w:shd w:val="clear" w:color="auto" w:fill="auto"/>
            <w:noWrap/>
            <w:vAlign w:val="center"/>
            <w:hideMark/>
          </w:tcPr>
          <w:p w14:paraId="6C1CECB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10.780</w:t>
            </w:r>
          </w:p>
        </w:tc>
        <w:tc>
          <w:tcPr>
            <w:tcW w:w="1120" w:type="dxa"/>
            <w:tcBorders>
              <w:top w:val="nil"/>
              <w:left w:val="nil"/>
              <w:bottom w:val="single" w:sz="4" w:space="0" w:color="auto"/>
              <w:right w:val="single" w:sz="4" w:space="0" w:color="auto"/>
            </w:tcBorders>
            <w:shd w:val="clear" w:color="auto" w:fill="auto"/>
            <w:noWrap/>
            <w:vAlign w:val="center"/>
            <w:hideMark/>
          </w:tcPr>
          <w:p w14:paraId="2CB1E5C6"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w:t>
            </w:r>
          </w:p>
        </w:tc>
        <w:tc>
          <w:tcPr>
            <w:tcW w:w="1860" w:type="dxa"/>
            <w:tcBorders>
              <w:top w:val="nil"/>
              <w:left w:val="nil"/>
              <w:bottom w:val="single" w:sz="4" w:space="0" w:color="auto"/>
              <w:right w:val="single" w:sz="4" w:space="0" w:color="auto"/>
            </w:tcBorders>
            <w:shd w:val="clear" w:color="auto" w:fill="auto"/>
            <w:noWrap/>
            <w:vAlign w:val="center"/>
            <w:hideMark/>
          </w:tcPr>
          <w:p w14:paraId="3FC8A6E2"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81,63%</w:t>
            </w:r>
          </w:p>
        </w:tc>
        <w:tc>
          <w:tcPr>
            <w:tcW w:w="1600" w:type="dxa"/>
            <w:tcBorders>
              <w:top w:val="nil"/>
              <w:left w:val="nil"/>
              <w:bottom w:val="single" w:sz="4" w:space="0" w:color="auto"/>
              <w:right w:val="single" w:sz="4" w:space="0" w:color="auto"/>
            </w:tcBorders>
            <w:shd w:val="clear" w:color="auto" w:fill="auto"/>
            <w:noWrap/>
            <w:vAlign w:val="center"/>
            <w:hideMark/>
          </w:tcPr>
          <w:p w14:paraId="0FB710A9" w14:textId="77777777" w:rsidR="00066E63" w:rsidRPr="00066E63" w:rsidRDefault="00066E63" w:rsidP="00066E63">
            <w:pPr>
              <w:spacing w:after="0" w:line="240" w:lineRule="auto"/>
              <w:jc w:val="center"/>
              <w:rPr>
                <w:rFonts w:ascii="Tahoma" w:eastAsia="Times New Roman" w:hAnsi="Tahoma" w:cs="Tahoma"/>
                <w:color w:val="000000"/>
                <w:sz w:val="16"/>
                <w:szCs w:val="16"/>
                <w:lang w:eastAsia="pt-BR"/>
              </w:rPr>
            </w:pPr>
            <w:r w:rsidRPr="00066E63">
              <w:rPr>
                <w:rFonts w:ascii="Tahoma" w:eastAsia="Times New Roman" w:hAnsi="Tahoma" w:cs="Tahoma"/>
                <w:color w:val="000000"/>
                <w:sz w:val="16"/>
                <w:szCs w:val="16"/>
                <w:lang w:eastAsia="pt-BR"/>
              </w:rPr>
              <w:t>18,37%</w:t>
            </w:r>
          </w:p>
        </w:tc>
      </w:tr>
    </w:tbl>
    <w:p w14:paraId="090F4A77" w14:textId="77777777" w:rsidR="00066E63" w:rsidRDefault="00066E63" w:rsidP="00806227">
      <w:pPr>
        <w:tabs>
          <w:tab w:val="left" w:pos="851"/>
          <w:tab w:val="left" w:pos="8364"/>
          <w:tab w:val="left" w:pos="8789"/>
        </w:tabs>
        <w:spacing w:before="120" w:after="120" w:line="360" w:lineRule="auto"/>
        <w:jc w:val="both"/>
        <w:rPr>
          <w:rFonts w:ascii="Arial" w:hAnsi="Arial" w:cs="Arial"/>
          <w:sz w:val="24"/>
          <w:szCs w:val="24"/>
        </w:rPr>
      </w:pPr>
    </w:p>
    <w:p w14:paraId="2AA86E4E" w14:textId="48FDD66A" w:rsidR="000D50A7" w:rsidRDefault="001A48A8"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Recentemente, aliás, chegou-se à marca de </w:t>
      </w:r>
      <w:r w:rsidR="00602232">
        <w:rPr>
          <w:rFonts w:ascii="Arial" w:hAnsi="Arial" w:cs="Arial"/>
          <w:sz w:val="24"/>
          <w:szCs w:val="24"/>
        </w:rPr>
        <w:t>um</w:t>
      </w:r>
      <w:r w:rsidR="004B66C4">
        <w:rPr>
          <w:rFonts w:ascii="Arial" w:hAnsi="Arial" w:cs="Arial"/>
          <w:sz w:val="24"/>
          <w:szCs w:val="24"/>
        </w:rPr>
        <w:t xml:space="preserve"> milhão de recursos e</w:t>
      </w:r>
      <w:r>
        <w:rPr>
          <w:rFonts w:ascii="Arial" w:hAnsi="Arial" w:cs="Arial"/>
          <w:sz w:val="24"/>
          <w:szCs w:val="24"/>
        </w:rPr>
        <w:t>xtraordinários</w:t>
      </w:r>
      <w:r w:rsidR="00B058D7">
        <w:rPr>
          <w:rFonts w:ascii="Arial" w:hAnsi="Arial" w:cs="Arial"/>
          <w:sz w:val="24"/>
          <w:szCs w:val="24"/>
        </w:rPr>
        <w:t xml:space="preserve"> (RE</w:t>
      </w:r>
      <w:r w:rsidR="009E6FBE" w:rsidRPr="009E6FBE">
        <w:rPr>
          <w:rFonts w:ascii="Arial" w:hAnsi="Arial" w:cs="Arial"/>
          <w:sz w:val="24"/>
          <w:szCs w:val="24"/>
        </w:rPr>
        <w:t>)</w:t>
      </w:r>
      <w:r w:rsidR="009E6FBE">
        <w:rPr>
          <w:rFonts w:ascii="Arial" w:hAnsi="Arial" w:cs="Arial"/>
          <w:sz w:val="24"/>
          <w:szCs w:val="24"/>
        </w:rPr>
        <w:t xml:space="preserve"> </w:t>
      </w:r>
      <w:r w:rsidR="004B66C4">
        <w:rPr>
          <w:rFonts w:ascii="Arial" w:hAnsi="Arial" w:cs="Arial"/>
          <w:sz w:val="24"/>
          <w:szCs w:val="24"/>
        </w:rPr>
        <w:t>e r</w:t>
      </w:r>
      <w:r w:rsidR="00B058D7">
        <w:rPr>
          <w:rFonts w:ascii="Arial" w:hAnsi="Arial" w:cs="Arial"/>
          <w:sz w:val="24"/>
          <w:szCs w:val="24"/>
        </w:rPr>
        <w:t>ecursos extraordinários com ag</w:t>
      </w:r>
      <w:r w:rsidR="009E6FBE" w:rsidRPr="009E6FBE">
        <w:rPr>
          <w:rFonts w:ascii="Arial" w:hAnsi="Arial" w:cs="Arial"/>
          <w:sz w:val="24"/>
          <w:szCs w:val="24"/>
        </w:rPr>
        <w:t>ravo (ARE) recebidos na Corte</w:t>
      </w:r>
      <w:r w:rsidR="009E6FBE">
        <w:rPr>
          <w:rFonts w:ascii="Arial" w:hAnsi="Arial" w:cs="Arial"/>
          <w:sz w:val="24"/>
          <w:szCs w:val="24"/>
        </w:rPr>
        <w:t xml:space="preserve">, conforme noticiado no sítio eletrônico do STF: </w:t>
      </w:r>
      <w:r w:rsidR="00A8732E">
        <w:rPr>
          <w:rFonts w:ascii="Arial" w:hAnsi="Arial" w:cs="Arial"/>
          <w:sz w:val="24"/>
          <w:szCs w:val="24"/>
        </w:rPr>
        <w:t>&lt;</w:t>
      </w:r>
      <w:hyperlink r:id="rId11" w:history="1">
        <w:r w:rsidR="004C2E6B" w:rsidRPr="00EA62DB">
          <w:rPr>
            <w:rStyle w:val="Hyperlink"/>
          </w:rPr>
          <w:t>http://www.stf.jus.br/portal/cms/verNoticiaDetalhe.asp?idConteudo=326435</w:t>
        </w:r>
      </w:hyperlink>
      <w:hyperlink w:history="1"/>
      <w:r w:rsidR="008D54F5">
        <w:rPr>
          <w:rFonts w:ascii="Arial" w:hAnsi="Arial" w:cs="Arial"/>
          <w:sz w:val="24"/>
          <w:szCs w:val="24"/>
        </w:rPr>
        <w:t>&gt;.</w:t>
      </w:r>
    </w:p>
    <w:p w14:paraId="1A9C6D39" w14:textId="69804156" w:rsidR="00CE2054" w:rsidRDefault="000D50A7"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0E4773">
        <w:rPr>
          <w:rFonts w:ascii="Arial" w:hAnsi="Arial" w:cs="Arial"/>
          <w:sz w:val="24"/>
          <w:szCs w:val="24"/>
        </w:rPr>
        <w:t>Esse problema, porém,</w:t>
      </w:r>
      <w:r w:rsidR="00CE2054">
        <w:rPr>
          <w:rFonts w:ascii="Arial" w:hAnsi="Arial" w:cs="Arial"/>
          <w:sz w:val="24"/>
          <w:szCs w:val="24"/>
        </w:rPr>
        <w:t xml:space="preserve"> não é exclusividade brasileira.</w:t>
      </w:r>
      <w:r>
        <w:rPr>
          <w:rFonts w:ascii="Arial" w:hAnsi="Arial" w:cs="Arial"/>
          <w:sz w:val="24"/>
          <w:szCs w:val="24"/>
        </w:rPr>
        <w:t xml:space="preserve"> </w:t>
      </w:r>
      <w:r w:rsidR="00CE2054">
        <w:rPr>
          <w:rFonts w:ascii="Arial" w:hAnsi="Arial" w:cs="Arial"/>
          <w:sz w:val="24"/>
          <w:szCs w:val="24"/>
        </w:rPr>
        <w:t xml:space="preserve">Nos Estados Unidos, por exemplo, enfrentou-se situação similar, guardadas as devidas proporções, já no final do Século XIX, quando </w:t>
      </w:r>
      <w:r w:rsidR="006222A8">
        <w:rPr>
          <w:rFonts w:ascii="Arial" w:hAnsi="Arial" w:cs="Arial"/>
          <w:sz w:val="24"/>
          <w:szCs w:val="24"/>
        </w:rPr>
        <w:t>se impulsionaram</w:t>
      </w:r>
      <w:r w:rsidR="00CE2054">
        <w:rPr>
          <w:rFonts w:ascii="Arial" w:hAnsi="Arial" w:cs="Arial"/>
          <w:sz w:val="24"/>
          <w:szCs w:val="24"/>
        </w:rPr>
        <w:t xml:space="preserve"> iniciativas legislativas em busca da redução da jurisdição recursal obrigatória da Suprema Corte daquele país. Nesse período, surgiu em 1925 a </w:t>
      </w:r>
      <w:proofErr w:type="spellStart"/>
      <w:r w:rsidR="00CE2054">
        <w:rPr>
          <w:rFonts w:ascii="Arial" w:hAnsi="Arial" w:cs="Arial"/>
          <w:i/>
          <w:sz w:val="24"/>
          <w:szCs w:val="24"/>
        </w:rPr>
        <w:t>Judges</w:t>
      </w:r>
      <w:proofErr w:type="spellEnd"/>
      <w:r w:rsidR="00CE2054">
        <w:rPr>
          <w:rFonts w:ascii="Arial" w:hAnsi="Arial" w:cs="Arial"/>
          <w:i/>
          <w:sz w:val="24"/>
          <w:szCs w:val="24"/>
        </w:rPr>
        <w:t>’ Bill</w:t>
      </w:r>
      <w:r w:rsidR="00CE2054">
        <w:rPr>
          <w:rFonts w:ascii="Arial" w:hAnsi="Arial" w:cs="Arial"/>
          <w:sz w:val="24"/>
          <w:szCs w:val="24"/>
        </w:rPr>
        <w:t xml:space="preserve"> (“Lei dos Juízes”</w:t>
      </w:r>
      <w:r w:rsidR="001938A2">
        <w:rPr>
          <w:rFonts w:ascii="Arial" w:hAnsi="Arial" w:cs="Arial"/>
          <w:sz w:val="24"/>
          <w:szCs w:val="24"/>
        </w:rPr>
        <w:t>, em</w:t>
      </w:r>
      <w:r w:rsidR="006222A8">
        <w:rPr>
          <w:rFonts w:ascii="Arial" w:hAnsi="Arial" w:cs="Arial"/>
          <w:sz w:val="24"/>
          <w:szCs w:val="24"/>
        </w:rPr>
        <w:t xml:space="preserve"> tradução livre</w:t>
      </w:r>
      <w:r w:rsidR="00CE2054">
        <w:rPr>
          <w:rFonts w:ascii="Arial" w:hAnsi="Arial" w:cs="Arial"/>
          <w:sz w:val="24"/>
          <w:szCs w:val="24"/>
        </w:rPr>
        <w:t>), pela qual foram bastante reduzidos os casos em que se mostrava obrigatória a jurisdição da Corte, de modo qu</w:t>
      </w:r>
      <w:r w:rsidR="00BE4CFF">
        <w:rPr>
          <w:rFonts w:ascii="Arial" w:hAnsi="Arial" w:cs="Arial"/>
          <w:sz w:val="24"/>
          <w:szCs w:val="24"/>
        </w:rPr>
        <w:t>e a maior parte dos casos tinha</w:t>
      </w:r>
      <w:r w:rsidR="00CE2054">
        <w:rPr>
          <w:rFonts w:ascii="Arial" w:hAnsi="Arial" w:cs="Arial"/>
          <w:sz w:val="24"/>
          <w:szCs w:val="24"/>
        </w:rPr>
        <w:t xml:space="preserve"> suas decisões finais proferidas </w:t>
      </w:r>
      <w:r w:rsidR="0076514C">
        <w:rPr>
          <w:rFonts w:ascii="Arial" w:hAnsi="Arial" w:cs="Arial"/>
          <w:sz w:val="24"/>
          <w:szCs w:val="24"/>
        </w:rPr>
        <w:t>pelos</w:t>
      </w:r>
      <w:r w:rsidR="00CE2054">
        <w:rPr>
          <w:rFonts w:ascii="Arial" w:hAnsi="Arial" w:cs="Arial"/>
          <w:sz w:val="24"/>
          <w:szCs w:val="24"/>
        </w:rPr>
        <w:t xml:space="preserve"> </w:t>
      </w:r>
      <w:r w:rsidR="00E127BE">
        <w:rPr>
          <w:rFonts w:ascii="Arial" w:hAnsi="Arial" w:cs="Arial"/>
          <w:sz w:val="24"/>
          <w:szCs w:val="24"/>
        </w:rPr>
        <w:t xml:space="preserve">tribunais de apelação </w:t>
      </w:r>
      <w:r w:rsidR="00CE2054">
        <w:rPr>
          <w:rFonts w:ascii="Arial" w:hAnsi="Arial" w:cs="Arial"/>
          <w:sz w:val="24"/>
          <w:szCs w:val="24"/>
        </w:rPr>
        <w:t>(“</w:t>
      </w:r>
      <w:proofErr w:type="spellStart"/>
      <w:r w:rsidR="00CE2054" w:rsidRPr="00CE2054">
        <w:rPr>
          <w:rFonts w:ascii="Arial" w:hAnsi="Arial" w:cs="Arial"/>
          <w:i/>
          <w:sz w:val="24"/>
          <w:szCs w:val="24"/>
        </w:rPr>
        <w:t>Circuit</w:t>
      </w:r>
      <w:proofErr w:type="spellEnd"/>
      <w:r w:rsidR="00CE2054" w:rsidRPr="00CE2054">
        <w:rPr>
          <w:rFonts w:ascii="Arial" w:hAnsi="Arial" w:cs="Arial"/>
          <w:i/>
          <w:sz w:val="24"/>
          <w:szCs w:val="24"/>
        </w:rPr>
        <w:t xml:space="preserve"> </w:t>
      </w:r>
      <w:proofErr w:type="spellStart"/>
      <w:r w:rsidR="00CE2054" w:rsidRPr="00CE2054">
        <w:rPr>
          <w:rFonts w:ascii="Arial" w:hAnsi="Arial" w:cs="Arial"/>
          <w:i/>
          <w:sz w:val="24"/>
          <w:szCs w:val="24"/>
        </w:rPr>
        <w:t>Courts</w:t>
      </w:r>
      <w:proofErr w:type="spellEnd"/>
      <w:r w:rsidR="00CE2054" w:rsidRPr="00CE2054">
        <w:rPr>
          <w:rFonts w:ascii="Arial" w:hAnsi="Arial" w:cs="Arial"/>
          <w:i/>
          <w:sz w:val="24"/>
          <w:szCs w:val="24"/>
        </w:rPr>
        <w:t xml:space="preserve"> </w:t>
      </w:r>
      <w:proofErr w:type="spellStart"/>
      <w:r w:rsidR="00CE2054" w:rsidRPr="00CE2054">
        <w:rPr>
          <w:rFonts w:ascii="Arial" w:hAnsi="Arial" w:cs="Arial"/>
          <w:i/>
          <w:sz w:val="24"/>
          <w:szCs w:val="24"/>
        </w:rPr>
        <w:t>of</w:t>
      </w:r>
      <w:proofErr w:type="spellEnd"/>
      <w:r w:rsidR="00CE2054" w:rsidRPr="00CE2054">
        <w:rPr>
          <w:rFonts w:ascii="Arial" w:hAnsi="Arial" w:cs="Arial"/>
          <w:i/>
          <w:sz w:val="24"/>
          <w:szCs w:val="24"/>
        </w:rPr>
        <w:t xml:space="preserve"> Appeals</w:t>
      </w:r>
      <w:r w:rsidR="00CE2054">
        <w:rPr>
          <w:rFonts w:ascii="Arial" w:hAnsi="Arial" w:cs="Arial"/>
          <w:sz w:val="24"/>
          <w:szCs w:val="24"/>
        </w:rPr>
        <w:t>”).</w:t>
      </w:r>
    </w:p>
    <w:p w14:paraId="7E16D0BC" w14:textId="470F1697" w:rsidR="003B710B" w:rsidRDefault="003B710B" w:rsidP="00806227">
      <w:pPr>
        <w:tabs>
          <w:tab w:val="left" w:pos="851"/>
          <w:tab w:val="left" w:pos="8364"/>
          <w:tab w:val="left" w:pos="8789"/>
        </w:tabs>
        <w:spacing w:before="120" w:after="120" w:line="360" w:lineRule="auto"/>
        <w:jc w:val="both"/>
        <w:rPr>
          <w:rFonts w:ascii="Arial" w:hAnsi="Arial" w:cs="Arial"/>
          <w:i/>
          <w:sz w:val="24"/>
          <w:szCs w:val="24"/>
        </w:rPr>
      </w:pPr>
      <w:r>
        <w:rPr>
          <w:rFonts w:ascii="Arial" w:hAnsi="Arial" w:cs="Arial"/>
          <w:sz w:val="24"/>
          <w:szCs w:val="24"/>
        </w:rPr>
        <w:tab/>
        <w:t xml:space="preserve">Posteriormente, já na década de 1970, ressurgiu o incômodo causado pelo grande número de recursos que chegavam à Suprema Corte dos EUA. </w:t>
      </w:r>
      <w:r w:rsidR="006222A8">
        <w:rPr>
          <w:rFonts w:ascii="Arial" w:hAnsi="Arial" w:cs="Arial"/>
          <w:sz w:val="24"/>
          <w:szCs w:val="24"/>
        </w:rPr>
        <w:t xml:space="preserve">Foi então que começaram a surgir os debates que culminaram na </w:t>
      </w:r>
      <w:proofErr w:type="spellStart"/>
      <w:r w:rsidR="006222A8">
        <w:rPr>
          <w:rFonts w:ascii="Arial" w:hAnsi="Arial" w:cs="Arial"/>
          <w:i/>
          <w:sz w:val="24"/>
          <w:szCs w:val="24"/>
        </w:rPr>
        <w:t>Supreme</w:t>
      </w:r>
      <w:proofErr w:type="spellEnd"/>
      <w:r w:rsidR="006222A8">
        <w:rPr>
          <w:rFonts w:ascii="Arial" w:hAnsi="Arial" w:cs="Arial"/>
          <w:i/>
          <w:sz w:val="24"/>
          <w:szCs w:val="24"/>
        </w:rPr>
        <w:t xml:space="preserve"> </w:t>
      </w:r>
      <w:proofErr w:type="spellStart"/>
      <w:r w:rsidR="006222A8">
        <w:rPr>
          <w:rFonts w:ascii="Arial" w:hAnsi="Arial" w:cs="Arial"/>
          <w:i/>
          <w:sz w:val="24"/>
          <w:szCs w:val="24"/>
        </w:rPr>
        <w:t>Court</w:t>
      </w:r>
      <w:proofErr w:type="spellEnd"/>
      <w:r w:rsidR="006222A8">
        <w:rPr>
          <w:rFonts w:ascii="Arial" w:hAnsi="Arial" w:cs="Arial"/>
          <w:i/>
          <w:sz w:val="24"/>
          <w:szCs w:val="24"/>
        </w:rPr>
        <w:t xml:space="preserve"> Case </w:t>
      </w:r>
      <w:proofErr w:type="spellStart"/>
      <w:r w:rsidR="006222A8">
        <w:rPr>
          <w:rFonts w:ascii="Arial" w:hAnsi="Arial" w:cs="Arial"/>
          <w:i/>
          <w:sz w:val="24"/>
          <w:szCs w:val="24"/>
        </w:rPr>
        <w:t>Selection</w:t>
      </w:r>
      <w:proofErr w:type="spellEnd"/>
      <w:r w:rsidR="006222A8">
        <w:rPr>
          <w:rFonts w:ascii="Arial" w:hAnsi="Arial" w:cs="Arial"/>
          <w:i/>
          <w:sz w:val="24"/>
          <w:szCs w:val="24"/>
        </w:rPr>
        <w:t xml:space="preserve"> </w:t>
      </w:r>
      <w:proofErr w:type="spellStart"/>
      <w:r w:rsidR="006222A8">
        <w:rPr>
          <w:rFonts w:ascii="Arial" w:hAnsi="Arial" w:cs="Arial"/>
          <w:i/>
          <w:sz w:val="24"/>
          <w:szCs w:val="24"/>
        </w:rPr>
        <w:t>Act</w:t>
      </w:r>
      <w:proofErr w:type="spellEnd"/>
      <w:r w:rsidR="006222A8">
        <w:rPr>
          <w:rFonts w:ascii="Arial" w:hAnsi="Arial" w:cs="Arial"/>
          <w:sz w:val="24"/>
          <w:szCs w:val="24"/>
        </w:rPr>
        <w:t xml:space="preserve"> (“Lei de Seleção de Casos da Suprem</w:t>
      </w:r>
      <w:r w:rsidR="008F4111">
        <w:rPr>
          <w:rFonts w:ascii="Arial" w:hAnsi="Arial" w:cs="Arial"/>
          <w:sz w:val="24"/>
          <w:szCs w:val="24"/>
        </w:rPr>
        <w:t>a</w:t>
      </w:r>
      <w:r w:rsidR="009C0CF9">
        <w:rPr>
          <w:rFonts w:ascii="Arial" w:hAnsi="Arial" w:cs="Arial"/>
          <w:sz w:val="24"/>
          <w:szCs w:val="24"/>
        </w:rPr>
        <w:t xml:space="preserve"> Corte”, em</w:t>
      </w:r>
      <w:r w:rsidR="006222A8">
        <w:rPr>
          <w:rFonts w:ascii="Arial" w:hAnsi="Arial" w:cs="Arial"/>
          <w:sz w:val="24"/>
          <w:szCs w:val="24"/>
        </w:rPr>
        <w:t xml:space="preserve"> tradução livre), </w:t>
      </w:r>
      <w:r w:rsidR="00DF1F82">
        <w:rPr>
          <w:rFonts w:ascii="Arial" w:hAnsi="Arial" w:cs="Arial"/>
          <w:sz w:val="24"/>
          <w:szCs w:val="24"/>
        </w:rPr>
        <w:t>editada para “</w:t>
      </w:r>
      <w:r w:rsidR="00DF1F82" w:rsidRPr="00DF1F82">
        <w:rPr>
          <w:rFonts w:ascii="Arial" w:hAnsi="Arial" w:cs="Arial"/>
          <w:sz w:val="24"/>
          <w:szCs w:val="24"/>
        </w:rPr>
        <w:t xml:space="preserve">melhorar a administração da justiça, proporcionando maior </w:t>
      </w:r>
      <w:r w:rsidR="00DF1F82">
        <w:rPr>
          <w:rFonts w:ascii="Arial" w:hAnsi="Arial" w:cs="Arial"/>
          <w:sz w:val="24"/>
          <w:szCs w:val="24"/>
        </w:rPr>
        <w:t xml:space="preserve">discricionariedade à Suprema Corte </w:t>
      </w:r>
      <w:r w:rsidR="00DF1F82" w:rsidRPr="00DF1F82">
        <w:rPr>
          <w:rFonts w:ascii="Arial" w:hAnsi="Arial" w:cs="Arial"/>
          <w:sz w:val="24"/>
          <w:szCs w:val="24"/>
        </w:rPr>
        <w:t>na seleção dos casos que irá rever</w:t>
      </w:r>
      <w:r w:rsidR="00DF1F82">
        <w:rPr>
          <w:rFonts w:ascii="Arial" w:hAnsi="Arial" w:cs="Arial"/>
          <w:sz w:val="24"/>
          <w:szCs w:val="24"/>
        </w:rPr>
        <w:t>”, confo</w:t>
      </w:r>
      <w:r w:rsidR="00A15C3E">
        <w:rPr>
          <w:rFonts w:ascii="Arial" w:hAnsi="Arial" w:cs="Arial"/>
          <w:sz w:val="24"/>
          <w:szCs w:val="24"/>
        </w:rPr>
        <w:t>rme sua epígrafe (também em t</w:t>
      </w:r>
      <w:r w:rsidR="00DF1F82">
        <w:rPr>
          <w:rFonts w:ascii="Arial" w:hAnsi="Arial" w:cs="Arial"/>
          <w:sz w:val="24"/>
          <w:szCs w:val="24"/>
        </w:rPr>
        <w:t>radução livre).</w:t>
      </w:r>
      <w:r w:rsidR="006E1176">
        <w:rPr>
          <w:rFonts w:ascii="Arial" w:hAnsi="Arial" w:cs="Arial"/>
          <w:sz w:val="24"/>
          <w:szCs w:val="24"/>
        </w:rPr>
        <w:t xml:space="preserve"> Na prática, foram reduzidas as possibilidades de recursos àquele Tribunal, </w:t>
      </w:r>
      <w:r w:rsidR="005726E5">
        <w:rPr>
          <w:rFonts w:ascii="Arial" w:hAnsi="Arial" w:cs="Arial"/>
          <w:sz w:val="24"/>
          <w:szCs w:val="24"/>
        </w:rPr>
        <w:t>subsistindo</w:t>
      </w:r>
      <w:r w:rsidR="006E1176">
        <w:rPr>
          <w:rFonts w:ascii="Arial" w:hAnsi="Arial" w:cs="Arial"/>
          <w:sz w:val="24"/>
          <w:szCs w:val="24"/>
        </w:rPr>
        <w:t>, em muitos casos,</w:t>
      </w:r>
      <w:r w:rsidR="005726E5">
        <w:rPr>
          <w:rFonts w:ascii="Arial" w:hAnsi="Arial" w:cs="Arial"/>
          <w:sz w:val="24"/>
          <w:szCs w:val="24"/>
        </w:rPr>
        <w:t xml:space="preserve"> uma única forma de acesso à Suprema Corte: o </w:t>
      </w:r>
      <w:r w:rsidR="005726E5">
        <w:rPr>
          <w:rFonts w:ascii="Arial" w:hAnsi="Arial" w:cs="Arial"/>
          <w:i/>
          <w:sz w:val="24"/>
          <w:szCs w:val="24"/>
        </w:rPr>
        <w:t xml:space="preserve">writ </w:t>
      </w:r>
      <w:proofErr w:type="spellStart"/>
      <w:r w:rsidR="005726E5">
        <w:rPr>
          <w:rFonts w:ascii="Arial" w:hAnsi="Arial" w:cs="Arial"/>
          <w:i/>
          <w:sz w:val="24"/>
          <w:szCs w:val="24"/>
        </w:rPr>
        <w:t>of</w:t>
      </w:r>
      <w:proofErr w:type="spellEnd"/>
      <w:r w:rsidR="005726E5">
        <w:rPr>
          <w:rFonts w:ascii="Arial" w:hAnsi="Arial" w:cs="Arial"/>
          <w:i/>
          <w:sz w:val="24"/>
          <w:szCs w:val="24"/>
        </w:rPr>
        <w:t xml:space="preserve"> </w:t>
      </w:r>
      <w:proofErr w:type="spellStart"/>
      <w:r w:rsidR="005726E5">
        <w:rPr>
          <w:rFonts w:ascii="Arial" w:hAnsi="Arial" w:cs="Arial"/>
          <w:i/>
          <w:sz w:val="24"/>
          <w:szCs w:val="24"/>
        </w:rPr>
        <w:t>certiorirari</w:t>
      </w:r>
      <w:proofErr w:type="spellEnd"/>
      <w:r w:rsidR="005726E5">
        <w:rPr>
          <w:rFonts w:ascii="Arial" w:hAnsi="Arial" w:cs="Arial"/>
          <w:i/>
          <w:sz w:val="24"/>
          <w:szCs w:val="24"/>
        </w:rPr>
        <w:t>.</w:t>
      </w:r>
    </w:p>
    <w:p w14:paraId="4C52C2DE" w14:textId="52BC4150" w:rsidR="00FA6B08" w:rsidRDefault="00C52BEF"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commentRangeStart w:id="2"/>
      <w:r w:rsidR="001D5E1E">
        <w:rPr>
          <w:rFonts w:ascii="Arial" w:hAnsi="Arial" w:cs="Arial"/>
          <w:sz w:val="24"/>
          <w:szCs w:val="24"/>
          <w:u w:val="single"/>
        </w:rPr>
        <w:t>Conhecimentos</w:t>
      </w:r>
      <w:r w:rsidR="005A6BE8" w:rsidRPr="005A6BE8">
        <w:rPr>
          <w:rFonts w:ascii="Arial" w:hAnsi="Arial" w:cs="Arial"/>
          <w:sz w:val="24"/>
          <w:szCs w:val="24"/>
          <w:u w:val="single"/>
        </w:rPr>
        <w:t xml:space="preserve"> complementares</w:t>
      </w:r>
      <w:commentRangeEnd w:id="2"/>
      <w:r w:rsidR="00FA6B08">
        <w:rPr>
          <w:rStyle w:val="Refdecomentrio"/>
        </w:rPr>
        <w:commentReference w:id="2"/>
      </w:r>
      <w:r w:rsidR="005A6BE8">
        <w:rPr>
          <w:rFonts w:ascii="Arial" w:hAnsi="Arial" w:cs="Arial"/>
          <w:sz w:val="24"/>
          <w:szCs w:val="24"/>
        </w:rPr>
        <w:t xml:space="preserve">: Essa cultura processual brasileira de que todos os processos são aptos </w:t>
      </w:r>
      <w:r w:rsidR="000A1A90">
        <w:rPr>
          <w:rFonts w:ascii="Arial" w:hAnsi="Arial" w:cs="Arial"/>
          <w:sz w:val="24"/>
          <w:szCs w:val="24"/>
        </w:rPr>
        <w:t>a cheg</w:t>
      </w:r>
      <w:r w:rsidR="00A876FC">
        <w:rPr>
          <w:rFonts w:ascii="Arial" w:hAnsi="Arial" w:cs="Arial"/>
          <w:sz w:val="24"/>
          <w:szCs w:val="24"/>
        </w:rPr>
        <w:t xml:space="preserve">ar aos </w:t>
      </w:r>
      <w:r w:rsidR="00E127BE">
        <w:rPr>
          <w:rFonts w:ascii="Arial" w:hAnsi="Arial" w:cs="Arial"/>
          <w:sz w:val="24"/>
          <w:szCs w:val="24"/>
        </w:rPr>
        <w:t xml:space="preserve">tribunais superiores </w:t>
      </w:r>
      <w:r w:rsidR="00A876FC">
        <w:rPr>
          <w:rFonts w:ascii="Arial" w:hAnsi="Arial" w:cs="Arial"/>
          <w:sz w:val="24"/>
          <w:szCs w:val="24"/>
        </w:rPr>
        <w:t>é</w:t>
      </w:r>
      <w:r w:rsidR="000A1A90">
        <w:rPr>
          <w:rFonts w:ascii="Arial" w:hAnsi="Arial" w:cs="Arial"/>
          <w:sz w:val="24"/>
          <w:szCs w:val="24"/>
        </w:rPr>
        <w:t xml:space="preserve"> ponto de fortes críticas do Ministro Roberto Barroso. Na mesma linha do que ocorre nos Estados Unidos, como vimos, o Ministro defende que </w:t>
      </w:r>
      <w:r w:rsidR="00FA6B08">
        <w:rPr>
          <w:rFonts w:ascii="Arial" w:hAnsi="Arial" w:cs="Arial"/>
          <w:sz w:val="24"/>
          <w:szCs w:val="24"/>
        </w:rPr>
        <w:t>seja</w:t>
      </w:r>
      <w:r w:rsidR="000A1A90">
        <w:rPr>
          <w:rFonts w:ascii="Arial" w:hAnsi="Arial" w:cs="Arial"/>
          <w:sz w:val="24"/>
          <w:szCs w:val="24"/>
        </w:rPr>
        <w:t xml:space="preserve"> estabelecida a possibilidade de os </w:t>
      </w:r>
      <w:r w:rsidR="00E127BE">
        <w:rPr>
          <w:rFonts w:ascii="Arial" w:hAnsi="Arial" w:cs="Arial"/>
          <w:sz w:val="24"/>
          <w:szCs w:val="24"/>
        </w:rPr>
        <w:t>tribunais superiores</w:t>
      </w:r>
      <w:r w:rsidR="000A1A90">
        <w:rPr>
          <w:rFonts w:ascii="Arial" w:hAnsi="Arial" w:cs="Arial"/>
          <w:sz w:val="24"/>
          <w:szCs w:val="24"/>
        </w:rPr>
        <w:t>, e o STF em especial, selecionarem os casos que entendem serem relevantes à sociedade, pronunciando-se somente sobre esses casos.</w:t>
      </w:r>
      <w:r w:rsidR="008129E2">
        <w:rPr>
          <w:rFonts w:ascii="Arial" w:hAnsi="Arial" w:cs="Arial"/>
          <w:sz w:val="24"/>
          <w:szCs w:val="24"/>
        </w:rPr>
        <w:t xml:space="preserve"> </w:t>
      </w:r>
      <w:r w:rsidR="00FA6B08">
        <w:rPr>
          <w:rFonts w:ascii="Arial" w:hAnsi="Arial" w:cs="Arial"/>
          <w:sz w:val="24"/>
          <w:szCs w:val="24"/>
        </w:rPr>
        <w:t>Tal entendimento é exposto pelo Ministro em entrevista concedida à TV Mi</w:t>
      </w:r>
      <w:r w:rsidR="006740AC">
        <w:rPr>
          <w:rFonts w:ascii="Arial" w:hAnsi="Arial" w:cs="Arial"/>
          <w:sz w:val="24"/>
          <w:szCs w:val="24"/>
        </w:rPr>
        <w:t>g</w:t>
      </w:r>
      <w:r w:rsidR="00FA6B08">
        <w:rPr>
          <w:rFonts w:ascii="Arial" w:hAnsi="Arial" w:cs="Arial"/>
          <w:sz w:val="24"/>
          <w:szCs w:val="24"/>
        </w:rPr>
        <w:t>alhas. Vamos assisti-la?</w:t>
      </w:r>
    </w:p>
    <w:p w14:paraId="1E0AA12E" w14:textId="77777777" w:rsidR="00FA6B08" w:rsidRDefault="00FA6B08"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r>
    </w:p>
    <w:p w14:paraId="6CE58B55" w14:textId="134F07D9" w:rsidR="00FA6B08" w:rsidRDefault="00D376BC" w:rsidP="006C2113">
      <w:pPr>
        <w:tabs>
          <w:tab w:val="left" w:pos="851"/>
          <w:tab w:val="left" w:pos="8364"/>
          <w:tab w:val="left" w:pos="8789"/>
        </w:tabs>
        <w:spacing w:before="120" w:after="120" w:line="360" w:lineRule="auto"/>
        <w:jc w:val="center"/>
        <w:rPr>
          <w:rFonts w:ascii="Arial" w:hAnsi="Arial" w:cs="Arial"/>
          <w:sz w:val="24"/>
          <w:szCs w:val="24"/>
        </w:rPr>
      </w:pPr>
      <w:r>
        <w:rPr>
          <w:rFonts w:ascii="Arial" w:hAnsi="Arial" w:cs="Arial"/>
          <w:sz w:val="24"/>
          <w:szCs w:val="24"/>
        </w:rPr>
        <w:t>&lt;</w:t>
      </w:r>
      <w:hyperlink r:id="rId12" w:history="1">
        <w:r w:rsidR="00FA6B08" w:rsidRPr="003E6D84">
          <w:rPr>
            <w:rStyle w:val="Hyperlink"/>
          </w:rPr>
          <w:t>https://www.youtube.com/watch?v=hC5_L1Lrcfs</w:t>
        </w:r>
      </w:hyperlink>
      <w:r>
        <w:rPr>
          <w:rFonts w:ascii="Arial" w:hAnsi="Arial" w:cs="Arial"/>
          <w:sz w:val="24"/>
          <w:szCs w:val="24"/>
        </w:rPr>
        <w:t>&gt;.</w:t>
      </w:r>
    </w:p>
    <w:p w14:paraId="3EA7B03E" w14:textId="77777777" w:rsidR="00D376BC" w:rsidRDefault="00D376BC" w:rsidP="00B85AFD">
      <w:pPr>
        <w:tabs>
          <w:tab w:val="left" w:pos="851"/>
          <w:tab w:val="left" w:pos="8364"/>
          <w:tab w:val="left" w:pos="8789"/>
        </w:tabs>
        <w:spacing w:before="120" w:after="120" w:line="360" w:lineRule="auto"/>
        <w:jc w:val="both"/>
        <w:rPr>
          <w:rFonts w:ascii="Arial" w:hAnsi="Arial" w:cs="Arial"/>
          <w:sz w:val="24"/>
          <w:szCs w:val="24"/>
        </w:rPr>
      </w:pPr>
    </w:p>
    <w:p w14:paraId="3D1F3590" w14:textId="6978319B" w:rsidR="00F451C7" w:rsidRDefault="00FA6B08" w:rsidP="00B85AFD">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6D1DC3">
        <w:rPr>
          <w:rFonts w:ascii="Arial" w:hAnsi="Arial" w:cs="Arial"/>
          <w:sz w:val="24"/>
          <w:szCs w:val="24"/>
        </w:rPr>
        <w:t xml:space="preserve">Recentemente, de modo similar, houve um caso </w:t>
      </w:r>
      <w:r w:rsidR="00B85AFD">
        <w:rPr>
          <w:rFonts w:ascii="Arial" w:hAnsi="Arial" w:cs="Arial"/>
          <w:sz w:val="24"/>
          <w:szCs w:val="24"/>
        </w:rPr>
        <w:t xml:space="preserve">atípico e curioso: no RE 584.247, </w:t>
      </w:r>
      <w:r w:rsidR="00F451C7">
        <w:rPr>
          <w:rFonts w:ascii="Arial" w:hAnsi="Arial" w:cs="Arial"/>
          <w:sz w:val="24"/>
          <w:szCs w:val="24"/>
        </w:rPr>
        <w:t xml:space="preserve">de relatoria do Ministro Roberto Barroso, </w:t>
      </w:r>
      <w:r w:rsidR="00B85AFD">
        <w:rPr>
          <w:rFonts w:ascii="Arial" w:hAnsi="Arial" w:cs="Arial"/>
          <w:sz w:val="24"/>
          <w:szCs w:val="24"/>
        </w:rPr>
        <w:t>controvertia-se sobre a “c</w:t>
      </w:r>
      <w:r w:rsidR="00B85AFD" w:rsidRPr="00B85AFD">
        <w:rPr>
          <w:rFonts w:ascii="Arial" w:hAnsi="Arial" w:cs="Arial"/>
          <w:sz w:val="24"/>
          <w:szCs w:val="24"/>
        </w:rPr>
        <w:t xml:space="preserve">ompetência para processar </w:t>
      </w:r>
      <w:r w:rsidR="00B85AFD">
        <w:rPr>
          <w:rFonts w:ascii="Arial" w:hAnsi="Arial" w:cs="Arial"/>
          <w:sz w:val="24"/>
          <w:szCs w:val="24"/>
        </w:rPr>
        <w:t>e julgar ação em que se discute</w:t>
      </w:r>
      <w:r w:rsidR="00602232">
        <w:rPr>
          <w:rFonts w:ascii="Arial" w:hAnsi="Arial" w:cs="Arial"/>
          <w:sz w:val="24"/>
          <w:szCs w:val="24"/>
        </w:rPr>
        <w:t xml:space="preserve"> </w:t>
      </w:r>
      <w:r w:rsidR="00B85AFD" w:rsidRPr="00B85AFD">
        <w:rPr>
          <w:rFonts w:ascii="Arial" w:hAnsi="Arial" w:cs="Arial"/>
          <w:sz w:val="24"/>
          <w:szCs w:val="24"/>
        </w:rPr>
        <w:t xml:space="preserve">pagamento de adicional de insalubridade a servidor público de </w:t>
      </w:r>
      <w:proofErr w:type="spellStart"/>
      <w:r w:rsidR="00B85AFD" w:rsidRPr="00B85AFD">
        <w:rPr>
          <w:rFonts w:ascii="Arial" w:hAnsi="Arial" w:cs="Arial"/>
          <w:sz w:val="24"/>
          <w:szCs w:val="24"/>
        </w:rPr>
        <w:t>ex-Território</w:t>
      </w:r>
      <w:proofErr w:type="spellEnd"/>
      <w:r w:rsidR="00B85AFD" w:rsidRPr="00B85AFD">
        <w:rPr>
          <w:rFonts w:ascii="Arial" w:hAnsi="Arial" w:cs="Arial"/>
          <w:sz w:val="24"/>
          <w:szCs w:val="24"/>
        </w:rPr>
        <w:t xml:space="preserve"> Federal ante a existência de convênio firmado entre a União e o Estado-membro para o qual cedido</w:t>
      </w:r>
      <w:r w:rsidR="00B85AFD">
        <w:rPr>
          <w:rFonts w:ascii="Arial" w:hAnsi="Arial" w:cs="Arial"/>
          <w:sz w:val="24"/>
          <w:szCs w:val="24"/>
        </w:rPr>
        <w:t xml:space="preserve">” (Tema </w:t>
      </w:r>
      <w:r w:rsidR="009A10D7">
        <w:rPr>
          <w:rFonts w:ascii="Arial" w:hAnsi="Arial" w:cs="Arial"/>
          <w:sz w:val="24"/>
          <w:szCs w:val="24"/>
        </w:rPr>
        <w:t>n</w:t>
      </w:r>
      <w:r w:rsidR="00D376BC">
        <w:rPr>
          <w:rFonts w:ascii="Arial" w:hAnsi="Arial" w:cs="Arial"/>
          <w:sz w:val="24"/>
          <w:szCs w:val="24"/>
        </w:rPr>
        <w:t>º</w:t>
      </w:r>
      <w:r w:rsidR="009A10D7">
        <w:rPr>
          <w:rFonts w:ascii="Arial" w:hAnsi="Arial" w:cs="Arial"/>
          <w:sz w:val="24"/>
          <w:szCs w:val="24"/>
        </w:rPr>
        <w:t xml:space="preserve"> </w:t>
      </w:r>
      <w:r w:rsidR="00F57792">
        <w:rPr>
          <w:rFonts w:ascii="Arial" w:hAnsi="Arial" w:cs="Arial"/>
          <w:sz w:val="24"/>
          <w:szCs w:val="24"/>
        </w:rPr>
        <w:t>538 da repercussão g</w:t>
      </w:r>
      <w:r w:rsidR="00B85AFD">
        <w:rPr>
          <w:rFonts w:ascii="Arial" w:hAnsi="Arial" w:cs="Arial"/>
          <w:sz w:val="24"/>
          <w:szCs w:val="24"/>
        </w:rPr>
        <w:t>eral)</w:t>
      </w:r>
      <w:r w:rsidR="00B85AFD" w:rsidRPr="00B85AFD">
        <w:rPr>
          <w:rFonts w:ascii="Arial" w:hAnsi="Arial" w:cs="Arial"/>
          <w:sz w:val="24"/>
          <w:szCs w:val="24"/>
        </w:rPr>
        <w:t>.</w:t>
      </w:r>
      <w:r w:rsidR="00B85AFD">
        <w:rPr>
          <w:rFonts w:ascii="Arial" w:hAnsi="Arial" w:cs="Arial"/>
          <w:sz w:val="24"/>
          <w:szCs w:val="24"/>
        </w:rPr>
        <w:t xml:space="preserve"> Em tal processo, após ser reconhecida a repercussão geral do tema por me</w:t>
      </w:r>
      <w:r w:rsidR="002A0042">
        <w:rPr>
          <w:rFonts w:ascii="Arial" w:hAnsi="Arial" w:cs="Arial"/>
          <w:sz w:val="24"/>
          <w:szCs w:val="24"/>
        </w:rPr>
        <w:t xml:space="preserve">io do Plenário Virtual em abril de </w:t>
      </w:r>
      <w:r w:rsidR="00B85AFD">
        <w:rPr>
          <w:rFonts w:ascii="Arial" w:hAnsi="Arial" w:cs="Arial"/>
          <w:sz w:val="24"/>
          <w:szCs w:val="24"/>
        </w:rPr>
        <w:t>2012, o Plenário Físico do Tr</w:t>
      </w:r>
      <w:r w:rsidR="00D87619">
        <w:rPr>
          <w:rFonts w:ascii="Arial" w:hAnsi="Arial" w:cs="Arial"/>
          <w:sz w:val="24"/>
          <w:szCs w:val="24"/>
        </w:rPr>
        <w:t>ibunal, em 4/11/2016, resolveu questão de o</w:t>
      </w:r>
      <w:r w:rsidR="00B85AFD">
        <w:rPr>
          <w:rFonts w:ascii="Arial" w:hAnsi="Arial" w:cs="Arial"/>
          <w:sz w:val="24"/>
          <w:szCs w:val="24"/>
        </w:rPr>
        <w:t>rdem suscitada para “</w:t>
      </w:r>
      <w:r w:rsidR="00B85AFD" w:rsidRPr="00B85AFD">
        <w:rPr>
          <w:rFonts w:ascii="Arial" w:hAnsi="Arial" w:cs="Arial"/>
          <w:sz w:val="24"/>
          <w:szCs w:val="24"/>
        </w:rPr>
        <w:t>assentar a inexistência de repercussão geral no caso, e, portanto, não conhecer do recurso, valendo a decisão para todos os recursos sobre matéria idêntica que ainda se encontrem na origem</w:t>
      </w:r>
      <w:r w:rsidR="00B85AFD">
        <w:rPr>
          <w:rFonts w:ascii="Arial" w:hAnsi="Arial" w:cs="Arial"/>
          <w:sz w:val="24"/>
          <w:szCs w:val="24"/>
        </w:rPr>
        <w:t>”, conforme os termos da ata d</w:t>
      </w:r>
      <w:r w:rsidR="00D376BC">
        <w:rPr>
          <w:rFonts w:ascii="Arial" w:hAnsi="Arial" w:cs="Arial"/>
          <w:sz w:val="24"/>
          <w:szCs w:val="24"/>
        </w:rPr>
        <w:t>o</w:t>
      </w:r>
      <w:r w:rsidR="00B85AFD">
        <w:rPr>
          <w:rFonts w:ascii="Arial" w:hAnsi="Arial" w:cs="Arial"/>
          <w:sz w:val="24"/>
          <w:szCs w:val="24"/>
        </w:rPr>
        <w:t xml:space="preserve"> julgamento. </w:t>
      </w:r>
    </w:p>
    <w:p w14:paraId="7156AE8D" w14:textId="1FFDEC2B" w:rsidR="006D1DC3" w:rsidRDefault="00F451C7" w:rsidP="00B85AFD">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B85AFD">
        <w:rPr>
          <w:rFonts w:ascii="Arial" w:hAnsi="Arial" w:cs="Arial"/>
          <w:sz w:val="24"/>
          <w:szCs w:val="24"/>
        </w:rPr>
        <w:t>De certa forma, o</w:t>
      </w:r>
      <w:r>
        <w:rPr>
          <w:rFonts w:ascii="Arial" w:hAnsi="Arial" w:cs="Arial"/>
          <w:sz w:val="24"/>
          <w:szCs w:val="24"/>
        </w:rPr>
        <w:t xml:space="preserve"> Tribunal acabou por fazer uma seleção sobre julgar ou não o tema sob análise, guiado pela preocupação principal de que o reconhecimento da repercussão geral e o não julgamento de seu mérito </w:t>
      </w:r>
      <w:r w:rsidR="000F792C">
        <w:rPr>
          <w:rFonts w:ascii="Arial" w:hAnsi="Arial" w:cs="Arial"/>
          <w:sz w:val="24"/>
          <w:szCs w:val="24"/>
        </w:rPr>
        <w:t xml:space="preserve">acabam </w:t>
      </w:r>
      <w:r>
        <w:rPr>
          <w:rFonts w:ascii="Arial" w:hAnsi="Arial" w:cs="Arial"/>
          <w:sz w:val="24"/>
          <w:szCs w:val="24"/>
        </w:rPr>
        <w:t>por representar o atravancamento dos processos que versam sobre</w:t>
      </w:r>
      <w:r w:rsidR="006A1F38">
        <w:rPr>
          <w:rFonts w:ascii="Arial" w:hAnsi="Arial" w:cs="Arial"/>
          <w:sz w:val="24"/>
          <w:szCs w:val="24"/>
        </w:rPr>
        <w:t xml:space="preserve"> o</w:t>
      </w:r>
      <w:r>
        <w:rPr>
          <w:rFonts w:ascii="Arial" w:hAnsi="Arial" w:cs="Arial"/>
          <w:sz w:val="24"/>
          <w:szCs w:val="24"/>
        </w:rPr>
        <w:t xml:space="preserve"> tema, acumulando-se ainda mais o acervo de processos que aguardam definição pelo STF. Esses detalhes procedimentais ainda serão objeto de nosso estudo, mas a propósito do que</w:t>
      </w:r>
      <w:r w:rsidR="006A1F38">
        <w:rPr>
          <w:rFonts w:ascii="Arial" w:hAnsi="Arial" w:cs="Arial"/>
          <w:sz w:val="24"/>
          <w:szCs w:val="24"/>
        </w:rPr>
        <w:t xml:space="preserve"> foi</w:t>
      </w:r>
      <w:r w:rsidR="00932E93">
        <w:rPr>
          <w:rFonts w:ascii="Arial" w:hAnsi="Arial" w:cs="Arial"/>
          <w:sz w:val="24"/>
          <w:szCs w:val="24"/>
        </w:rPr>
        <w:t xml:space="preserve"> abordado, destacam-se</w:t>
      </w:r>
      <w:r>
        <w:rPr>
          <w:rFonts w:ascii="Arial" w:hAnsi="Arial" w:cs="Arial"/>
          <w:sz w:val="24"/>
          <w:szCs w:val="24"/>
        </w:rPr>
        <w:t xml:space="preserve"> alguns excertos dos debates orais trav</w:t>
      </w:r>
      <w:r w:rsidR="00A029C3">
        <w:rPr>
          <w:rFonts w:ascii="Arial" w:hAnsi="Arial" w:cs="Arial"/>
          <w:sz w:val="24"/>
          <w:szCs w:val="24"/>
        </w:rPr>
        <w:t>ados no julgamento da referida questão de o</w:t>
      </w:r>
      <w:r>
        <w:rPr>
          <w:rFonts w:ascii="Arial" w:hAnsi="Arial" w:cs="Arial"/>
          <w:sz w:val="24"/>
          <w:szCs w:val="24"/>
        </w:rPr>
        <w:t>rdem, que revelam a preocupação aqui enunciada:</w:t>
      </w:r>
    </w:p>
    <w:p w14:paraId="7B567A97" w14:textId="77777777" w:rsidR="00A045C7" w:rsidRDefault="00A045C7" w:rsidP="00602232">
      <w:pPr>
        <w:tabs>
          <w:tab w:val="left" w:pos="1701"/>
          <w:tab w:val="left" w:pos="1985"/>
          <w:tab w:val="left" w:pos="8364"/>
          <w:tab w:val="left" w:pos="8789"/>
        </w:tabs>
        <w:spacing w:after="0" w:line="360" w:lineRule="auto"/>
        <w:ind w:left="1701"/>
        <w:jc w:val="both"/>
        <w:rPr>
          <w:rFonts w:ascii="Arial" w:hAnsi="Arial" w:cs="Arial"/>
          <w:sz w:val="20"/>
          <w:szCs w:val="20"/>
        </w:rPr>
      </w:pPr>
    </w:p>
    <w:p w14:paraId="25733DE0" w14:textId="53A70FD6" w:rsidR="006D1DC3" w:rsidRDefault="00F451C7" w:rsidP="006C2113">
      <w:pPr>
        <w:tabs>
          <w:tab w:val="left" w:pos="1985"/>
          <w:tab w:val="left" w:pos="2268"/>
          <w:tab w:val="left" w:pos="8364"/>
          <w:tab w:val="left" w:pos="8789"/>
        </w:tabs>
        <w:spacing w:after="0" w:line="240" w:lineRule="auto"/>
        <w:ind w:left="2268" w:firstLine="284"/>
        <w:jc w:val="both"/>
        <w:rPr>
          <w:rFonts w:ascii="Arial" w:hAnsi="Arial" w:cs="Arial"/>
          <w:sz w:val="20"/>
          <w:szCs w:val="20"/>
        </w:rPr>
      </w:pPr>
      <w:r w:rsidRPr="00F451C7">
        <w:rPr>
          <w:rFonts w:ascii="Arial" w:hAnsi="Arial" w:cs="Arial"/>
          <w:sz w:val="20"/>
          <w:szCs w:val="20"/>
        </w:rPr>
        <w:t xml:space="preserve">Ministro Roberto Barroso: “A verdade é que </w:t>
      </w:r>
      <w:r w:rsidR="00A045C7">
        <w:rPr>
          <w:rFonts w:ascii="Arial" w:hAnsi="Arial" w:cs="Arial"/>
          <w:sz w:val="20"/>
          <w:szCs w:val="20"/>
        </w:rPr>
        <w:t>–</w:t>
      </w:r>
      <w:r w:rsidRPr="00F451C7">
        <w:rPr>
          <w:rFonts w:ascii="Arial" w:hAnsi="Arial" w:cs="Arial"/>
          <w:sz w:val="20"/>
          <w:szCs w:val="20"/>
        </w:rPr>
        <w:t xml:space="preserve"> acho </w:t>
      </w:r>
      <w:r w:rsidR="00A045C7">
        <w:rPr>
          <w:rFonts w:ascii="Arial" w:hAnsi="Arial" w:cs="Arial"/>
          <w:sz w:val="20"/>
          <w:szCs w:val="20"/>
        </w:rPr>
        <w:t>–</w:t>
      </w:r>
      <w:r w:rsidRPr="00F451C7">
        <w:rPr>
          <w:rFonts w:ascii="Arial" w:hAnsi="Arial" w:cs="Arial"/>
          <w:sz w:val="20"/>
          <w:szCs w:val="20"/>
        </w:rPr>
        <w:t xml:space="preserve"> tínhamos que pensar uma forma ágil de diminuirmos esse estoque, porque ele, como susta os processos na origem, a gente acaba atravancando a prestação jurisdicional. E, como são matérias que não considero prioritárias, elas vão ficar muito</w:t>
      </w:r>
      <w:r w:rsidR="006A1F38">
        <w:rPr>
          <w:rFonts w:ascii="Arial" w:hAnsi="Arial" w:cs="Arial"/>
          <w:sz w:val="20"/>
          <w:szCs w:val="20"/>
        </w:rPr>
        <w:t>s</w:t>
      </w:r>
      <w:r w:rsidRPr="00F451C7">
        <w:rPr>
          <w:rFonts w:ascii="Arial" w:hAnsi="Arial" w:cs="Arial"/>
          <w:sz w:val="20"/>
          <w:szCs w:val="20"/>
        </w:rPr>
        <w:t xml:space="preserve"> anos esperando, diante da carga”</w:t>
      </w:r>
      <w:r w:rsidR="00A045C7">
        <w:rPr>
          <w:rFonts w:ascii="Arial" w:hAnsi="Arial" w:cs="Arial"/>
          <w:sz w:val="20"/>
          <w:szCs w:val="20"/>
        </w:rPr>
        <w:t>.</w:t>
      </w:r>
    </w:p>
    <w:p w14:paraId="51198E85" w14:textId="4B175D9B" w:rsidR="00F451C7" w:rsidRDefault="00F451C7" w:rsidP="006C2113">
      <w:pPr>
        <w:tabs>
          <w:tab w:val="left" w:pos="1985"/>
          <w:tab w:val="left" w:pos="2268"/>
          <w:tab w:val="left" w:pos="8364"/>
          <w:tab w:val="left" w:pos="8789"/>
        </w:tabs>
        <w:spacing w:after="0" w:line="240" w:lineRule="auto"/>
        <w:ind w:left="2268" w:firstLine="284"/>
        <w:jc w:val="both"/>
        <w:rPr>
          <w:rFonts w:ascii="Arial" w:hAnsi="Arial" w:cs="Arial"/>
          <w:sz w:val="20"/>
          <w:szCs w:val="20"/>
        </w:rPr>
      </w:pPr>
      <w:r w:rsidRPr="00F451C7">
        <w:rPr>
          <w:rFonts w:ascii="Arial" w:hAnsi="Arial" w:cs="Arial"/>
          <w:sz w:val="20"/>
          <w:szCs w:val="20"/>
        </w:rPr>
        <w:t>[...]</w:t>
      </w:r>
    </w:p>
    <w:p w14:paraId="5C7D5D7B" w14:textId="6C997048" w:rsidR="00F451C7" w:rsidRDefault="00F451C7" w:rsidP="006C2113">
      <w:pPr>
        <w:tabs>
          <w:tab w:val="left" w:pos="1985"/>
          <w:tab w:val="left" w:pos="2268"/>
          <w:tab w:val="left" w:pos="8364"/>
          <w:tab w:val="left" w:pos="8789"/>
        </w:tabs>
        <w:spacing w:after="0" w:line="240" w:lineRule="auto"/>
        <w:ind w:left="2268" w:firstLine="284"/>
        <w:jc w:val="both"/>
        <w:rPr>
          <w:rFonts w:ascii="Arial" w:hAnsi="Arial" w:cs="Arial"/>
          <w:sz w:val="20"/>
          <w:szCs w:val="20"/>
        </w:rPr>
      </w:pPr>
      <w:r w:rsidRPr="00F451C7">
        <w:rPr>
          <w:rFonts w:ascii="Arial" w:hAnsi="Arial" w:cs="Arial"/>
          <w:sz w:val="20"/>
          <w:szCs w:val="20"/>
        </w:rPr>
        <w:t>Ministro Luiz Fux: “Senhora Presidente, essa preocupação do Ministro Barroso tem procedência, até porque os critérios que revelam a repercussão geral são muito mutáveis, é a relevância econômica social, e, em dado momento, já não tem mais esse caráter relevante em razão do decurso do tempo. Agora, é tanto mais eficiente esse método, na medida em que hoje, pelo menos como uma sinalização, nós temos o julgamento na ordem cronológica, principalmente de repercussão geral que fixa a tese. Portanto, se pudermos esvaziar o acervo, daremos preferência àquilo que realmente tem relevância. E é natural, porque, quando surgiu o institu</w:t>
      </w:r>
      <w:r w:rsidR="006A1F38">
        <w:rPr>
          <w:rFonts w:ascii="Arial" w:hAnsi="Arial" w:cs="Arial"/>
          <w:sz w:val="20"/>
          <w:szCs w:val="20"/>
        </w:rPr>
        <w:t>t</w:t>
      </w:r>
      <w:r w:rsidRPr="00F451C7">
        <w:rPr>
          <w:rFonts w:ascii="Arial" w:hAnsi="Arial" w:cs="Arial"/>
          <w:sz w:val="20"/>
          <w:szCs w:val="20"/>
        </w:rPr>
        <w:t>o, tem havido uma certa euforia no sentido de uniformizar decisões. Hoje, confesso, eu verifico em meu gabinete algumas questões que não têm repercussão geral, são questões tributárias infraconstitucionais, que o STJ já pacificou em repetitivo”</w:t>
      </w:r>
      <w:r w:rsidR="00A045C7">
        <w:rPr>
          <w:rFonts w:ascii="Arial" w:hAnsi="Arial" w:cs="Arial"/>
          <w:sz w:val="20"/>
          <w:szCs w:val="20"/>
        </w:rPr>
        <w:t>.</w:t>
      </w:r>
    </w:p>
    <w:p w14:paraId="5078175E" w14:textId="557569E0" w:rsidR="00F451C7" w:rsidRDefault="00F451C7" w:rsidP="006C2113">
      <w:pPr>
        <w:tabs>
          <w:tab w:val="left" w:pos="1985"/>
          <w:tab w:val="left" w:pos="2268"/>
          <w:tab w:val="left" w:pos="8364"/>
          <w:tab w:val="left" w:pos="8789"/>
        </w:tabs>
        <w:spacing w:after="0" w:line="240" w:lineRule="auto"/>
        <w:ind w:left="2268" w:firstLine="284"/>
        <w:jc w:val="both"/>
        <w:rPr>
          <w:rFonts w:ascii="Arial" w:hAnsi="Arial" w:cs="Arial"/>
          <w:sz w:val="20"/>
          <w:szCs w:val="20"/>
        </w:rPr>
      </w:pPr>
      <w:r w:rsidRPr="00F451C7">
        <w:rPr>
          <w:rFonts w:ascii="Arial" w:hAnsi="Arial" w:cs="Arial"/>
          <w:sz w:val="20"/>
          <w:szCs w:val="20"/>
        </w:rPr>
        <w:lastRenderedPageBreak/>
        <w:t>Ministro Roberto Barroso: “Até porque a repercussão geral, diante das limitações de tempo do Plenário, acabam sendo um critério comparativo, o que é mais importante, senão não conseguimos dar conta”.</w:t>
      </w:r>
    </w:p>
    <w:p w14:paraId="2A254944" w14:textId="77777777" w:rsidR="00F451C7" w:rsidRDefault="00F451C7" w:rsidP="00602232">
      <w:pPr>
        <w:tabs>
          <w:tab w:val="left" w:pos="1701"/>
          <w:tab w:val="left" w:pos="1985"/>
          <w:tab w:val="left" w:pos="8364"/>
          <w:tab w:val="left" w:pos="8789"/>
        </w:tabs>
        <w:spacing w:after="0" w:line="360" w:lineRule="auto"/>
        <w:ind w:left="1701"/>
        <w:jc w:val="both"/>
        <w:rPr>
          <w:rFonts w:ascii="Arial" w:hAnsi="Arial" w:cs="Arial"/>
          <w:sz w:val="20"/>
          <w:szCs w:val="20"/>
        </w:rPr>
      </w:pPr>
      <w:r w:rsidRPr="0014776C">
        <w:rPr>
          <w:rFonts w:ascii="Arial" w:hAnsi="Arial" w:cs="Arial"/>
          <w:sz w:val="20"/>
          <w:szCs w:val="20"/>
          <w:highlight w:val="yellow"/>
        </w:rPr>
        <w:t>(Fim dessa parte)</w:t>
      </w:r>
    </w:p>
    <w:p w14:paraId="7378808E" w14:textId="77777777" w:rsidR="00602232" w:rsidRPr="00F451C7" w:rsidRDefault="00602232" w:rsidP="00602232">
      <w:pPr>
        <w:tabs>
          <w:tab w:val="left" w:pos="1701"/>
          <w:tab w:val="left" w:pos="1985"/>
          <w:tab w:val="left" w:pos="8364"/>
          <w:tab w:val="left" w:pos="8789"/>
        </w:tabs>
        <w:spacing w:after="0" w:line="360" w:lineRule="auto"/>
        <w:ind w:left="1701"/>
        <w:jc w:val="both"/>
        <w:rPr>
          <w:rFonts w:ascii="Arial" w:hAnsi="Arial" w:cs="Arial"/>
          <w:sz w:val="20"/>
          <w:szCs w:val="20"/>
        </w:rPr>
      </w:pPr>
    </w:p>
    <w:p w14:paraId="70E8B308" w14:textId="3B6BF381" w:rsidR="005726E5" w:rsidRDefault="00320D89" w:rsidP="00806227">
      <w:pPr>
        <w:tabs>
          <w:tab w:val="left" w:pos="851"/>
          <w:tab w:val="left" w:pos="8364"/>
          <w:tab w:val="left" w:pos="8789"/>
        </w:tabs>
        <w:spacing w:before="120" w:after="120" w:line="360" w:lineRule="auto"/>
        <w:jc w:val="both"/>
        <w:rPr>
          <w:rFonts w:ascii="Arial" w:hAnsi="Arial" w:cs="Arial"/>
          <w:sz w:val="24"/>
          <w:szCs w:val="24"/>
        </w:rPr>
      </w:pPr>
      <w:r w:rsidRPr="00320D89">
        <w:rPr>
          <w:rFonts w:ascii="Arial" w:hAnsi="Arial" w:cs="Arial"/>
          <w:sz w:val="24"/>
          <w:szCs w:val="24"/>
        </w:rPr>
        <w:tab/>
      </w:r>
      <w:r w:rsidR="00392CD2">
        <w:rPr>
          <w:rFonts w:ascii="Arial" w:hAnsi="Arial" w:cs="Arial"/>
          <w:sz w:val="24"/>
          <w:szCs w:val="24"/>
        </w:rPr>
        <w:t>Há autores que também apontam existir fenômenos semelhantes em outros países como Japão, Itália, Espanha, Argentina e Alemanha</w:t>
      </w:r>
      <w:r w:rsidR="00674C4D">
        <w:rPr>
          <w:rFonts w:ascii="Arial" w:hAnsi="Arial" w:cs="Arial"/>
          <w:sz w:val="24"/>
          <w:szCs w:val="24"/>
        </w:rPr>
        <w:t>, como se exemplifica pela citação abaixo:</w:t>
      </w:r>
    </w:p>
    <w:p w14:paraId="2A292608" w14:textId="0B95FCAF" w:rsidR="002043B6" w:rsidRDefault="00674C4D" w:rsidP="006C2113">
      <w:pPr>
        <w:tabs>
          <w:tab w:val="left" w:pos="851"/>
          <w:tab w:val="left" w:pos="1985"/>
        </w:tabs>
        <w:spacing w:after="0" w:line="240" w:lineRule="auto"/>
        <w:ind w:left="2268" w:firstLine="284"/>
        <w:jc w:val="both"/>
        <w:rPr>
          <w:rFonts w:ascii="Arial" w:hAnsi="Arial" w:cs="Arial"/>
          <w:sz w:val="20"/>
          <w:szCs w:val="20"/>
        </w:rPr>
      </w:pPr>
      <w:r>
        <w:rPr>
          <w:rFonts w:ascii="Arial" w:hAnsi="Arial" w:cs="Arial"/>
          <w:sz w:val="20"/>
          <w:szCs w:val="20"/>
        </w:rPr>
        <w:t>Fenômenos semelhantes foram experimentados em diversos</w:t>
      </w:r>
      <w:r w:rsidR="002043B6">
        <w:rPr>
          <w:rFonts w:ascii="Arial" w:hAnsi="Arial" w:cs="Arial"/>
          <w:sz w:val="20"/>
          <w:szCs w:val="20"/>
        </w:rPr>
        <w:t xml:space="preserve"> países, como Itália, Espanha, Argentina e Alemanha, o que nos faz crer que o problema é mundial e decorre, fundamentalmente, de um lado da estrutura econômica que estimula o conflito de interesses, que põe em xeque as relações jurídicas estabelecidas, o que parece ter sido ocasionado pela drástica mudança de um modelo agropastoril, prevalecente até o início do século XX, para a sociedade industrial, e, posteriormente, para a sociedade de informação, e, de outro, a mudança de paradigma consubstanciada no paulatino distanciamento </w:t>
      </w:r>
      <w:r w:rsidR="006A1F38">
        <w:rPr>
          <w:rFonts w:ascii="Arial" w:hAnsi="Arial" w:cs="Arial"/>
          <w:sz w:val="20"/>
          <w:szCs w:val="20"/>
        </w:rPr>
        <w:t>d</w:t>
      </w:r>
      <w:r w:rsidR="002043B6">
        <w:rPr>
          <w:rFonts w:ascii="Arial" w:hAnsi="Arial" w:cs="Arial"/>
          <w:sz w:val="20"/>
          <w:szCs w:val="20"/>
        </w:rPr>
        <w:t xml:space="preserve">os ideais do liberalismo econômico e a aproximação do </w:t>
      </w:r>
      <w:proofErr w:type="spellStart"/>
      <w:r w:rsidR="002043B6">
        <w:rPr>
          <w:rFonts w:ascii="Arial" w:hAnsi="Arial" w:cs="Arial"/>
          <w:i/>
          <w:sz w:val="20"/>
          <w:szCs w:val="20"/>
        </w:rPr>
        <w:t>w</w:t>
      </w:r>
      <w:r w:rsidR="006B6158">
        <w:rPr>
          <w:rFonts w:ascii="Arial" w:hAnsi="Arial" w:cs="Arial"/>
          <w:i/>
          <w:sz w:val="20"/>
          <w:szCs w:val="20"/>
        </w:rPr>
        <w:t>e</w:t>
      </w:r>
      <w:r w:rsidR="002043B6">
        <w:rPr>
          <w:rFonts w:ascii="Arial" w:hAnsi="Arial" w:cs="Arial"/>
          <w:i/>
          <w:sz w:val="20"/>
          <w:szCs w:val="20"/>
        </w:rPr>
        <w:t>lfare</w:t>
      </w:r>
      <w:proofErr w:type="spellEnd"/>
      <w:r w:rsidR="002043B6">
        <w:rPr>
          <w:rFonts w:ascii="Arial" w:hAnsi="Arial" w:cs="Arial"/>
          <w:i/>
          <w:sz w:val="20"/>
          <w:szCs w:val="20"/>
        </w:rPr>
        <w:t xml:space="preserve"> </w:t>
      </w:r>
      <w:proofErr w:type="spellStart"/>
      <w:r w:rsidR="002043B6">
        <w:rPr>
          <w:rFonts w:ascii="Arial" w:hAnsi="Arial" w:cs="Arial"/>
          <w:i/>
          <w:sz w:val="20"/>
          <w:szCs w:val="20"/>
        </w:rPr>
        <w:t>state</w:t>
      </w:r>
      <w:proofErr w:type="spellEnd"/>
      <w:r w:rsidR="002043B6">
        <w:rPr>
          <w:rFonts w:ascii="Arial" w:hAnsi="Arial" w:cs="Arial"/>
          <w:sz w:val="20"/>
          <w:szCs w:val="20"/>
        </w:rPr>
        <w:t>, com a crescente intervenção do Estado na ordem econômica e nas relações privadas, de modo a perseguir os interesses gerais da coletividade.</w:t>
      </w:r>
    </w:p>
    <w:p w14:paraId="5549DE08" w14:textId="53993E1B" w:rsidR="00674C4D" w:rsidRDefault="002043B6" w:rsidP="006C2113">
      <w:pPr>
        <w:tabs>
          <w:tab w:val="left" w:pos="851"/>
          <w:tab w:val="left" w:pos="1985"/>
        </w:tabs>
        <w:spacing w:after="0" w:line="240" w:lineRule="auto"/>
        <w:ind w:left="2268" w:firstLine="284"/>
        <w:jc w:val="both"/>
        <w:rPr>
          <w:rFonts w:ascii="Arial" w:hAnsi="Arial" w:cs="Arial"/>
          <w:sz w:val="20"/>
          <w:szCs w:val="20"/>
        </w:rPr>
      </w:pPr>
      <w:r>
        <w:rPr>
          <w:rFonts w:ascii="Arial" w:hAnsi="Arial" w:cs="Arial"/>
          <w:sz w:val="20"/>
          <w:szCs w:val="20"/>
        </w:rPr>
        <w:t xml:space="preserve">Ademais, o movimento mundial pelo acesso à justiça, capitaneado por Mauro </w:t>
      </w:r>
      <w:proofErr w:type="spellStart"/>
      <w:r>
        <w:rPr>
          <w:rFonts w:ascii="Arial" w:hAnsi="Arial" w:cs="Arial"/>
          <w:sz w:val="20"/>
          <w:szCs w:val="20"/>
        </w:rPr>
        <w:t>Cappelletti</w:t>
      </w:r>
      <w:proofErr w:type="spellEnd"/>
      <w:r>
        <w:rPr>
          <w:rFonts w:ascii="Arial" w:hAnsi="Arial" w:cs="Arial"/>
          <w:sz w:val="20"/>
          <w:szCs w:val="20"/>
        </w:rPr>
        <w:t>, contribui em larga medida para o agravamento da crise</w:t>
      </w:r>
      <w:r w:rsidR="004506C6">
        <w:rPr>
          <w:rFonts w:ascii="Arial" w:hAnsi="Arial" w:cs="Arial"/>
          <w:sz w:val="20"/>
          <w:szCs w:val="20"/>
        </w:rPr>
        <w:t xml:space="preserve">, pois, à proporção que mais pessoas têm acesso à ordem jurídica, é natural que o número de recursos cresça em razão direta. Não se pode olvidar, ainda, que o acesso à justiça reduz a </w:t>
      </w:r>
      <w:r w:rsidR="004506C6">
        <w:rPr>
          <w:rFonts w:ascii="Arial" w:hAnsi="Arial" w:cs="Arial"/>
          <w:i/>
          <w:sz w:val="20"/>
          <w:szCs w:val="20"/>
        </w:rPr>
        <w:t>litigiosidade contida</w:t>
      </w:r>
      <w:r w:rsidR="004506C6">
        <w:rPr>
          <w:rFonts w:ascii="Arial" w:hAnsi="Arial" w:cs="Arial"/>
          <w:sz w:val="20"/>
          <w:szCs w:val="20"/>
        </w:rPr>
        <w:t>, fazendo florescer contendas que, em condições adversas, não seriam levadas ao Poder Judiciário, em grave demonstr</w:t>
      </w:r>
      <w:r w:rsidR="00B65D6B">
        <w:rPr>
          <w:rFonts w:ascii="Arial" w:hAnsi="Arial" w:cs="Arial"/>
          <w:sz w:val="20"/>
          <w:szCs w:val="20"/>
        </w:rPr>
        <w:t xml:space="preserve">ação da inoperância do Estado. </w:t>
      </w:r>
      <w:r w:rsidR="00674C4D">
        <w:rPr>
          <w:rFonts w:ascii="Arial" w:hAnsi="Arial" w:cs="Arial"/>
          <w:sz w:val="20"/>
          <w:szCs w:val="20"/>
        </w:rPr>
        <w:t>(</w:t>
      </w:r>
      <w:r w:rsidR="004506C6" w:rsidRPr="00392CD2">
        <w:rPr>
          <w:rFonts w:ascii="Arial" w:hAnsi="Arial" w:cs="Arial"/>
          <w:sz w:val="20"/>
          <w:szCs w:val="20"/>
        </w:rPr>
        <w:t>WAMBIER; DANTAS</w:t>
      </w:r>
      <w:r w:rsidR="003E15B8">
        <w:rPr>
          <w:rFonts w:ascii="Arial" w:hAnsi="Arial" w:cs="Arial"/>
          <w:sz w:val="20"/>
          <w:szCs w:val="20"/>
        </w:rPr>
        <w:t xml:space="preserve">, </w:t>
      </w:r>
      <w:r w:rsidR="004506C6" w:rsidRPr="00392CD2">
        <w:rPr>
          <w:rFonts w:ascii="Arial" w:hAnsi="Arial" w:cs="Arial"/>
          <w:sz w:val="20"/>
          <w:szCs w:val="20"/>
        </w:rPr>
        <w:t xml:space="preserve">2016, p. </w:t>
      </w:r>
      <w:r w:rsidR="004506C6">
        <w:rPr>
          <w:rFonts w:ascii="Arial" w:hAnsi="Arial" w:cs="Arial"/>
          <w:sz w:val="20"/>
          <w:szCs w:val="20"/>
        </w:rPr>
        <w:t>455</w:t>
      </w:r>
      <w:r w:rsidR="00B65D6B">
        <w:rPr>
          <w:rFonts w:ascii="Arial" w:hAnsi="Arial" w:cs="Arial"/>
          <w:sz w:val="20"/>
          <w:szCs w:val="20"/>
        </w:rPr>
        <w:t>.)</w:t>
      </w:r>
    </w:p>
    <w:p w14:paraId="0DD7B1B3" w14:textId="77777777" w:rsidR="00451278" w:rsidRDefault="00451278" w:rsidP="00674C4D">
      <w:pPr>
        <w:tabs>
          <w:tab w:val="left" w:pos="851"/>
          <w:tab w:val="left" w:pos="1985"/>
        </w:tabs>
        <w:spacing w:after="0" w:line="360" w:lineRule="auto"/>
        <w:ind w:left="1701"/>
        <w:jc w:val="both"/>
        <w:rPr>
          <w:rFonts w:ascii="Arial" w:hAnsi="Arial" w:cs="Arial"/>
          <w:sz w:val="20"/>
          <w:szCs w:val="20"/>
        </w:rPr>
      </w:pPr>
    </w:p>
    <w:p w14:paraId="26C8DCDF" w14:textId="4A5A460C" w:rsidR="007F6D22" w:rsidRDefault="007F6D22"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commentRangeStart w:id="3"/>
      <w:r w:rsidRPr="00A97B2A">
        <w:rPr>
          <w:rFonts w:ascii="Arial" w:hAnsi="Arial" w:cs="Arial"/>
          <w:sz w:val="24"/>
          <w:szCs w:val="24"/>
          <w:u w:val="single"/>
        </w:rPr>
        <w:t>Palavra do conteudista</w:t>
      </w:r>
      <w:commentRangeEnd w:id="3"/>
      <w:r w:rsidR="005A5F10">
        <w:rPr>
          <w:rStyle w:val="Refdecomentrio"/>
        </w:rPr>
        <w:commentReference w:id="3"/>
      </w:r>
      <w:r>
        <w:rPr>
          <w:rFonts w:ascii="Arial" w:hAnsi="Arial" w:cs="Arial"/>
          <w:sz w:val="24"/>
          <w:szCs w:val="24"/>
        </w:rPr>
        <w:t xml:space="preserve">: </w:t>
      </w:r>
      <w:r w:rsidR="00A97B2A">
        <w:rPr>
          <w:rFonts w:ascii="Arial" w:hAnsi="Arial" w:cs="Arial"/>
          <w:sz w:val="24"/>
          <w:szCs w:val="24"/>
        </w:rPr>
        <w:t>É</w:t>
      </w:r>
      <w:r>
        <w:rPr>
          <w:rFonts w:ascii="Arial" w:hAnsi="Arial" w:cs="Arial"/>
          <w:sz w:val="24"/>
          <w:szCs w:val="24"/>
        </w:rPr>
        <w:t xml:space="preserve"> por essa razão que se fazem tão importantes as formas alternativas e extrajudiciais de solução de conflitos, seja por </w:t>
      </w:r>
      <w:proofErr w:type="spellStart"/>
      <w:r>
        <w:rPr>
          <w:rFonts w:ascii="Arial" w:hAnsi="Arial" w:cs="Arial"/>
          <w:sz w:val="24"/>
          <w:szCs w:val="24"/>
        </w:rPr>
        <w:t>autocomposição</w:t>
      </w:r>
      <w:proofErr w:type="spellEnd"/>
      <w:r>
        <w:rPr>
          <w:rFonts w:ascii="Arial" w:hAnsi="Arial" w:cs="Arial"/>
          <w:sz w:val="24"/>
          <w:szCs w:val="24"/>
        </w:rPr>
        <w:t xml:space="preserve"> (como a mediação e a conciliação), seja por técnicas de </w:t>
      </w:r>
      <w:proofErr w:type="spellStart"/>
      <w:r>
        <w:rPr>
          <w:rFonts w:ascii="Arial" w:hAnsi="Arial" w:cs="Arial"/>
          <w:sz w:val="24"/>
          <w:szCs w:val="24"/>
        </w:rPr>
        <w:t>heterocomposição</w:t>
      </w:r>
      <w:proofErr w:type="spellEnd"/>
      <w:r>
        <w:rPr>
          <w:rFonts w:ascii="Arial" w:hAnsi="Arial" w:cs="Arial"/>
          <w:sz w:val="24"/>
          <w:szCs w:val="24"/>
        </w:rPr>
        <w:t xml:space="preserve"> (como a arbitragem). Além de representarem redução das demandas levadas ao conhecimento do Poder Judiciário, essas práticas extrajudiciais têm se mostrado mais eficientes quanto à pacificaçã</w:t>
      </w:r>
      <w:r w:rsidR="007C2CFA">
        <w:rPr>
          <w:rFonts w:ascii="Arial" w:hAnsi="Arial" w:cs="Arial"/>
          <w:sz w:val="24"/>
          <w:szCs w:val="24"/>
        </w:rPr>
        <w:t>o social, por possibilitarem</w:t>
      </w:r>
      <w:r>
        <w:rPr>
          <w:rFonts w:ascii="Arial" w:hAnsi="Arial" w:cs="Arial"/>
          <w:sz w:val="24"/>
          <w:szCs w:val="24"/>
        </w:rPr>
        <w:t xml:space="preserve"> maior participação ativa das partes em litígio, bem </w:t>
      </w:r>
      <w:r w:rsidRPr="00450859">
        <w:rPr>
          <w:rFonts w:ascii="Arial" w:hAnsi="Arial" w:cs="Arial"/>
          <w:sz w:val="24"/>
          <w:szCs w:val="24"/>
        </w:rPr>
        <w:t>como a busca por solução mais célere para o conflito social discutido. Nesse sentido, destaca-se que o Novo Código de Processo Civil deu maior destaque a essas modalidades alternativas de solução de controv</w:t>
      </w:r>
      <w:r w:rsidR="00AB7064" w:rsidRPr="007C73E1">
        <w:rPr>
          <w:rFonts w:ascii="Arial" w:hAnsi="Arial" w:cs="Arial"/>
          <w:sz w:val="24"/>
          <w:szCs w:val="24"/>
        </w:rPr>
        <w:t>érsias</w:t>
      </w:r>
      <w:r w:rsidR="00642D88" w:rsidRPr="007C73E1">
        <w:rPr>
          <w:rFonts w:ascii="Arial" w:hAnsi="Arial" w:cs="Arial"/>
          <w:sz w:val="24"/>
          <w:szCs w:val="24"/>
        </w:rPr>
        <w:t>, destinando-lhes disposiçõe</w:t>
      </w:r>
      <w:r w:rsidR="004B73BF" w:rsidRPr="007C73E1">
        <w:rPr>
          <w:rFonts w:ascii="Arial" w:hAnsi="Arial" w:cs="Arial"/>
          <w:sz w:val="24"/>
          <w:szCs w:val="24"/>
        </w:rPr>
        <w:t>s específicas, estabelecendo</w:t>
      </w:r>
      <w:r w:rsidR="00642D88" w:rsidRPr="007C73E1">
        <w:rPr>
          <w:rFonts w:ascii="Arial" w:hAnsi="Arial" w:cs="Arial"/>
          <w:sz w:val="24"/>
          <w:szCs w:val="24"/>
        </w:rPr>
        <w:t xml:space="preserve"> audiência obrigatória de conciliação ou mediação </w:t>
      </w:r>
      <w:r w:rsidR="00642D88" w:rsidRPr="001214D3">
        <w:rPr>
          <w:rFonts w:ascii="Arial" w:hAnsi="Arial" w:cs="Arial"/>
          <w:sz w:val="24"/>
          <w:szCs w:val="24"/>
        </w:rPr>
        <w:t>no rito</w:t>
      </w:r>
      <w:r w:rsidR="008F3814" w:rsidRPr="001214D3">
        <w:rPr>
          <w:rFonts w:ascii="Arial" w:hAnsi="Arial" w:cs="Arial"/>
          <w:sz w:val="24"/>
          <w:szCs w:val="24"/>
        </w:rPr>
        <w:t xml:space="preserve"> do </w:t>
      </w:r>
      <w:r w:rsidR="00642D88" w:rsidRPr="001214D3">
        <w:rPr>
          <w:rFonts w:ascii="Arial" w:hAnsi="Arial" w:cs="Arial"/>
          <w:sz w:val="24"/>
          <w:szCs w:val="24"/>
        </w:rPr>
        <w:t>procedimento comum</w:t>
      </w:r>
      <w:r w:rsidR="00642D88" w:rsidRPr="00450859">
        <w:rPr>
          <w:rFonts w:ascii="Arial" w:hAnsi="Arial" w:cs="Arial"/>
          <w:sz w:val="24"/>
          <w:szCs w:val="24"/>
        </w:rPr>
        <w:t xml:space="preserve"> (nos te</w:t>
      </w:r>
      <w:r w:rsidR="000B5A26" w:rsidRPr="00450859">
        <w:rPr>
          <w:rFonts w:ascii="Arial" w:hAnsi="Arial" w:cs="Arial"/>
          <w:sz w:val="24"/>
          <w:szCs w:val="24"/>
        </w:rPr>
        <w:t>r</w:t>
      </w:r>
      <w:r w:rsidR="00642D88" w:rsidRPr="00450859">
        <w:rPr>
          <w:rFonts w:ascii="Arial" w:hAnsi="Arial" w:cs="Arial"/>
          <w:sz w:val="24"/>
          <w:szCs w:val="24"/>
        </w:rPr>
        <w:t xml:space="preserve">mos do art. 334 e seguintes), etc. </w:t>
      </w:r>
      <w:r w:rsidR="00AB7064" w:rsidRPr="00450859">
        <w:rPr>
          <w:rFonts w:ascii="Arial" w:hAnsi="Arial" w:cs="Arial"/>
          <w:sz w:val="24"/>
          <w:szCs w:val="24"/>
        </w:rPr>
        <w:t xml:space="preserve">Ademais, nas normas fundamentais do processo civil, o art. 3º dispõe que </w:t>
      </w:r>
      <w:commentRangeStart w:id="4"/>
      <w:r w:rsidR="00AB7064" w:rsidRPr="00450859">
        <w:rPr>
          <w:rFonts w:ascii="Arial" w:hAnsi="Arial" w:cs="Arial"/>
          <w:sz w:val="24"/>
          <w:szCs w:val="24"/>
        </w:rPr>
        <w:t>“</w:t>
      </w:r>
      <w:r w:rsidR="00AB7064" w:rsidRPr="007C73E1">
        <w:rPr>
          <w:rFonts w:ascii="Arial" w:hAnsi="Arial" w:cs="Arial"/>
          <w:i/>
          <w:sz w:val="24"/>
          <w:szCs w:val="24"/>
        </w:rPr>
        <w:t>A conciliação, a mediação e outros métodos de solução consensual de conflitos deverão ser estimulados por juízes, advogados, defensores públicos e membros do Ministério Público, inclusive no curso do processo judicial</w:t>
      </w:r>
      <w:r w:rsidR="00AB7064" w:rsidRPr="007C73E1">
        <w:rPr>
          <w:rFonts w:ascii="Arial" w:hAnsi="Arial" w:cs="Arial"/>
          <w:sz w:val="24"/>
          <w:szCs w:val="24"/>
        </w:rPr>
        <w:t>”.</w:t>
      </w:r>
      <w:r w:rsidR="00642D88" w:rsidRPr="007C73E1">
        <w:rPr>
          <w:rFonts w:ascii="Arial" w:hAnsi="Arial" w:cs="Arial"/>
          <w:sz w:val="24"/>
          <w:szCs w:val="24"/>
        </w:rPr>
        <w:t xml:space="preserve"> </w:t>
      </w:r>
      <w:commentRangeEnd w:id="4"/>
      <w:r w:rsidR="005A5F10" w:rsidRPr="00450859">
        <w:rPr>
          <w:rStyle w:val="Refdecomentrio"/>
        </w:rPr>
        <w:commentReference w:id="4"/>
      </w:r>
      <w:r w:rsidR="00642D88" w:rsidRPr="006C2113">
        <w:rPr>
          <w:rFonts w:ascii="Arial" w:hAnsi="Arial" w:cs="Arial"/>
          <w:sz w:val="24"/>
          <w:szCs w:val="24"/>
          <w:highlight w:val="yellow"/>
        </w:rPr>
        <w:t>(</w:t>
      </w:r>
      <w:r w:rsidR="00642D88" w:rsidRPr="00450859">
        <w:rPr>
          <w:rFonts w:ascii="Arial" w:hAnsi="Arial" w:cs="Arial"/>
          <w:sz w:val="24"/>
          <w:szCs w:val="24"/>
          <w:highlight w:val="yellow"/>
        </w:rPr>
        <w:t>fim</w:t>
      </w:r>
      <w:r w:rsidR="00642D88" w:rsidRPr="006C2113">
        <w:rPr>
          <w:rFonts w:ascii="Arial" w:hAnsi="Arial" w:cs="Arial"/>
          <w:sz w:val="24"/>
          <w:szCs w:val="24"/>
          <w:highlight w:val="yellow"/>
        </w:rPr>
        <w:t>)</w:t>
      </w:r>
    </w:p>
    <w:p w14:paraId="02CE1D60" w14:textId="77777777" w:rsidR="00D34772" w:rsidRDefault="00D34772" w:rsidP="00806227">
      <w:pPr>
        <w:tabs>
          <w:tab w:val="left" w:pos="851"/>
          <w:tab w:val="left" w:pos="8364"/>
          <w:tab w:val="left" w:pos="8789"/>
        </w:tabs>
        <w:spacing w:before="120" w:after="120" w:line="360" w:lineRule="auto"/>
        <w:jc w:val="both"/>
        <w:rPr>
          <w:rFonts w:ascii="Arial" w:hAnsi="Arial" w:cs="Arial"/>
          <w:sz w:val="24"/>
          <w:szCs w:val="24"/>
        </w:rPr>
      </w:pPr>
    </w:p>
    <w:p w14:paraId="38498E7E" w14:textId="5C01610D" w:rsidR="00072537" w:rsidRDefault="00876430"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lastRenderedPageBreak/>
        <w:tab/>
        <w:t>Apesar de</w:t>
      </w:r>
      <w:r w:rsidR="00320D89">
        <w:rPr>
          <w:rFonts w:ascii="Arial" w:hAnsi="Arial" w:cs="Arial"/>
          <w:sz w:val="24"/>
          <w:szCs w:val="24"/>
        </w:rPr>
        <w:t xml:space="preserve"> se revelar também em outros países,</w:t>
      </w:r>
      <w:r>
        <w:rPr>
          <w:rFonts w:ascii="Arial" w:hAnsi="Arial" w:cs="Arial"/>
          <w:sz w:val="24"/>
          <w:szCs w:val="24"/>
        </w:rPr>
        <w:t xml:space="preserve"> </w:t>
      </w:r>
      <w:r w:rsidR="000B5534">
        <w:rPr>
          <w:rFonts w:ascii="Arial" w:hAnsi="Arial" w:cs="Arial"/>
          <w:sz w:val="24"/>
          <w:szCs w:val="24"/>
        </w:rPr>
        <w:t>o</w:t>
      </w:r>
      <w:r w:rsidR="006C6F5F">
        <w:rPr>
          <w:rFonts w:ascii="Arial" w:hAnsi="Arial" w:cs="Arial"/>
          <w:sz w:val="24"/>
          <w:szCs w:val="24"/>
        </w:rPr>
        <w:t xml:space="preserve"> fenômeno de expansão da busca pelo Judiciário para a solução dos conflitos sociais </w:t>
      </w:r>
      <w:r w:rsidR="00320D89">
        <w:rPr>
          <w:rFonts w:ascii="Arial" w:hAnsi="Arial" w:cs="Arial"/>
          <w:sz w:val="24"/>
          <w:szCs w:val="24"/>
        </w:rPr>
        <w:t xml:space="preserve">e o consequente </w:t>
      </w:r>
      <w:r w:rsidR="004331C9">
        <w:rPr>
          <w:rFonts w:ascii="Arial" w:hAnsi="Arial" w:cs="Arial"/>
          <w:sz w:val="24"/>
          <w:szCs w:val="24"/>
        </w:rPr>
        <w:t>aumento de casos levados à aprec</w:t>
      </w:r>
      <w:r w:rsidR="00B916C9">
        <w:rPr>
          <w:rFonts w:ascii="Arial" w:hAnsi="Arial" w:cs="Arial"/>
          <w:sz w:val="24"/>
          <w:szCs w:val="24"/>
        </w:rPr>
        <w:t xml:space="preserve">iação das Supremas Cortes </w:t>
      </w:r>
      <w:r w:rsidR="00450859">
        <w:rPr>
          <w:rFonts w:ascii="Arial" w:hAnsi="Arial" w:cs="Arial"/>
          <w:sz w:val="24"/>
          <w:szCs w:val="24"/>
        </w:rPr>
        <w:t xml:space="preserve">parecem </w:t>
      </w:r>
      <w:r w:rsidR="004331C9">
        <w:rPr>
          <w:rFonts w:ascii="Arial" w:hAnsi="Arial" w:cs="Arial"/>
          <w:sz w:val="24"/>
          <w:szCs w:val="24"/>
        </w:rPr>
        <w:t>se manifestar com maior força no Brasil.</w:t>
      </w:r>
      <w:r w:rsidR="00F1733C">
        <w:rPr>
          <w:rFonts w:ascii="Arial" w:hAnsi="Arial" w:cs="Arial"/>
          <w:sz w:val="24"/>
          <w:szCs w:val="24"/>
        </w:rPr>
        <w:t xml:space="preserve"> Alguns fatores podem ser apontados para tanto: o primeiro decorre da maior concentração de c</w:t>
      </w:r>
      <w:r w:rsidR="00AA54E3">
        <w:rPr>
          <w:rFonts w:ascii="Arial" w:hAnsi="Arial" w:cs="Arial"/>
          <w:sz w:val="24"/>
          <w:szCs w:val="24"/>
        </w:rPr>
        <w:t>ompetências legislati</w:t>
      </w:r>
      <w:r w:rsidR="009076D2">
        <w:rPr>
          <w:rFonts w:ascii="Arial" w:hAnsi="Arial" w:cs="Arial"/>
          <w:sz w:val="24"/>
          <w:szCs w:val="24"/>
        </w:rPr>
        <w:t>vas pela</w:t>
      </w:r>
      <w:r w:rsidR="00F1733C">
        <w:rPr>
          <w:rFonts w:ascii="Arial" w:hAnsi="Arial" w:cs="Arial"/>
          <w:sz w:val="24"/>
          <w:szCs w:val="24"/>
        </w:rPr>
        <w:t xml:space="preserve"> União, conforme já abordado acima. Outro fator é a grande extensão de nosso texto constitucional, que se mostra extremamente analítico</w:t>
      </w:r>
      <w:r w:rsidR="000B5849">
        <w:rPr>
          <w:rFonts w:ascii="Arial" w:hAnsi="Arial" w:cs="Arial"/>
          <w:sz w:val="24"/>
          <w:szCs w:val="24"/>
        </w:rPr>
        <w:t xml:space="preserve"> e prolix</w:t>
      </w:r>
      <w:r w:rsidR="00F1733C">
        <w:rPr>
          <w:rFonts w:ascii="Arial" w:hAnsi="Arial" w:cs="Arial"/>
          <w:sz w:val="24"/>
          <w:szCs w:val="24"/>
        </w:rPr>
        <w:t xml:space="preserve">o, cuidando de </w:t>
      </w:r>
      <w:r w:rsidR="000B5849">
        <w:rPr>
          <w:rFonts w:ascii="Arial" w:hAnsi="Arial" w:cs="Arial"/>
          <w:sz w:val="24"/>
          <w:szCs w:val="24"/>
        </w:rPr>
        <w:t>detalhes que poderiam receber tratamento legislativo infraconstitucional.</w:t>
      </w:r>
      <w:r w:rsidR="00072537">
        <w:rPr>
          <w:rFonts w:ascii="Arial" w:hAnsi="Arial" w:cs="Arial"/>
          <w:sz w:val="24"/>
          <w:szCs w:val="24"/>
        </w:rPr>
        <w:t xml:space="preserve"> </w:t>
      </w:r>
    </w:p>
    <w:p w14:paraId="78EC4E77" w14:textId="22B5587E" w:rsidR="00640812" w:rsidRDefault="00072537"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t xml:space="preserve">Há, ainda, fatores culturais e institucionais relativos à alta </w:t>
      </w:r>
      <w:proofErr w:type="spellStart"/>
      <w:r>
        <w:rPr>
          <w:rFonts w:ascii="Arial" w:hAnsi="Arial" w:cs="Arial"/>
          <w:sz w:val="24"/>
          <w:szCs w:val="24"/>
        </w:rPr>
        <w:t>judicialização</w:t>
      </w:r>
      <w:proofErr w:type="spellEnd"/>
      <w:r>
        <w:rPr>
          <w:rFonts w:ascii="Arial" w:hAnsi="Arial" w:cs="Arial"/>
          <w:sz w:val="24"/>
          <w:szCs w:val="24"/>
        </w:rPr>
        <w:t xml:space="preserve"> de conflitos e da edição de legislações de emergência, como </w:t>
      </w:r>
      <w:r w:rsidRPr="00E84CB4">
        <w:rPr>
          <w:rFonts w:ascii="Arial" w:hAnsi="Arial" w:cs="Arial"/>
          <w:sz w:val="24"/>
          <w:szCs w:val="24"/>
        </w:rPr>
        <w:t>dispõe</w:t>
      </w:r>
      <w:r w:rsidR="00AF55DF">
        <w:rPr>
          <w:rFonts w:ascii="Arial" w:hAnsi="Arial" w:cs="Arial"/>
          <w:sz w:val="24"/>
          <w:szCs w:val="24"/>
        </w:rPr>
        <w:t xml:space="preserve"> José Rogério Cruz e Tucci</w:t>
      </w:r>
      <w:r w:rsidR="00640812">
        <w:rPr>
          <w:rFonts w:ascii="Arial" w:hAnsi="Arial" w:cs="Arial"/>
          <w:sz w:val="24"/>
          <w:szCs w:val="24"/>
        </w:rPr>
        <w:t>:</w:t>
      </w:r>
    </w:p>
    <w:p w14:paraId="6613D485" w14:textId="77777777" w:rsidR="00214E29" w:rsidRDefault="00214E29" w:rsidP="0076238B">
      <w:pPr>
        <w:tabs>
          <w:tab w:val="left" w:pos="851"/>
          <w:tab w:val="left" w:pos="8364"/>
          <w:tab w:val="left" w:pos="8789"/>
        </w:tabs>
        <w:spacing w:before="120" w:after="120" w:line="360" w:lineRule="auto"/>
        <w:ind w:left="2268"/>
        <w:jc w:val="both"/>
        <w:rPr>
          <w:rFonts w:ascii="Arial" w:hAnsi="Arial" w:cs="Arial"/>
          <w:sz w:val="20"/>
          <w:szCs w:val="20"/>
        </w:rPr>
      </w:pPr>
    </w:p>
    <w:p w14:paraId="1C8B2225" w14:textId="517BEB9F" w:rsidR="007F6D22" w:rsidRPr="00214E29" w:rsidRDefault="00214E29" w:rsidP="006C2113">
      <w:pPr>
        <w:tabs>
          <w:tab w:val="left" w:pos="851"/>
          <w:tab w:val="left" w:pos="8364"/>
          <w:tab w:val="left" w:pos="8789"/>
        </w:tabs>
        <w:spacing w:after="0" w:line="240" w:lineRule="auto"/>
        <w:ind w:left="2268" w:firstLine="284"/>
        <w:jc w:val="both"/>
        <w:rPr>
          <w:rFonts w:ascii="Arial" w:hAnsi="Arial" w:cs="Arial"/>
          <w:sz w:val="20"/>
          <w:szCs w:val="20"/>
        </w:rPr>
      </w:pPr>
      <w:r w:rsidRPr="00214E29">
        <w:rPr>
          <w:rFonts w:ascii="Arial" w:hAnsi="Arial" w:cs="Arial"/>
          <w:sz w:val="20"/>
          <w:szCs w:val="20"/>
        </w:rPr>
        <w:t xml:space="preserve">[...] </w:t>
      </w:r>
      <w:r w:rsidR="00072537" w:rsidRPr="00214E29">
        <w:rPr>
          <w:rFonts w:ascii="Arial" w:hAnsi="Arial" w:cs="Arial"/>
          <w:sz w:val="20"/>
          <w:szCs w:val="20"/>
        </w:rPr>
        <w:t>em nosso país, presume-se a solução de reiteradas e profundas crises econômicas mediante a edição de legislação intervencionista e emergencial de última hora – quase sempre em antinomia ao</w:t>
      </w:r>
      <w:r w:rsidR="00072537" w:rsidRPr="00214E29">
        <w:rPr>
          <w:rFonts w:ascii="Arial" w:hAnsi="Arial" w:cs="Arial"/>
          <w:i/>
          <w:sz w:val="20"/>
          <w:szCs w:val="20"/>
        </w:rPr>
        <w:t xml:space="preserve"> </w:t>
      </w:r>
      <w:proofErr w:type="spellStart"/>
      <w:r w:rsidR="00072537" w:rsidRPr="00214E29">
        <w:rPr>
          <w:rFonts w:ascii="Arial" w:hAnsi="Arial" w:cs="Arial"/>
          <w:i/>
          <w:sz w:val="20"/>
          <w:szCs w:val="20"/>
        </w:rPr>
        <w:t>ius</w:t>
      </w:r>
      <w:proofErr w:type="spellEnd"/>
      <w:r w:rsidR="00072537" w:rsidRPr="00214E29">
        <w:rPr>
          <w:rFonts w:ascii="Arial" w:hAnsi="Arial" w:cs="Arial"/>
          <w:i/>
          <w:sz w:val="20"/>
          <w:szCs w:val="20"/>
        </w:rPr>
        <w:t xml:space="preserve"> </w:t>
      </w:r>
      <w:proofErr w:type="spellStart"/>
      <w:r w:rsidR="00072537" w:rsidRPr="00214E29">
        <w:rPr>
          <w:rFonts w:ascii="Arial" w:hAnsi="Arial" w:cs="Arial"/>
          <w:i/>
          <w:sz w:val="20"/>
          <w:szCs w:val="20"/>
        </w:rPr>
        <w:t>positum</w:t>
      </w:r>
      <w:proofErr w:type="spellEnd"/>
      <w:r w:rsidR="00072537" w:rsidRPr="00214E29">
        <w:rPr>
          <w:rFonts w:ascii="Arial" w:hAnsi="Arial" w:cs="Arial"/>
          <w:sz w:val="20"/>
          <w:szCs w:val="20"/>
        </w:rPr>
        <w:t xml:space="preserve"> –, fator que, via de regra, gera uma proliferação generalizada de demandas entre particulares e entre estes e o Estado</w:t>
      </w:r>
      <w:r w:rsidR="00640812" w:rsidRPr="00214E29">
        <w:rPr>
          <w:rFonts w:ascii="Arial" w:hAnsi="Arial" w:cs="Arial"/>
          <w:sz w:val="20"/>
          <w:szCs w:val="20"/>
        </w:rPr>
        <w:t>.</w:t>
      </w:r>
      <w:r w:rsidR="00072537" w:rsidRPr="00214E29">
        <w:rPr>
          <w:rFonts w:ascii="Arial" w:hAnsi="Arial" w:cs="Arial"/>
          <w:sz w:val="20"/>
          <w:szCs w:val="20"/>
        </w:rPr>
        <w:t xml:space="preserve"> (CRUZ E TUCCI, 1997, p. 100/101</w:t>
      </w:r>
      <w:r w:rsidR="00C807F3" w:rsidRPr="00214E29">
        <w:rPr>
          <w:rFonts w:ascii="Arial" w:hAnsi="Arial" w:cs="Arial"/>
          <w:sz w:val="20"/>
          <w:szCs w:val="20"/>
        </w:rPr>
        <w:t>.)</w:t>
      </w:r>
    </w:p>
    <w:p w14:paraId="15A6A7F3" w14:textId="77777777" w:rsidR="005B7012" w:rsidRDefault="005B7012" w:rsidP="00806227">
      <w:pPr>
        <w:tabs>
          <w:tab w:val="left" w:pos="851"/>
          <w:tab w:val="left" w:pos="8364"/>
          <w:tab w:val="left" w:pos="8789"/>
        </w:tabs>
        <w:spacing w:before="120" w:after="120" w:line="360" w:lineRule="auto"/>
        <w:jc w:val="both"/>
        <w:rPr>
          <w:rFonts w:ascii="Arial" w:hAnsi="Arial" w:cs="Arial"/>
          <w:sz w:val="24"/>
          <w:szCs w:val="24"/>
        </w:rPr>
      </w:pPr>
    </w:p>
    <w:p w14:paraId="20A9A31C" w14:textId="0AF1AAB2" w:rsidR="00072537" w:rsidRDefault="00072537" w:rsidP="00806227">
      <w:pPr>
        <w:tabs>
          <w:tab w:val="left" w:pos="851"/>
          <w:tab w:val="left" w:pos="8364"/>
          <w:tab w:val="left" w:pos="8789"/>
        </w:tabs>
        <w:spacing w:before="120" w:after="120" w:line="360" w:lineRule="auto"/>
        <w:jc w:val="both"/>
        <w:rPr>
          <w:rFonts w:ascii="Arial" w:hAnsi="Arial" w:cs="Arial"/>
          <w:sz w:val="24"/>
          <w:szCs w:val="24"/>
        </w:rPr>
      </w:pPr>
      <w:r>
        <w:rPr>
          <w:rFonts w:ascii="Arial" w:hAnsi="Arial" w:cs="Arial"/>
          <w:sz w:val="24"/>
          <w:szCs w:val="24"/>
        </w:rPr>
        <w:tab/>
      </w:r>
      <w:r w:rsidR="00A51380">
        <w:rPr>
          <w:rFonts w:ascii="Arial" w:hAnsi="Arial" w:cs="Arial"/>
          <w:sz w:val="24"/>
          <w:szCs w:val="24"/>
        </w:rPr>
        <w:t xml:space="preserve">Em todo caso, em razão da constatação de tal problema, surgiram ao longo da história do recurso extraordinário brasileiro algumas tentativas de solução do excesso de processos submetidos rotineiramente à apreciação do STF. Inicialmente, surgiu o juízo diferido de admissibilidade do recurso extraordinário, pelo qual se realizava uma primeira análise </w:t>
      </w:r>
      <w:r w:rsidR="00214E29">
        <w:rPr>
          <w:rFonts w:ascii="Arial" w:hAnsi="Arial" w:cs="Arial"/>
          <w:sz w:val="24"/>
          <w:szCs w:val="24"/>
        </w:rPr>
        <w:t>pelo</w:t>
      </w:r>
      <w:r w:rsidR="00A51380">
        <w:rPr>
          <w:rFonts w:ascii="Arial" w:hAnsi="Arial" w:cs="Arial"/>
          <w:sz w:val="24"/>
          <w:szCs w:val="24"/>
        </w:rPr>
        <w:t xml:space="preserve"> </w:t>
      </w:r>
      <w:r w:rsidR="00B45688">
        <w:rPr>
          <w:rFonts w:ascii="Arial" w:hAnsi="Arial" w:cs="Arial"/>
          <w:sz w:val="24"/>
          <w:szCs w:val="24"/>
        </w:rPr>
        <w:t>tribunal</w:t>
      </w:r>
      <w:r w:rsidR="00A51380">
        <w:rPr>
          <w:rFonts w:ascii="Arial" w:hAnsi="Arial" w:cs="Arial"/>
          <w:sz w:val="24"/>
          <w:szCs w:val="24"/>
        </w:rPr>
        <w:t xml:space="preserve"> de origem antes que fosse o feito enviado ao STF.</w:t>
      </w:r>
      <w:r w:rsidR="00815371">
        <w:rPr>
          <w:rFonts w:ascii="Arial" w:hAnsi="Arial" w:cs="Arial"/>
          <w:sz w:val="24"/>
          <w:szCs w:val="24"/>
        </w:rPr>
        <w:t xml:space="preserve"> </w:t>
      </w:r>
      <w:r w:rsidR="002F4F75">
        <w:rPr>
          <w:rFonts w:ascii="Arial" w:hAnsi="Arial" w:cs="Arial"/>
          <w:sz w:val="24"/>
          <w:szCs w:val="24"/>
        </w:rPr>
        <w:t xml:space="preserve">Quanto a esse ponto, </w:t>
      </w:r>
      <w:r w:rsidR="00612076">
        <w:rPr>
          <w:rFonts w:ascii="Arial" w:hAnsi="Arial" w:cs="Arial"/>
          <w:sz w:val="24"/>
          <w:szCs w:val="24"/>
        </w:rPr>
        <w:t xml:space="preserve">aproveita-se para </w:t>
      </w:r>
      <w:r w:rsidR="002F4F75">
        <w:rPr>
          <w:rFonts w:ascii="Arial" w:hAnsi="Arial" w:cs="Arial"/>
          <w:sz w:val="24"/>
          <w:szCs w:val="24"/>
        </w:rPr>
        <w:t>destaca</w:t>
      </w:r>
      <w:r w:rsidR="00612076">
        <w:rPr>
          <w:rFonts w:ascii="Arial" w:hAnsi="Arial" w:cs="Arial"/>
          <w:sz w:val="24"/>
          <w:szCs w:val="24"/>
        </w:rPr>
        <w:t>r</w:t>
      </w:r>
      <w:r w:rsidR="002F4F75">
        <w:rPr>
          <w:rFonts w:ascii="Arial" w:hAnsi="Arial" w:cs="Arial"/>
          <w:sz w:val="24"/>
          <w:szCs w:val="24"/>
        </w:rPr>
        <w:t xml:space="preserve"> que a</w:t>
      </w:r>
      <w:r w:rsidR="002F4F75" w:rsidRPr="002F4F75">
        <w:rPr>
          <w:rFonts w:ascii="Arial" w:hAnsi="Arial" w:cs="Arial"/>
          <w:sz w:val="24"/>
          <w:szCs w:val="24"/>
        </w:rPr>
        <w:t xml:space="preserve"> redação original do CPC/2015 acabava com o juízo de admissibilidade diferido para o recurso especial e recurso extraordinário, de modo que</w:t>
      </w:r>
      <w:r w:rsidR="00612076">
        <w:rPr>
          <w:rFonts w:ascii="Arial" w:hAnsi="Arial" w:cs="Arial"/>
          <w:sz w:val="24"/>
          <w:szCs w:val="24"/>
        </w:rPr>
        <w:t>,</w:t>
      </w:r>
      <w:r w:rsidR="002F4F75" w:rsidRPr="002F4F75">
        <w:rPr>
          <w:rFonts w:ascii="Arial" w:hAnsi="Arial" w:cs="Arial"/>
          <w:sz w:val="24"/>
          <w:szCs w:val="24"/>
        </w:rPr>
        <w:t xml:space="preserve"> interpostos esses recursos</w:t>
      </w:r>
      <w:r w:rsidR="00612076">
        <w:rPr>
          <w:rFonts w:ascii="Arial" w:hAnsi="Arial" w:cs="Arial"/>
          <w:sz w:val="24"/>
          <w:szCs w:val="24"/>
        </w:rPr>
        <w:t>,</w:t>
      </w:r>
      <w:r w:rsidR="002F4F75" w:rsidRPr="002F4F75">
        <w:rPr>
          <w:rFonts w:ascii="Arial" w:hAnsi="Arial" w:cs="Arial"/>
          <w:sz w:val="24"/>
          <w:szCs w:val="24"/>
        </w:rPr>
        <w:t xml:space="preserve"> deviam ser os autos encaminhados ao Superior Tribunal de Justiça ou ao Supremo Tribunal Federal, conforme o caso. Entretanto, após forte reação em contrário dos </w:t>
      </w:r>
      <w:r w:rsidR="00BE4CFF">
        <w:rPr>
          <w:rFonts w:ascii="Arial" w:hAnsi="Arial" w:cs="Arial"/>
          <w:sz w:val="24"/>
          <w:szCs w:val="24"/>
        </w:rPr>
        <w:t>Tribunais S</w:t>
      </w:r>
      <w:r w:rsidR="00E127BE" w:rsidRPr="002F4F75">
        <w:rPr>
          <w:rFonts w:ascii="Arial" w:hAnsi="Arial" w:cs="Arial"/>
          <w:sz w:val="24"/>
          <w:szCs w:val="24"/>
        </w:rPr>
        <w:t>uperiores</w:t>
      </w:r>
      <w:r w:rsidR="002F4F75" w:rsidRPr="002F4F75">
        <w:rPr>
          <w:rFonts w:ascii="Arial" w:hAnsi="Arial" w:cs="Arial"/>
          <w:sz w:val="24"/>
          <w:szCs w:val="24"/>
        </w:rPr>
        <w:t>, que vi</w:t>
      </w:r>
      <w:r w:rsidR="00214E29">
        <w:rPr>
          <w:rFonts w:ascii="Arial" w:hAnsi="Arial" w:cs="Arial"/>
          <w:sz w:val="24"/>
          <w:szCs w:val="24"/>
        </w:rPr>
        <w:t>r</w:t>
      </w:r>
      <w:r w:rsidR="002F4F75" w:rsidRPr="002F4F75">
        <w:rPr>
          <w:rFonts w:ascii="Arial" w:hAnsi="Arial" w:cs="Arial"/>
          <w:sz w:val="24"/>
          <w:szCs w:val="24"/>
        </w:rPr>
        <w:t xml:space="preserve">am na alteração um aumento </w:t>
      </w:r>
      <w:r w:rsidR="006B66F1">
        <w:rPr>
          <w:rFonts w:ascii="Arial" w:hAnsi="Arial" w:cs="Arial"/>
          <w:sz w:val="24"/>
          <w:szCs w:val="24"/>
        </w:rPr>
        <w:t>de volume de trabalho, a L</w:t>
      </w:r>
      <w:r w:rsidR="002F4F75" w:rsidRPr="002F4F75">
        <w:rPr>
          <w:rFonts w:ascii="Arial" w:hAnsi="Arial" w:cs="Arial"/>
          <w:sz w:val="24"/>
          <w:szCs w:val="24"/>
        </w:rPr>
        <w:t xml:space="preserve">ei nº 13.256/2016 alterou o CPC/2015 antes mesmo que entrasse em vigor, restaurando a sistemática do duplo juízo de admissibilidade para tais recursos: um primeiro </w:t>
      </w:r>
      <w:r w:rsidR="00214E29">
        <w:rPr>
          <w:rFonts w:ascii="Arial" w:hAnsi="Arial" w:cs="Arial"/>
          <w:sz w:val="24"/>
          <w:szCs w:val="24"/>
        </w:rPr>
        <w:t>pelo</w:t>
      </w:r>
      <w:r w:rsidR="002F4F75" w:rsidRPr="002F4F75">
        <w:rPr>
          <w:rFonts w:ascii="Arial" w:hAnsi="Arial" w:cs="Arial"/>
          <w:sz w:val="24"/>
          <w:szCs w:val="24"/>
        </w:rPr>
        <w:t xml:space="preserve"> </w:t>
      </w:r>
      <w:r w:rsidR="00B45688">
        <w:rPr>
          <w:rFonts w:ascii="Arial" w:hAnsi="Arial" w:cs="Arial"/>
          <w:sz w:val="24"/>
          <w:szCs w:val="24"/>
        </w:rPr>
        <w:t>tribunal</w:t>
      </w:r>
      <w:r w:rsidR="002F4F75" w:rsidRPr="002F4F75">
        <w:rPr>
          <w:rFonts w:ascii="Arial" w:hAnsi="Arial" w:cs="Arial"/>
          <w:sz w:val="24"/>
          <w:szCs w:val="24"/>
        </w:rPr>
        <w:t xml:space="preserve"> </w:t>
      </w:r>
      <w:r w:rsidR="002F4F75" w:rsidRPr="00612076">
        <w:rPr>
          <w:rFonts w:ascii="Arial" w:hAnsi="Arial" w:cs="Arial"/>
          <w:i/>
          <w:sz w:val="24"/>
          <w:szCs w:val="24"/>
        </w:rPr>
        <w:t>a quo</w:t>
      </w:r>
      <w:r w:rsidR="002F4F75" w:rsidRPr="002F4F75">
        <w:rPr>
          <w:rFonts w:ascii="Arial" w:hAnsi="Arial" w:cs="Arial"/>
          <w:sz w:val="24"/>
          <w:szCs w:val="24"/>
        </w:rPr>
        <w:t xml:space="preserve"> e outro </w:t>
      </w:r>
      <w:r w:rsidR="00214E29">
        <w:rPr>
          <w:rFonts w:ascii="Arial" w:hAnsi="Arial" w:cs="Arial"/>
          <w:sz w:val="24"/>
          <w:szCs w:val="24"/>
        </w:rPr>
        <w:t>pelo</w:t>
      </w:r>
      <w:r w:rsidR="002F4F75" w:rsidRPr="002F4F75">
        <w:rPr>
          <w:rFonts w:ascii="Arial" w:hAnsi="Arial" w:cs="Arial"/>
          <w:sz w:val="24"/>
          <w:szCs w:val="24"/>
        </w:rPr>
        <w:t xml:space="preserve"> </w:t>
      </w:r>
      <w:r w:rsidR="00B45688">
        <w:rPr>
          <w:rFonts w:ascii="Arial" w:hAnsi="Arial" w:cs="Arial"/>
          <w:sz w:val="24"/>
          <w:szCs w:val="24"/>
        </w:rPr>
        <w:t>tribunal</w:t>
      </w:r>
      <w:r w:rsidR="002F4F75" w:rsidRPr="002F4F75">
        <w:rPr>
          <w:rFonts w:ascii="Arial" w:hAnsi="Arial" w:cs="Arial"/>
          <w:sz w:val="24"/>
          <w:szCs w:val="24"/>
        </w:rPr>
        <w:t xml:space="preserve"> </w:t>
      </w:r>
      <w:r w:rsidR="002F4F75" w:rsidRPr="00612076">
        <w:rPr>
          <w:rFonts w:ascii="Arial" w:hAnsi="Arial" w:cs="Arial"/>
          <w:i/>
          <w:sz w:val="24"/>
          <w:szCs w:val="24"/>
        </w:rPr>
        <w:t>ad quem</w:t>
      </w:r>
      <w:r w:rsidR="00612076">
        <w:rPr>
          <w:rFonts w:ascii="Arial" w:hAnsi="Arial" w:cs="Arial"/>
          <w:sz w:val="24"/>
          <w:szCs w:val="24"/>
        </w:rPr>
        <w:t>, ao qual destinado o recurso, nos termos</w:t>
      </w:r>
      <w:r w:rsidR="005B7012">
        <w:rPr>
          <w:rFonts w:ascii="Arial" w:hAnsi="Arial" w:cs="Arial"/>
          <w:sz w:val="24"/>
          <w:szCs w:val="24"/>
        </w:rPr>
        <w:t xml:space="preserve"> do</w:t>
      </w:r>
      <w:r w:rsidR="00612076">
        <w:rPr>
          <w:rFonts w:ascii="Arial" w:hAnsi="Arial" w:cs="Arial"/>
          <w:sz w:val="24"/>
          <w:szCs w:val="24"/>
        </w:rPr>
        <w:t xml:space="preserve"> art. 1.030 do CPC/2015.</w:t>
      </w:r>
    </w:p>
    <w:p w14:paraId="26E32F75" w14:textId="0DF1F24C" w:rsidR="00D34772" w:rsidRPr="001C2B05" w:rsidRDefault="00D34772" w:rsidP="00D34772">
      <w:pPr>
        <w:spacing w:line="360" w:lineRule="auto"/>
        <w:ind w:firstLine="708"/>
        <w:jc w:val="both"/>
        <w:rPr>
          <w:rFonts w:ascii="Arial" w:hAnsi="Arial" w:cs="Arial"/>
          <w:sz w:val="24"/>
          <w:szCs w:val="24"/>
        </w:rPr>
      </w:pPr>
      <w:r w:rsidRPr="00413C96">
        <w:rPr>
          <w:rFonts w:ascii="Arial" w:hAnsi="Arial" w:cs="Arial"/>
          <w:sz w:val="24"/>
          <w:szCs w:val="24"/>
        </w:rPr>
        <w:t xml:space="preserve">Outro mecanismo </w:t>
      </w:r>
      <w:r w:rsidR="00FB260F" w:rsidRPr="00413C96">
        <w:rPr>
          <w:rFonts w:ascii="Arial" w:hAnsi="Arial" w:cs="Arial"/>
          <w:sz w:val="24"/>
          <w:szCs w:val="24"/>
        </w:rPr>
        <w:t xml:space="preserve">concebido </w:t>
      </w:r>
      <w:r w:rsidRPr="00413C96">
        <w:rPr>
          <w:rFonts w:ascii="Arial" w:hAnsi="Arial" w:cs="Arial"/>
          <w:sz w:val="24"/>
          <w:szCs w:val="24"/>
        </w:rPr>
        <w:t xml:space="preserve">nesse mesmo intuito </w:t>
      </w:r>
      <w:r w:rsidR="00FB260F" w:rsidRPr="00413C96">
        <w:rPr>
          <w:rFonts w:ascii="Arial" w:hAnsi="Arial" w:cs="Arial"/>
          <w:sz w:val="24"/>
          <w:szCs w:val="24"/>
        </w:rPr>
        <w:t>correspondeu à</w:t>
      </w:r>
      <w:r w:rsidRPr="00413C96">
        <w:rPr>
          <w:rFonts w:ascii="Arial" w:hAnsi="Arial" w:cs="Arial"/>
          <w:sz w:val="24"/>
          <w:szCs w:val="24"/>
        </w:rPr>
        <w:t xml:space="preserve"> instituição da </w:t>
      </w:r>
      <w:r w:rsidR="00C62A50" w:rsidRPr="00413C96">
        <w:rPr>
          <w:rFonts w:ascii="Arial" w:hAnsi="Arial" w:cs="Arial"/>
          <w:sz w:val="24"/>
          <w:szCs w:val="24"/>
        </w:rPr>
        <w:t>S</w:t>
      </w:r>
      <w:r w:rsidRPr="00413C96">
        <w:rPr>
          <w:rFonts w:ascii="Arial" w:hAnsi="Arial" w:cs="Arial"/>
          <w:sz w:val="24"/>
          <w:szCs w:val="24"/>
        </w:rPr>
        <w:t xml:space="preserve">úmula da </w:t>
      </w:r>
      <w:r w:rsidR="00C62A50" w:rsidRPr="00413C96">
        <w:rPr>
          <w:rFonts w:ascii="Arial" w:hAnsi="Arial" w:cs="Arial"/>
          <w:sz w:val="24"/>
          <w:szCs w:val="24"/>
        </w:rPr>
        <w:t>J</w:t>
      </w:r>
      <w:r w:rsidRPr="00413C96">
        <w:rPr>
          <w:rFonts w:ascii="Arial" w:hAnsi="Arial" w:cs="Arial"/>
          <w:sz w:val="24"/>
          <w:szCs w:val="24"/>
        </w:rPr>
        <w:t xml:space="preserve">urisprudência </w:t>
      </w:r>
      <w:r w:rsidR="00C62A50" w:rsidRPr="00413C96">
        <w:rPr>
          <w:rFonts w:ascii="Arial" w:hAnsi="Arial" w:cs="Arial"/>
          <w:sz w:val="24"/>
          <w:szCs w:val="24"/>
        </w:rPr>
        <w:t>Predominante</w:t>
      </w:r>
      <w:r w:rsidRPr="00413C96">
        <w:rPr>
          <w:rFonts w:ascii="Arial" w:hAnsi="Arial" w:cs="Arial"/>
          <w:sz w:val="24"/>
          <w:szCs w:val="24"/>
        </w:rPr>
        <w:t xml:space="preserve">, </w:t>
      </w:r>
      <w:r w:rsidR="00214E29" w:rsidRPr="00413C96">
        <w:rPr>
          <w:rFonts w:ascii="Arial" w:hAnsi="Arial" w:cs="Arial"/>
          <w:sz w:val="24"/>
          <w:szCs w:val="24"/>
        </w:rPr>
        <w:t xml:space="preserve">introduzida </w:t>
      </w:r>
      <w:r w:rsidRPr="00413C96">
        <w:rPr>
          <w:rFonts w:ascii="Arial" w:hAnsi="Arial" w:cs="Arial"/>
          <w:sz w:val="24"/>
          <w:szCs w:val="24"/>
        </w:rPr>
        <w:t xml:space="preserve">pela Emenda Regimental nº 30/1963 ao Regimento Interno de 1940, cuja criação se atribui ao </w:t>
      </w:r>
      <w:commentRangeStart w:id="5"/>
      <w:r w:rsidR="007144E1" w:rsidRPr="00413C96">
        <w:rPr>
          <w:rFonts w:ascii="Arial" w:hAnsi="Arial" w:cs="Arial"/>
          <w:sz w:val="24"/>
          <w:szCs w:val="24"/>
        </w:rPr>
        <w:fldChar w:fldCharType="begin"/>
      </w:r>
      <w:r w:rsidR="007144E1" w:rsidRPr="00413C96">
        <w:rPr>
          <w:rFonts w:ascii="Arial" w:hAnsi="Arial" w:cs="Arial"/>
          <w:sz w:val="24"/>
          <w:szCs w:val="24"/>
        </w:rPr>
        <w:instrText xml:space="preserve"> HYPERLINK "http://www.stf.jus.br/portal/ministro/verMinistro.asp?periodo=stf&amp;id=108" </w:instrText>
      </w:r>
      <w:r w:rsidR="007144E1" w:rsidRPr="00413C96">
        <w:rPr>
          <w:rFonts w:ascii="Arial" w:hAnsi="Arial" w:cs="Arial"/>
          <w:sz w:val="24"/>
          <w:szCs w:val="24"/>
        </w:rPr>
        <w:fldChar w:fldCharType="separate"/>
      </w:r>
      <w:r w:rsidRPr="00413C96">
        <w:rPr>
          <w:rStyle w:val="Hyperlink"/>
          <w:rFonts w:ascii="Arial" w:hAnsi="Arial" w:cs="Arial"/>
          <w:sz w:val="24"/>
          <w:szCs w:val="24"/>
        </w:rPr>
        <w:t>Ministro Victor Nunes Leal</w:t>
      </w:r>
      <w:r w:rsidR="007144E1" w:rsidRPr="00413C96">
        <w:rPr>
          <w:rFonts w:ascii="Arial" w:hAnsi="Arial" w:cs="Arial"/>
          <w:sz w:val="24"/>
          <w:szCs w:val="24"/>
        </w:rPr>
        <w:fldChar w:fldCharType="end"/>
      </w:r>
      <w:r w:rsidRPr="00413C96">
        <w:rPr>
          <w:rFonts w:ascii="Arial" w:hAnsi="Arial" w:cs="Arial"/>
          <w:sz w:val="24"/>
          <w:szCs w:val="24"/>
        </w:rPr>
        <w:t xml:space="preserve">. </w:t>
      </w:r>
      <w:commentRangeEnd w:id="5"/>
      <w:r w:rsidR="007144E1" w:rsidRPr="00413C96">
        <w:rPr>
          <w:rStyle w:val="Refdecomentrio"/>
        </w:rPr>
        <w:commentReference w:id="5"/>
      </w:r>
      <w:r w:rsidRPr="00413C96">
        <w:rPr>
          <w:rFonts w:ascii="Arial" w:hAnsi="Arial" w:cs="Arial"/>
          <w:sz w:val="24"/>
          <w:szCs w:val="24"/>
        </w:rPr>
        <w:t>Sua</w:t>
      </w:r>
      <w:r w:rsidRPr="001C2B05">
        <w:rPr>
          <w:rFonts w:ascii="Arial" w:hAnsi="Arial" w:cs="Arial"/>
          <w:sz w:val="24"/>
          <w:szCs w:val="24"/>
        </w:rPr>
        <w:t xml:space="preserve"> </w:t>
      </w:r>
      <w:r w:rsidRPr="001C2B05">
        <w:rPr>
          <w:rFonts w:ascii="Arial" w:hAnsi="Arial" w:cs="Arial"/>
          <w:sz w:val="24"/>
          <w:szCs w:val="24"/>
        </w:rPr>
        <w:lastRenderedPageBreak/>
        <w:t>ideia inicial era</w:t>
      </w:r>
      <w:r w:rsidR="00214E29">
        <w:rPr>
          <w:rFonts w:ascii="Arial" w:hAnsi="Arial" w:cs="Arial"/>
          <w:sz w:val="24"/>
          <w:szCs w:val="24"/>
        </w:rPr>
        <w:t xml:space="preserve"> a de</w:t>
      </w:r>
      <w:r w:rsidRPr="001C2B05">
        <w:rPr>
          <w:rFonts w:ascii="Arial" w:hAnsi="Arial" w:cs="Arial"/>
          <w:sz w:val="24"/>
          <w:szCs w:val="24"/>
        </w:rPr>
        <w:t xml:space="preserve"> vincular o próprio STF a seguir seus próprios julgados, de modo a dinamizar os julgamentos e manter a coerência e a segurança jurídicas. Os enunciados contidos na referida </w:t>
      </w:r>
      <w:r w:rsidR="00413C96">
        <w:rPr>
          <w:rFonts w:ascii="Arial" w:hAnsi="Arial" w:cs="Arial"/>
          <w:sz w:val="24"/>
          <w:szCs w:val="24"/>
        </w:rPr>
        <w:t>S</w:t>
      </w:r>
      <w:r w:rsidRPr="001C2B05">
        <w:rPr>
          <w:rFonts w:ascii="Arial" w:hAnsi="Arial" w:cs="Arial"/>
          <w:sz w:val="24"/>
          <w:szCs w:val="24"/>
        </w:rPr>
        <w:t xml:space="preserve">úmula funcionavam, também, como elemento persuasivo – mas naquela época não vinculativo – </w:t>
      </w:r>
      <w:r w:rsidR="00FB260F">
        <w:rPr>
          <w:rFonts w:ascii="Arial" w:hAnsi="Arial" w:cs="Arial"/>
          <w:sz w:val="24"/>
          <w:szCs w:val="24"/>
        </w:rPr>
        <w:t>aos</w:t>
      </w:r>
      <w:r w:rsidR="00FB260F" w:rsidRPr="001C2B05">
        <w:rPr>
          <w:rFonts w:ascii="Arial" w:hAnsi="Arial" w:cs="Arial"/>
          <w:sz w:val="24"/>
          <w:szCs w:val="24"/>
        </w:rPr>
        <w:t xml:space="preserve"> </w:t>
      </w:r>
      <w:r w:rsidR="00E127BE">
        <w:rPr>
          <w:rFonts w:ascii="Arial" w:hAnsi="Arial" w:cs="Arial"/>
          <w:sz w:val="24"/>
          <w:szCs w:val="24"/>
        </w:rPr>
        <w:t>tribunais</w:t>
      </w:r>
      <w:r w:rsidRPr="001C2B05">
        <w:rPr>
          <w:rFonts w:ascii="Arial" w:hAnsi="Arial" w:cs="Arial"/>
          <w:sz w:val="24"/>
          <w:szCs w:val="24"/>
        </w:rPr>
        <w:t xml:space="preserve"> de instâncias inferiores.</w:t>
      </w:r>
    </w:p>
    <w:p w14:paraId="74A05D83" w14:textId="5E3E6D83" w:rsidR="00D34772" w:rsidRPr="001C2B05" w:rsidRDefault="00D34772" w:rsidP="00D34772">
      <w:pPr>
        <w:spacing w:line="360" w:lineRule="auto"/>
        <w:ind w:firstLine="708"/>
        <w:jc w:val="both"/>
        <w:rPr>
          <w:rFonts w:ascii="Arial" w:hAnsi="Arial" w:cs="Arial"/>
          <w:sz w:val="24"/>
          <w:szCs w:val="24"/>
        </w:rPr>
      </w:pPr>
      <w:r w:rsidRPr="001C2B05">
        <w:rPr>
          <w:rFonts w:ascii="Arial" w:hAnsi="Arial" w:cs="Arial"/>
          <w:sz w:val="24"/>
          <w:szCs w:val="24"/>
        </w:rPr>
        <w:t xml:space="preserve">A indicada </w:t>
      </w:r>
      <w:hyperlink r:id="rId13" w:history="1">
        <w:r w:rsidR="00316188">
          <w:rPr>
            <w:rStyle w:val="Hyperlink"/>
            <w:rFonts w:ascii="Arial" w:hAnsi="Arial" w:cs="Arial"/>
            <w:sz w:val="24"/>
            <w:szCs w:val="24"/>
          </w:rPr>
          <w:t>e</w:t>
        </w:r>
        <w:r w:rsidRPr="00C61249">
          <w:rPr>
            <w:rStyle w:val="Hyperlink"/>
            <w:rFonts w:ascii="Arial" w:hAnsi="Arial" w:cs="Arial"/>
            <w:sz w:val="24"/>
            <w:szCs w:val="24"/>
          </w:rPr>
          <w:t>menda regimental</w:t>
        </w:r>
      </w:hyperlink>
      <w:r w:rsidR="00DA4C38">
        <w:rPr>
          <w:rFonts w:ascii="Arial" w:hAnsi="Arial" w:cs="Arial"/>
          <w:sz w:val="24"/>
          <w:szCs w:val="24"/>
        </w:rPr>
        <w:t>,</w:t>
      </w:r>
      <w:r w:rsidR="00CC5281">
        <w:rPr>
          <w:rFonts w:ascii="Arial" w:hAnsi="Arial" w:cs="Arial"/>
          <w:sz w:val="24"/>
          <w:szCs w:val="24"/>
        </w:rPr>
        <w:t xml:space="preserve"> </w:t>
      </w:r>
      <w:r w:rsidRPr="001C2B05">
        <w:rPr>
          <w:rFonts w:ascii="Arial" w:hAnsi="Arial" w:cs="Arial"/>
          <w:sz w:val="24"/>
          <w:szCs w:val="24"/>
        </w:rPr>
        <w:t xml:space="preserve">entre outras disposições, criava no STF a Comissão de Jurisprudência, entre cujas competências se incluía a de “velar pela publicação e atualização da </w:t>
      </w:r>
      <w:r w:rsidRPr="001C2B05">
        <w:rPr>
          <w:rFonts w:ascii="Arial" w:hAnsi="Arial" w:cs="Arial"/>
          <w:i/>
          <w:sz w:val="24"/>
          <w:szCs w:val="24"/>
        </w:rPr>
        <w:t>Súmula d</w:t>
      </w:r>
      <w:r w:rsidR="00BF7CB9">
        <w:rPr>
          <w:rFonts w:ascii="Arial" w:hAnsi="Arial" w:cs="Arial"/>
          <w:i/>
          <w:sz w:val="24"/>
          <w:szCs w:val="24"/>
        </w:rPr>
        <w:t>a Jurisprudência Predominante do</w:t>
      </w:r>
      <w:r w:rsidRPr="001C2B05">
        <w:rPr>
          <w:rFonts w:ascii="Arial" w:hAnsi="Arial" w:cs="Arial"/>
          <w:i/>
          <w:sz w:val="24"/>
          <w:szCs w:val="24"/>
        </w:rPr>
        <w:t xml:space="preserve"> Supremo Tribunal Federal</w:t>
      </w:r>
      <w:r w:rsidRPr="001C2B05">
        <w:rPr>
          <w:rFonts w:ascii="Arial" w:hAnsi="Arial" w:cs="Arial"/>
          <w:sz w:val="24"/>
          <w:szCs w:val="24"/>
        </w:rPr>
        <w:t>”. Previa-se, desde então, a inscrição na Súmula de Jurisprudência</w:t>
      </w:r>
      <w:r w:rsidR="00460D15">
        <w:rPr>
          <w:rFonts w:ascii="Arial" w:hAnsi="Arial" w:cs="Arial"/>
          <w:sz w:val="24"/>
          <w:szCs w:val="24"/>
        </w:rPr>
        <w:t xml:space="preserve"> d</w:t>
      </w:r>
      <w:r w:rsidR="00CB5C19">
        <w:rPr>
          <w:rFonts w:ascii="Arial" w:hAnsi="Arial" w:cs="Arial"/>
          <w:sz w:val="24"/>
          <w:szCs w:val="24"/>
        </w:rPr>
        <w:t>e</w:t>
      </w:r>
      <w:r w:rsidRPr="001C2B05">
        <w:rPr>
          <w:rFonts w:ascii="Arial" w:hAnsi="Arial" w:cs="Arial"/>
          <w:sz w:val="24"/>
          <w:szCs w:val="24"/>
        </w:rPr>
        <w:t xml:space="preserve"> enunciados que correspondessem a “decisões do Tribunal, por maioria qualifica</w:t>
      </w:r>
      <w:r w:rsidR="007C3A7B">
        <w:rPr>
          <w:rFonts w:ascii="Arial" w:hAnsi="Arial" w:cs="Arial"/>
          <w:sz w:val="24"/>
          <w:szCs w:val="24"/>
        </w:rPr>
        <w:t>da</w:t>
      </w:r>
      <w:r w:rsidRPr="001C2B05">
        <w:rPr>
          <w:rFonts w:ascii="Arial" w:hAnsi="Arial" w:cs="Arial"/>
          <w:sz w:val="24"/>
          <w:szCs w:val="24"/>
        </w:rPr>
        <w:t xml:space="preserve"> que tenham concluído pela constitucionalidade ou inconstitucionalidade de lei ou ato do poder público” e “jurisprudência que o Tribunal tenha por predominante e firme embora com votos vencidos”. A norma estipulava, também, aspectos procedimentais para a criação, modificação ou mesmo cancelamento de enunciados da Súmula, bem como sua comunicação a diversas autoridades da República e aos </w:t>
      </w:r>
      <w:r w:rsidR="00E127BE" w:rsidRPr="001C2B05">
        <w:rPr>
          <w:rFonts w:ascii="Arial" w:hAnsi="Arial" w:cs="Arial"/>
          <w:sz w:val="24"/>
          <w:szCs w:val="24"/>
        </w:rPr>
        <w:t>presidentes de outros tribunais</w:t>
      </w:r>
      <w:r w:rsidRPr="001C2B05">
        <w:rPr>
          <w:rFonts w:ascii="Arial" w:hAnsi="Arial" w:cs="Arial"/>
          <w:sz w:val="24"/>
          <w:szCs w:val="24"/>
        </w:rPr>
        <w:t>.</w:t>
      </w:r>
    </w:p>
    <w:p w14:paraId="76DE33F6" w14:textId="6B9CCE86" w:rsidR="00413C96" w:rsidRDefault="00413C96" w:rsidP="00D34772">
      <w:pPr>
        <w:spacing w:line="360" w:lineRule="auto"/>
        <w:ind w:firstLine="708"/>
        <w:jc w:val="both"/>
        <w:rPr>
          <w:rFonts w:ascii="Arial" w:hAnsi="Arial" w:cs="Arial"/>
          <w:sz w:val="24"/>
          <w:szCs w:val="24"/>
        </w:rPr>
      </w:pPr>
      <w:r w:rsidRPr="00420046">
        <w:rPr>
          <w:rFonts w:ascii="Arial" w:hAnsi="Arial" w:cs="Arial"/>
          <w:sz w:val="24"/>
          <w:szCs w:val="24"/>
        </w:rPr>
        <w:t>N</w:t>
      </w:r>
      <w:r w:rsidRPr="006C2113">
        <w:rPr>
          <w:rFonts w:ascii="Arial" w:hAnsi="Arial" w:cs="Arial"/>
          <w:sz w:val="24"/>
          <w:szCs w:val="24"/>
        </w:rPr>
        <w:t xml:space="preserve">o estudo dessa onda de criação de institutos jurídicos que </w:t>
      </w:r>
      <w:r w:rsidRPr="00420046">
        <w:rPr>
          <w:rFonts w:ascii="Arial" w:hAnsi="Arial" w:cs="Arial"/>
          <w:sz w:val="24"/>
          <w:szCs w:val="24"/>
        </w:rPr>
        <w:t>procuraram</w:t>
      </w:r>
      <w:r w:rsidRPr="006C2113">
        <w:rPr>
          <w:rFonts w:ascii="Arial" w:hAnsi="Arial" w:cs="Arial"/>
          <w:sz w:val="24"/>
          <w:szCs w:val="24"/>
        </w:rPr>
        <w:t xml:space="preserve"> solucionar a </w:t>
      </w:r>
      <w:r w:rsidRPr="006C2113">
        <w:rPr>
          <w:rFonts w:ascii="Arial" w:hAnsi="Arial" w:cs="Arial"/>
          <w:i/>
          <w:sz w:val="24"/>
          <w:szCs w:val="24"/>
        </w:rPr>
        <w:t>crise do recurso extraordinário</w:t>
      </w:r>
      <w:r w:rsidRPr="006C2113">
        <w:rPr>
          <w:rFonts w:ascii="Arial" w:hAnsi="Arial" w:cs="Arial"/>
          <w:sz w:val="24"/>
          <w:szCs w:val="24"/>
        </w:rPr>
        <w:t xml:space="preserve">, </w:t>
      </w:r>
      <w:r w:rsidRPr="00420046">
        <w:rPr>
          <w:rFonts w:ascii="Arial" w:hAnsi="Arial" w:cs="Arial"/>
          <w:sz w:val="24"/>
          <w:szCs w:val="24"/>
        </w:rPr>
        <w:t xml:space="preserve">interessa salientar que </w:t>
      </w:r>
      <w:r w:rsidRPr="006C2113">
        <w:rPr>
          <w:rFonts w:ascii="Arial" w:hAnsi="Arial" w:cs="Arial"/>
          <w:sz w:val="24"/>
          <w:szCs w:val="24"/>
        </w:rPr>
        <w:t xml:space="preserve">a referida alteração do Regimento Interno do STF </w:t>
      </w:r>
      <w:r w:rsidR="00420046">
        <w:rPr>
          <w:rFonts w:ascii="Arial" w:hAnsi="Arial" w:cs="Arial"/>
          <w:sz w:val="24"/>
          <w:szCs w:val="24"/>
        </w:rPr>
        <w:t>assentou</w:t>
      </w:r>
      <w:r w:rsidRPr="006C2113">
        <w:rPr>
          <w:rFonts w:ascii="Arial" w:hAnsi="Arial" w:cs="Arial"/>
          <w:sz w:val="24"/>
          <w:szCs w:val="24"/>
        </w:rPr>
        <w:t xml:space="preserve"> dispositivo segundo o qual se previa que, “quando o pedido do recorrente contrariar a jurisprudência compendiada na Súmula”, seria possível:</w:t>
      </w:r>
    </w:p>
    <w:p w14:paraId="5AE05783" w14:textId="77777777" w:rsidR="00420046" w:rsidRPr="0076238B" w:rsidRDefault="00420046" w:rsidP="00420046">
      <w:pPr>
        <w:pStyle w:val="PargrafodaLista"/>
        <w:numPr>
          <w:ilvl w:val="0"/>
          <w:numId w:val="5"/>
        </w:numPr>
        <w:spacing w:line="360" w:lineRule="auto"/>
        <w:jc w:val="both"/>
        <w:rPr>
          <w:rFonts w:ascii="Arial" w:hAnsi="Arial" w:cs="Arial"/>
          <w:sz w:val="24"/>
          <w:szCs w:val="24"/>
        </w:rPr>
      </w:pPr>
      <w:proofErr w:type="gramStart"/>
      <w:r w:rsidRPr="0076238B">
        <w:rPr>
          <w:rFonts w:ascii="Arial" w:hAnsi="Arial" w:cs="Arial"/>
          <w:sz w:val="24"/>
          <w:szCs w:val="24"/>
        </w:rPr>
        <w:t>negar</w:t>
      </w:r>
      <w:proofErr w:type="gramEnd"/>
      <w:r w:rsidRPr="0076238B">
        <w:rPr>
          <w:rFonts w:ascii="Arial" w:hAnsi="Arial" w:cs="Arial"/>
          <w:sz w:val="24"/>
          <w:szCs w:val="24"/>
        </w:rPr>
        <w:t xml:space="preserve"> “provimento ao agravo para subida de recurso extraordinário”; </w:t>
      </w:r>
    </w:p>
    <w:p w14:paraId="6B8A2A0F" w14:textId="77777777" w:rsidR="00420046" w:rsidRDefault="00420046" w:rsidP="00420046">
      <w:pPr>
        <w:pStyle w:val="PargrafodaLista"/>
        <w:numPr>
          <w:ilvl w:val="0"/>
          <w:numId w:val="5"/>
        </w:numPr>
        <w:spacing w:line="360" w:lineRule="auto"/>
        <w:jc w:val="both"/>
        <w:rPr>
          <w:rFonts w:ascii="Arial" w:hAnsi="Arial" w:cs="Arial"/>
          <w:sz w:val="24"/>
          <w:szCs w:val="24"/>
        </w:rPr>
      </w:pPr>
      <w:proofErr w:type="gramStart"/>
      <w:r w:rsidRPr="0076238B">
        <w:rPr>
          <w:rFonts w:ascii="Arial" w:hAnsi="Arial" w:cs="Arial"/>
          <w:sz w:val="24"/>
          <w:szCs w:val="24"/>
        </w:rPr>
        <w:t>não</w:t>
      </w:r>
      <w:proofErr w:type="gramEnd"/>
      <w:r w:rsidRPr="0076238B">
        <w:rPr>
          <w:rFonts w:ascii="Arial" w:hAnsi="Arial" w:cs="Arial"/>
          <w:sz w:val="24"/>
          <w:szCs w:val="24"/>
        </w:rPr>
        <w:t xml:space="preserve"> conhecer do recurso extraordinário; </w:t>
      </w:r>
    </w:p>
    <w:p w14:paraId="2E7C69C0" w14:textId="79ABE1E3" w:rsidR="00420046" w:rsidRDefault="00420046" w:rsidP="00420046">
      <w:pPr>
        <w:pStyle w:val="PargrafodaLista"/>
        <w:numPr>
          <w:ilvl w:val="0"/>
          <w:numId w:val="5"/>
        </w:numPr>
        <w:spacing w:line="360" w:lineRule="auto"/>
        <w:jc w:val="both"/>
        <w:rPr>
          <w:rFonts w:ascii="Arial" w:hAnsi="Arial" w:cs="Arial"/>
          <w:sz w:val="24"/>
          <w:szCs w:val="24"/>
        </w:rPr>
      </w:pPr>
      <w:proofErr w:type="gramStart"/>
      <w:r w:rsidRPr="0076238B">
        <w:rPr>
          <w:rFonts w:ascii="Arial" w:hAnsi="Arial" w:cs="Arial"/>
          <w:sz w:val="24"/>
          <w:szCs w:val="24"/>
        </w:rPr>
        <w:t>não</w:t>
      </w:r>
      <w:proofErr w:type="gramEnd"/>
      <w:r w:rsidRPr="0076238B">
        <w:rPr>
          <w:rFonts w:ascii="Arial" w:hAnsi="Arial" w:cs="Arial"/>
          <w:sz w:val="24"/>
          <w:szCs w:val="24"/>
        </w:rPr>
        <w:t xml:space="preserve"> conhecer de embargos de divergência e </w:t>
      </w:r>
      <w:r>
        <w:rPr>
          <w:rFonts w:ascii="Arial" w:hAnsi="Arial" w:cs="Arial"/>
          <w:sz w:val="24"/>
          <w:szCs w:val="24"/>
        </w:rPr>
        <w:t>rejeitar</w:t>
      </w:r>
      <w:r w:rsidRPr="0076238B">
        <w:rPr>
          <w:rFonts w:ascii="Arial" w:hAnsi="Arial" w:cs="Arial"/>
          <w:sz w:val="24"/>
          <w:szCs w:val="24"/>
        </w:rPr>
        <w:t xml:space="preserve"> embargos infringentes; e </w:t>
      </w:r>
    </w:p>
    <w:p w14:paraId="75F1BE97" w14:textId="5205C15E" w:rsidR="00420046" w:rsidRDefault="00420046" w:rsidP="00420046">
      <w:pPr>
        <w:pStyle w:val="PargrafodaLista"/>
        <w:numPr>
          <w:ilvl w:val="0"/>
          <w:numId w:val="5"/>
        </w:numPr>
        <w:spacing w:line="360" w:lineRule="auto"/>
        <w:jc w:val="both"/>
        <w:rPr>
          <w:rFonts w:ascii="Arial" w:hAnsi="Arial" w:cs="Arial"/>
          <w:sz w:val="24"/>
          <w:szCs w:val="24"/>
        </w:rPr>
      </w:pPr>
      <w:proofErr w:type="gramStart"/>
      <w:r>
        <w:rPr>
          <w:rFonts w:ascii="Arial" w:hAnsi="Arial" w:cs="Arial"/>
          <w:sz w:val="24"/>
          <w:szCs w:val="24"/>
        </w:rPr>
        <w:t>arquivar</w:t>
      </w:r>
      <w:proofErr w:type="gramEnd"/>
      <w:r>
        <w:rPr>
          <w:rFonts w:ascii="Arial" w:hAnsi="Arial" w:cs="Arial"/>
          <w:sz w:val="24"/>
          <w:szCs w:val="24"/>
        </w:rPr>
        <w:t xml:space="preserve"> o </w:t>
      </w:r>
      <w:r w:rsidRPr="0076238B">
        <w:rPr>
          <w:rFonts w:ascii="Arial" w:hAnsi="Arial" w:cs="Arial"/>
          <w:sz w:val="24"/>
          <w:szCs w:val="24"/>
        </w:rPr>
        <w:t xml:space="preserve">recurso extraordinário por decisão do relator. </w:t>
      </w:r>
    </w:p>
    <w:p w14:paraId="21C74CB9" w14:textId="15E9104C" w:rsidR="00D34772" w:rsidRPr="0076238B" w:rsidRDefault="00D34772" w:rsidP="007C3A7B">
      <w:pPr>
        <w:spacing w:line="360" w:lineRule="auto"/>
        <w:ind w:firstLine="708"/>
        <w:jc w:val="both"/>
        <w:rPr>
          <w:rFonts w:ascii="Arial" w:hAnsi="Arial" w:cs="Arial"/>
          <w:sz w:val="24"/>
          <w:szCs w:val="24"/>
        </w:rPr>
      </w:pPr>
      <w:r w:rsidRPr="0076238B">
        <w:rPr>
          <w:rFonts w:ascii="Arial" w:hAnsi="Arial" w:cs="Arial"/>
          <w:sz w:val="24"/>
          <w:szCs w:val="24"/>
        </w:rPr>
        <w:t xml:space="preserve">Nos casos em que o processo submetido à análise do </w:t>
      </w:r>
      <w:r w:rsidR="00B45688">
        <w:rPr>
          <w:rFonts w:ascii="Arial" w:hAnsi="Arial" w:cs="Arial"/>
          <w:sz w:val="24"/>
          <w:szCs w:val="24"/>
        </w:rPr>
        <w:t>tribunal</w:t>
      </w:r>
      <w:r w:rsidRPr="0076238B">
        <w:rPr>
          <w:rFonts w:ascii="Arial" w:hAnsi="Arial" w:cs="Arial"/>
          <w:sz w:val="24"/>
          <w:szCs w:val="24"/>
        </w:rPr>
        <w:t xml:space="preserve"> dissesse respeito a questão jurídica que já recebia tratamento por enunciado contido na Súmula de Jurisprudência, dispensava-se até mesmo a oitiva do Procurador-Geral da República, com vistas ao julgamento mais célere da causa e à redução do número de recursos submetidos à análise do STF de então.</w:t>
      </w:r>
    </w:p>
    <w:p w14:paraId="75D72813" w14:textId="77777777" w:rsidR="00D34772" w:rsidRPr="001C2B05" w:rsidRDefault="00D34772" w:rsidP="00D34772">
      <w:pPr>
        <w:spacing w:line="360" w:lineRule="auto"/>
        <w:ind w:firstLine="708"/>
        <w:jc w:val="both"/>
        <w:rPr>
          <w:rFonts w:ascii="Arial" w:hAnsi="Arial" w:cs="Arial"/>
          <w:sz w:val="24"/>
          <w:szCs w:val="24"/>
        </w:rPr>
      </w:pPr>
      <w:r w:rsidRPr="001C2B05">
        <w:rPr>
          <w:rFonts w:ascii="Arial" w:hAnsi="Arial" w:cs="Arial"/>
          <w:sz w:val="24"/>
          <w:szCs w:val="24"/>
        </w:rPr>
        <w:t xml:space="preserve">Entretanto, foi sob a vigência da Constituição de 1967 que se proliferou a criação de óbices à admissibilidade e ao reconhecimento do recurso extraordinário. Isso porque aquele texto constitucional conferia ao STF verdadeira competência legislativa para, em seu Regimento Interno, dispor sobre “o processo e o julgamento dos feitos de sua </w:t>
      </w:r>
      <w:r w:rsidRPr="001C2B05">
        <w:rPr>
          <w:rFonts w:ascii="Arial" w:hAnsi="Arial" w:cs="Arial"/>
          <w:sz w:val="24"/>
          <w:szCs w:val="24"/>
        </w:rPr>
        <w:lastRenderedPageBreak/>
        <w:t>competência originária ou de recurso”. A propósito, destaca-se o art. 115 daquela Constituição:</w:t>
      </w:r>
    </w:p>
    <w:p w14:paraId="5A295D0F" w14:textId="2923006A"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Art</w:t>
      </w:r>
      <w:r w:rsidR="003672BB">
        <w:rPr>
          <w:rFonts w:ascii="Arial" w:hAnsi="Arial" w:cs="Arial"/>
          <w:sz w:val="20"/>
          <w:szCs w:val="20"/>
        </w:rPr>
        <w:t>.</w:t>
      </w:r>
      <w:r w:rsidRPr="001C2B05">
        <w:rPr>
          <w:rFonts w:ascii="Arial" w:hAnsi="Arial" w:cs="Arial"/>
          <w:sz w:val="20"/>
          <w:szCs w:val="20"/>
        </w:rPr>
        <w:t xml:space="preserve"> 115</w:t>
      </w:r>
      <w:r w:rsidR="003C7373">
        <w:rPr>
          <w:rFonts w:ascii="Arial" w:hAnsi="Arial" w:cs="Arial"/>
          <w:sz w:val="20"/>
          <w:szCs w:val="20"/>
        </w:rPr>
        <w:t>.</w:t>
      </w:r>
      <w:r w:rsidRPr="001C2B05">
        <w:rPr>
          <w:rFonts w:ascii="Arial" w:hAnsi="Arial" w:cs="Arial"/>
          <w:sz w:val="20"/>
          <w:szCs w:val="20"/>
        </w:rPr>
        <w:t xml:space="preserve"> O Supremo </w:t>
      </w:r>
      <w:r w:rsidR="00B45688">
        <w:rPr>
          <w:rFonts w:ascii="Arial" w:hAnsi="Arial" w:cs="Arial"/>
          <w:sz w:val="20"/>
          <w:szCs w:val="20"/>
        </w:rPr>
        <w:t>tribunal</w:t>
      </w:r>
      <w:r w:rsidRPr="001C2B05">
        <w:rPr>
          <w:rFonts w:ascii="Arial" w:hAnsi="Arial" w:cs="Arial"/>
          <w:sz w:val="20"/>
          <w:szCs w:val="20"/>
        </w:rPr>
        <w:t xml:space="preserve"> Federa</w:t>
      </w:r>
      <w:r w:rsidR="003C7373">
        <w:rPr>
          <w:rFonts w:ascii="Arial" w:hAnsi="Arial" w:cs="Arial"/>
          <w:sz w:val="20"/>
          <w:szCs w:val="20"/>
        </w:rPr>
        <w:t>l</w:t>
      </w:r>
      <w:r w:rsidRPr="001C2B05">
        <w:rPr>
          <w:rFonts w:ascii="Arial" w:hAnsi="Arial" w:cs="Arial"/>
          <w:sz w:val="20"/>
          <w:szCs w:val="20"/>
        </w:rPr>
        <w:t xml:space="preserve"> funcionará em Plenário ou dividido em Turmas.</w:t>
      </w:r>
    </w:p>
    <w:p w14:paraId="7FE3E189" w14:textId="749DC504"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Parágrafo único</w:t>
      </w:r>
      <w:r w:rsidR="003C7373">
        <w:rPr>
          <w:rFonts w:ascii="Arial" w:hAnsi="Arial" w:cs="Arial"/>
          <w:sz w:val="20"/>
          <w:szCs w:val="20"/>
        </w:rPr>
        <w:t>.</w:t>
      </w:r>
      <w:r w:rsidRPr="001C2B05">
        <w:rPr>
          <w:rFonts w:ascii="Arial" w:hAnsi="Arial" w:cs="Arial"/>
          <w:sz w:val="20"/>
          <w:szCs w:val="20"/>
        </w:rPr>
        <w:t xml:space="preserve"> O Regimento Interno estabelecerá:</w:t>
      </w:r>
    </w:p>
    <w:p w14:paraId="645043D9"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 xml:space="preserve">a) a competência do plenário além dos casos previstos no art. 114, n.º I, letras a, b, e, d, i, j e </w:t>
      </w:r>
      <w:proofErr w:type="gramStart"/>
      <w:r w:rsidRPr="001C2B05">
        <w:rPr>
          <w:rFonts w:ascii="Arial" w:hAnsi="Arial" w:cs="Arial"/>
          <w:sz w:val="20"/>
          <w:szCs w:val="20"/>
        </w:rPr>
        <w:t>l ,</w:t>
      </w:r>
      <w:proofErr w:type="gramEnd"/>
      <w:r w:rsidRPr="001C2B05">
        <w:rPr>
          <w:rFonts w:ascii="Arial" w:hAnsi="Arial" w:cs="Arial"/>
          <w:sz w:val="20"/>
          <w:szCs w:val="20"/>
        </w:rPr>
        <w:t xml:space="preserve"> que lhe são privativos;</w:t>
      </w:r>
    </w:p>
    <w:p w14:paraId="7647B811"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b) a composição e a competência das Turmas;</w:t>
      </w:r>
    </w:p>
    <w:p w14:paraId="386D5505"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c) o processo e o julgamento dos feitos de sua competência originária ou de recurso;</w:t>
      </w:r>
    </w:p>
    <w:p w14:paraId="55636992" w14:textId="77777777" w:rsidR="00D34772"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 xml:space="preserve">d) a competência de seu Presidente para conceder </w:t>
      </w:r>
      <w:proofErr w:type="spellStart"/>
      <w:r w:rsidRPr="00F96C0E">
        <w:rPr>
          <w:rFonts w:ascii="Arial" w:hAnsi="Arial" w:cs="Arial"/>
          <w:i/>
          <w:sz w:val="20"/>
          <w:szCs w:val="20"/>
        </w:rPr>
        <w:t>exequatur</w:t>
      </w:r>
      <w:proofErr w:type="spellEnd"/>
      <w:r w:rsidRPr="001C2B05">
        <w:rPr>
          <w:rFonts w:ascii="Arial" w:hAnsi="Arial" w:cs="Arial"/>
          <w:sz w:val="20"/>
          <w:szCs w:val="20"/>
        </w:rPr>
        <w:t xml:space="preserve"> a cartas rogatórias de Tribunais estrangeiros.</w:t>
      </w:r>
    </w:p>
    <w:p w14:paraId="61D5EE30" w14:textId="77777777" w:rsidR="00451278" w:rsidRPr="001C2B05" w:rsidRDefault="00451278" w:rsidP="00B35426">
      <w:pPr>
        <w:tabs>
          <w:tab w:val="left" w:pos="851"/>
          <w:tab w:val="left" w:pos="1985"/>
        </w:tabs>
        <w:spacing w:after="0" w:line="360" w:lineRule="auto"/>
        <w:ind w:left="1701" w:firstLine="284"/>
        <w:jc w:val="both"/>
        <w:rPr>
          <w:rFonts w:ascii="Arial" w:hAnsi="Arial" w:cs="Arial"/>
          <w:sz w:val="20"/>
          <w:szCs w:val="20"/>
        </w:rPr>
      </w:pPr>
    </w:p>
    <w:p w14:paraId="671F93B5" w14:textId="0F50545C" w:rsidR="00D34772" w:rsidRPr="001C2B05" w:rsidRDefault="00D34772" w:rsidP="00D34772">
      <w:pPr>
        <w:spacing w:line="360" w:lineRule="auto"/>
        <w:ind w:firstLine="708"/>
        <w:jc w:val="both"/>
        <w:rPr>
          <w:rFonts w:ascii="Arial" w:hAnsi="Arial" w:cs="Arial"/>
          <w:sz w:val="24"/>
          <w:szCs w:val="24"/>
        </w:rPr>
      </w:pPr>
      <w:r w:rsidRPr="001C2B05">
        <w:rPr>
          <w:rFonts w:ascii="Arial" w:hAnsi="Arial" w:cs="Arial"/>
          <w:sz w:val="24"/>
          <w:szCs w:val="24"/>
        </w:rPr>
        <w:t xml:space="preserve">Foi sob a égide de tal texto constitucional e com base nesse fundamento que se editou, em relação ao Regimento Interno de 1970, a </w:t>
      </w:r>
      <w:hyperlink r:id="rId14" w:history="1">
        <w:r w:rsidRPr="00C61249">
          <w:rPr>
            <w:rStyle w:val="Hyperlink"/>
            <w:rFonts w:ascii="Arial" w:hAnsi="Arial" w:cs="Arial"/>
            <w:sz w:val="24"/>
            <w:szCs w:val="24"/>
          </w:rPr>
          <w:t>Emenda Regimental nº 3/1975</w:t>
        </w:r>
      </w:hyperlink>
      <w:r w:rsidRPr="001C2B05">
        <w:rPr>
          <w:rFonts w:ascii="Arial" w:hAnsi="Arial" w:cs="Arial"/>
          <w:sz w:val="24"/>
          <w:szCs w:val="24"/>
        </w:rPr>
        <w:t xml:space="preserve"> </w:t>
      </w:r>
      <w:r w:rsidR="00A23B55">
        <w:rPr>
          <w:rFonts w:ascii="Arial" w:hAnsi="Arial" w:cs="Arial"/>
          <w:sz w:val="24"/>
          <w:szCs w:val="24"/>
        </w:rPr>
        <w:t>(</w:t>
      </w:r>
      <w:r w:rsidR="002E0C0D">
        <w:rPr>
          <w:rFonts w:ascii="Arial" w:hAnsi="Arial" w:cs="Arial"/>
          <w:sz w:val="24"/>
          <w:szCs w:val="24"/>
        </w:rPr>
        <w:t>&lt;</w:t>
      </w:r>
      <w:hyperlink r:id="rId15" w:history="1">
        <w:r w:rsidR="004C2E6B" w:rsidRPr="00EA62DB">
          <w:rPr>
            <w:rStyle w:val="Hyperlink"/>
            <w:rFonts w:ascii="Arial" w:hAnsi="Arial" w:cs="Arial"/>
            <w:sz w:val="24"/>
            <w:szCs w:val="24"/>
          </w:rPr>
          <w:t>http://www.stf.jus.br/portal/cms/verTexto.asp?servico=bibliotecaConsultaProdutoBibliotecaRI&amp;pagina=1970</w:t>
        </w:r>
      </w:hyperlink>
      <w:r w:rsidR="002E0C0D">
        <w:rPr>
          <w:rFonts w:ascii="Arial" w:hAnsi="Arial" w:cs="Arial"/>
          <w:sz w:val="24"/>
          <w:szCs w:val="24"/>
        </w:rPr>
        <w:t>&gt;)</w:t>
      </w:r>
      <w:r w:rsidR="00713F33">
        <w:rPr>
          <w:rFonts w:ascii="Arial" w:hAnsi="Arial" w:cs="Arial"/>
          <w:sz w:val="24"/>
          <w:szCs w:val="24"/>
        </w:rPr>
        <w:t>,</w:t>
      </w:r>
      <w:r w:rsidR="002E0C0D">
        <w:rPr>
          <w:rFonts w:ascii="Arial" w:hAnsi="Arial" w:cs="Arial"/>
          <w:sz w:val="24"/>
          <w:szCs w:val="24"/>
        </w:rPr>
        <w:t xml:space="preserve"> </w:t>
      </w:r>
      <w:r w:rsidRPr="001C2B05">
        <w:rPr>
          <w:rFonts w:ascii="Arial" w:hAnsi="Arial" w:cs="Arial"/>
          <w:sz w:val="24"/>
          <w:szCs w:val="24"/>
        </w:rPr>
        <w:t xml:space="preserve">pela qual se criou um importante óbice antecessor da repercussão geral: a </w:t>
      </w:r>
      <w:r w:rsidRPr="001C2B05">
        <w:rPr>
          <w:rFonts w:ascii="Arial" w:hAnsi="Arial" w:cs="Arial"/>
          <w:b/>
          <w:sz w:val="24"/>
          <w:szCs w:val="24"/>
        </w:rPr>
        <w:t>arguição de relevância</w:t>
      </w:r>
      <w:r w:rsidRPr="001C2B05">
        <w:rPr>
          <w:rFonts w:ascii="Arial" w:hAnsi="Arial" w:cs="Arial"/>
          <w:sz w:val="24"/>
          <w:szCs w:val="24"/>
        </w:rPr>
        <w:t xml:space="preserve">, requisito expresso no art. 308 do Regimento de então e que revelava a necessidade de que a questão suscitada no recurso extraordinário tivesse </w:t>
      </w:r>
      <w:r w:rsidRPr="001C2B05">
        <w:rPr>
          <w:rFonts w:ascii="Arial" w:hAnsi="Arial" w:cs="Arial"/>
          <w:i/>
          <w:sz w:val="24"/>
          <w:szCs w:val="24"/>
        </w:rPr>
        <w:t>relevância</w:t>
      </w:r>
      <w:r w:rsidRPr="001C2B05">
        <w:rPr>
          <w:rFonts w:ascii="Arial" w:hAnsi="Arial" w:cs="Arial"/>
          <w:sz w:val="24"/>
          <w:szCs w:val="24"/>
        </w:rPr>
        <w:t>. O dispositivo era assim redigido:</w:t>
      </w:r>
    </w:p>
    <w:p w14:paraId="417272A7"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Art. 308. Salvo nos casos de ofensa à Constituição ou relevância da questão federal, não caberá recurso extraordinário, a que alude o seu artigo 119, parágrafo único, das decisões proferidas:</w:t>
      </w:r>
    </w:p>
    <w:p w14:paraId="5EA539B9"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I. nos processos por crime ou contravenção a que não sejam cominadas penas de multa, prisão simples ou detenção, isoladas, alternadas ou acumuladas, bem como as medidas de segurança com eles relacionadas;</w:t>
      </w:r>
    </w:p>
    <w:p w14:paraId="03A44BDF"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II. nos habeas corpus, quando não trancarem a ação penal, não lhe impedirem a instauração ou a renovação, nem declararem a extinção da punibilidade;</w:t>
      </w:r>
    </w:p>
    <w:p w14:paraId="50FF5F6F"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III. nos mandados de segurança, quando não julgarem o mérito;</w:t>
      </w:r>
    </w:p>
    <w:p w14:paraId="6FFD12B8"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IV. nos litígios decorrentes:</w:t>
      </w:r>
    </w:p>
    <w:p w14:paraId="5AC3FE2D"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a) de acidente do trabalho;</w:t>
      </w:r>
    </w:p>
    <w:p w14:paraId="2BFADC64"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b) das relações de trabalho mencionadas no artigo 110 da Constituição;</w:t>
      </w:r>
    </w:p>
    <w:p w14:paraId="51E5AC36"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c) da previdência social;</w:t>
      </w:r>
    </w:p>
    <w:p w14:paraId="730C832F"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d) da relação estatutária de serviço público, quando não for discutido o direito à constituição ou subsistência da própria relação jurídica fundamental;</w:t>
      </w:r>
    </w:p>
    <w:p w14:paraId="42118DAC"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V. nas ações possessórias, nas de consignação em pagamento, nas relativas à locação, nos procedimentos sumaríssimos e nos processos cautelares;</w:t>
      </w:r>
    </w:p>
    <w:p w14:paraId="3674D308"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VI. nas execuções por título judicial;</w:t>
      </w:r>
    </w:p>
    <w:p w14:paraId="3AD0A1B0" w14:textId="77777777" w:rsidR="00D34772" w:rsidRPr="001C2B05"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lastRenderedPageBreak/>
        <w:t>VII. sobre extinção do processo, sem julgamento do mérito, quando não obstarem a que o autor intente de novo a ação;</w:t>
      </w:r>
    </w:p>
    <w:p w14:paraId="70D7B739" w14:textId="02CC29D9" w:rsidR="00D34772" w:rsidRDefault="00D34772" w:rsidP="00A9613F">
      <w:pPr>
        <w:tabs>
          <w:tab w:val="left" w:pos="851"/>
          <w:tab w:val="left" w:pos="1985"/>
        </w:tabs>
        <w:spacing w:after="0" w:line="360" w:lineRule="auto"/>
        <w:ind w:left="2268" w:firstLine="284"/>
        <w:jc w:val="both"/>
        <w:rPr>
          <w:rFonts w:ascii="Arial" w:hAnsi="Arial" w:cs="Arial"/>
          <w:sz w:val="20"/>
          <w:szCs w:val="20"/>
        </w:rPr>
      </w:pPr>
      <w:r w:rsidRPr="001C2B05">
        <w:rPr>
          <w:rFonts w:ascii="Arial" w:hAnsi="Arial" w:cs="Arial"/>
          <w:sz w:val="20"/>
          <w:szCs w:val="20"/>
        </w:rPr>
        <w:t xml:space="preserve">VIII. nas causas cujo valor, declarado na petição inicial, ainda que para efeitos fiscais, ou determinado pelo juiz, se aquele for inexato ou desobediente aos critérios legais, não exceda de 100 vezes o maior salário-mínimo vigente no País, na data do seu ajuizamento, quando uniformes as decisões das instâncias ordinárias; e de 50, quando entre elas tenha havido divergência, ou se trate de ação sujeita </w:t>
      </w:r>
      <w:r>
        <w:rPr>
          <w:rFonts w:ascii="Arial" w:hAnsi="Arial" w:cs="Arial"/>
          <w:sz w:val="20"/>
          <w:szCs w:val="20"/>
        </w:rPr>
        <w:t>à instância única</w:t>
      </w:r>
      <w:r w:rsidR="00713F33">
        <w:rPr>
          <w:rFonts w:ascii="Arial" w:hAnsi="Arial" w:cs="Arial"/>
          <w:sz w:val="20"/>
          <w:szCs w:val="20"/>
        </w:rPr>
        <w:t>.</w:t>
      </w:r>
    </w:p>
    <w:p w14:paraId="1E9D0131" w14:textId="77777777" w:rsidR="00451278" w:rsidRPr="001C2B05" w:rsidRDefault="00451278" w:rsidP="00B35426">
      <w:pPr>
        <w:tabs>
          <w:tab w:val="left" w:pos="851"/>
          <w:tab w:val="left" w:pos="1985"/>
        </w:tabs>
        <w:spacing w:after="0" w:line="360" w:lineRule="auto"/>
        <w:ind w:left="1701" w:firstLine="284"/>
        <w:jc w:val="both"/>
        <w:rPr>
          <w:rFonts w:ascii="Arial" w:hAnsi="Arial" w:cs="Arial"/>
          <w:sz w:val="20"/>
          <w:szCs w:val="20"/>
        </w:rPr>
      </w:pPr>
    </w:p>
    <w:p w14:paraId="08437578" w14:textId="2A11430B" w:rsidR="00D34772" w:rsidRDefault="00D34772" w:rsidP="00D34772">
      <w:pPr>
        <w:spacing w:line="360" w:lineRule="auto"/>
        <w:ind w:firstLine="708"/>
        <w:jc w:val="both"/>
        <w:rPr>
          <w:rFonts w:ascii="Arial" w:hAnsi="Arial" w:cs="Arial"/>
          <w:sz w:val="24"/>
          <w:szCs w:val="24"/>
        </w:rPr>
      </w:pPr>
      <w:r w:rsidRPr="001C2B05">
        <w:rPr>
          <w:rFonts w:ascii="Arial" w:hAnsi="Arial" w:cs="Arial"/>
          <w:sz w:val="24"/>
          <w:szCs w:val="24"/>
        </w:rPr>
        <w:t xml:space="preserve">Cumpre lembrar que nessa época o escopo do recurso extraordinário era mais largo e alcançava também o que hoje é abrangido pelo recurso especial, cujo julgamento compete ao Superior </w:t>
      </w:r>
      <w:r w:rsidR="00BE4CFF">
        <w:rPr>
          <w:rFonts w:ascii="Arial" w:hAnsi="Arial" w:cs="Arial"/>
          <w:sz w:val="24"/>
          <w:szCs w:val="24"/>
        </w:rPr>
        <w:t>T</w:t>
      </w:r>
      <w:r w:rsidR="00B45688">
        <w:rPr>
          <w:rFonts w:ascii="Arial" w:hAnsi="Arial" w:cs="Arial"/>
          <w:sz w:val="24"/>
          <w:szCs w:val="24"/>
        </w:rPr>
        <w:t>ribunal</w:t>
      </w:r>
      <w:r w:rsidRPr="001C2B05">
        <w:rPr>
          <w:rFonts w:ascii="Arial" w:hAnsi="Arial" w:cs="Arial"/>
          <w:sz w:val="24"/>
          <w:szCs w:val="24"/>
        </w:rPr>
        <w:t xml:space="preserve"> de Justiça. Mas destaca-se, aqui, a criação da arguição de relevância, necessária ao cabimento do recurso extraordinário de então, instituto que representa importante antecedente da repercussão geral e sobre o qual daremos atenção mais profunda e específica </w:t>
      </w:r>
      <w:r w:rsidR="00713F33">
        <w:rPr>
          <w:rFonts w:ascii="Arial" w:hAnsi="Arial" w:cs="Arial"/>
          <w:sz w:val="24"/>
          <w:szCs w:val="24"/>
        </w:rPr>
        <w:t xml:space="preserve">em </w:t>
      </w:r>
      <w:r w:rsidR="00A51583">
        <w:rPr>
          <w:rFonts w:ascii="Arial" w:hAnsi="Arial" w:cs="Arial"/>
          <w:sz w:val="24"/>
          <w:szCs w:val="24"/>
        </w:rPr>
        <w:t>momento apropriado do nosso c</w:t>
      </w:r>
      <w:r w:rsidRPr="001C2B05">
        <w:rPr>
          <w:rFonts w:ascii="Arial" w:hAnsi="Arial" w:cs="Arial"/>
          <w:sz w:val="24"/>
          <w:szCs w:val="24"/>
        </w:rPr>
        <w:t>urso.</w:t>
      </w:r>
    </w:p>
    <w:p w14:paraId="1EFE26B5" w14:textId="4248D391"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t xml:space="preserve">Como já aludimos, no modelo vigente até 1988, quando promulgada nossa atual Constituição, o STF concentrava as competências de guarda do texto constitucional e também da legislação infraconstitucional. Consideradas as características da formação da federação brasileira, de suas peculiaridades centralizadoras e da grande extensão da competência legislativa atribuída à União, a tarefa de manter </w:t>
      </w:r>
      <w:r w:rsidR="00604A9A">
        <w:rPr>
          <w:rFonts w:ascii="Arial" w:hAnsi="Arial" w:cs="Arial"/>
          <w:sz w:val="24"/>
          <w:szCs w:val="24"/>
        </w:rPr>
        <w:t xml:space="preserve">a uniformidade na aplicação do </w:t>
      </w:r>
      <w:r w:rsidR="00B45688">
        <w:rPr>
          <w:rFonts w:ascii="Arial" w:hAnsi="Arial" w:cs="Arial"/>
          <w:sz w:val="24"/>
          <w:szCs w:val="24"/>
        </w:rPr>
        <w:t>direito</w:t>
      </w:r>
      <w:r>
        <w:rPr>
          <w:rFonts w:ascii="Arial" w:hAnsi="Arial" w:cs="Arial"/>
          <w:sz w:val="24"/>
          <w:szCs w:val="24"/>
        </w:rPr>
        <w:t xml:space="preserve"> federal revelava-se bastante árdua, principalmente quando concentrada em um Tribunal que também desempenhava as funções de Corte Constitucional.</w:t>
      </w:r>
    </w:p>
    <w:p w14:paraId="171FA461" w14:textId="77777777" w:rsidR="00A9613F" w:rsidRDefault="00D34772" w:rsidP="00D34772">
      <w:pPr>
        <w:spacing w:line="360" w:lineRule="auto"/>
        <w:ind w:firstLine="708"/>
        <w:jc w:val="both"/>
        <w:rPr>
          <w:rFonts w:ascii="Arial" w:hAnsi="Arial" w:cs="Arial"/>
          <w:sz w:val="24"/>
          <w:szCs w:val="24"/>
        </w:rPr>
      </w:pPr>
      <w:r>
        <w:rPr>
          <w:rFonts w:ascii="Arial" w:hAnsi="Arial" w:cs="Arial"/>
          <w:sz w:val="24"/>
          <w:szCs w:val="24"/>
        </w:rPr>
        <w:t xml:space="preserve"> Nesse cenário, após as tentativas anteriores não terem logrado êxito, começavam a surgir propostas mais estruturais, que propunham a reorganização do Poder Judiciário e a redistribuição das competências entre seus órgãos. Já na década de 1960, José Afonso da Silva, por exemplo, apresentava uma proposta estruturada em três níveis: </w:t>
      </w:r>
    </w:p>
    <w:p w14:paraId="45467BFB" w14:textId="77777777" w:rsidR="00713F33" w:rsidRDefault="00713F33" w:rsidP="00D34772">
      <w:pPr>
        <w:spacing w:line="360" w:lineRule="auto"/>
        <w:ind w:firstLine="708"/>
        <w:jc w:val="both"/>
        <w:rPr>
          <w:rFonts w:ascii="Arial" w:hAnsi="Arial" w:cs="Arial"/>
          <w:sz w:val="24"/>
          <w:szCs w:val="24"/>
        </w:rPr>
      </w:pPr>
    </w:p>
    <w:p w14:paraId="33F1E0AD" w14:textId="77777777" w:rsidR="00A9613F" w:rsidRPr="00713F33" w:rsidRDefault="00D34772" w:rsidP="006C2113">
      <w:pPr>
        <w:pStyle w:val="PargrafodaLista"/>
        <w:numPr>
          <w:ilvl w:val="0"/>
          <w:numId w:val="6"/>
        </w:numPr>
        <w:tabs>
          <w:tab w:val="left" w:pos="2552"/>
        </w:tabs>
        <w:spacing w:after="0" w:line="240" w:lineRule="auto"/>
        <w:ind w:left="2268" w:firstLine="284"/>
        <w:jc w:val="both"/>
        <w:rPr>
          <w:rFonts w:ascii="Arial" w:hAnsi="Arial" w:cs="Arial"/>
          <w:sz w:val="20"/>
          <w:szCs w:val="20"/>
        </w:rPr>
      </w:pPr>
      <w:proofErr w:type="gramStart"/>
      <w:r w:rsidRPr="00713F33">
        <w:rPr>
          <w:rFonts w:ascii="Arial" w:hAnsi="Arial" w:cs="Arial"/>
          <w:sz w:val="20"/>
          <w:szCs w:val="20"/>
        </w:rPr>
        <w:t>o</w:t>
      </w:r>
      <w:proofErr w:type="gramEnd"/>
      <w:r w:rsidRPr="00713F33">
        <w:rPr>
          <w:rFonts w:ascii="Arial" w:hAnsi="Arial" w:cs="Arial"/>
          <w:sz w:val="20"/>
          <w:szCs w:val="20"/>
        </w:rPr>
        <w:t xml:space="preserve"> plano dos direitos e interesses subjetivos, que, sob esse aspecto, e no processo ficará restrito ao sistema judiciário que conheceu da lide; </w:t>
      </w:r>
    </w:p>
    <w:p w14:paraId="6145129B" w14:textId="77777777" w:rsidR="00A9613F" w:rsidRPr="00713F33" w:rsidRDefault="00D34772" w:rsidP="006C2113">
      <w:pPr>
        <w:pStyle w:val="PargrafodaLista"/>
        <w:numPr>
          <w:ilvl w:val="0"/>
          <w:numId w:val="6"/>
        </w:numPr>
        <w:tabs>
          <w:tab w:val="left" w:pos="2552"/>
        </w:tabs>
        <w:spacing w:after="0" w:line="240" w:lineRule="auto"/>
        <w:ind w:left="2268" w:firstLine="284"/>
        <w:jc w:val="both"/>
        <w:rPr>
          <w:rFonts w:ascii="Arial" w:hAnsi="Arial" w:cs="Arial"/>
          <w:sz w:val="20"/>
          <w:szCs w:val="20"/>
        </w:rPr>
      </w:pPr>
      <w:proofErr w:type="gramStart"/>
      <w:r w:rsidRPr="00713F33">
        <w:rPr>
          <w:rFonts w:ascii="Arial" w:hAnsi="Arial" w:cs="Arial"/>
          <w:sz w:val="20"/>
          <w:szCs w:val="20"/>
        </w:rPr>
        <w:t>o</w:t>
      </w:r>
      <w:proofErr w:type="gramEnd"/>
      <w:r w:rsidRPr="00713F33">
        <w:rPr>
          <w:rFonts w:ascii="Arial" w:hAnsi="Arial" w:cs="Arial"/>
          <w:sz w:val="20"/>
          <w:szCs w:val="20"/>
        </w:rPr>
        <w:t xml:space="preserve"> plano da inteireza, autoridade e unidade do Direito objetivo federal, para cuja sustentação se dará um instituto, que levará o processo judicial para além do sistema judiciário, ou seja, até o órgão de cúpula da estrutura judiciária correspondente, mas daí não passará; </w:t>
      </w:r>
    </w:p>
    <w:p w14:paraId="31E7A245" w14:textId="0E2978F0" w:rsidR="00D34772" w:rsidRPr="006C2113" w:rsidRDefault="00D34772" w:rsidP="006C2113">
      <w:pPr>
        <w:pStyle w:val="PargrafodaLista"/>
        <w:numPr>
          <w:ilvl w:val="0"/>
          <w:numId w:val="6"/>
        </w:numPr>
        <w:tabs>
          <w:tab w:val="left" w:pos="2552"/>
        </w:tabs>
        <w:spacing w:after="0" w:line="240" w:lineRule="auto"/>
        <w:ind w:left="2268" w:firstLine="284"/>
        <w:jc w:val="both"/>
        <w:rPr>
          <w:rFonts w:ascii="Arial" w:hAnsi="Arial" w:cs="Arial"/>
          <w:sz w:val="20"/>
          <w:szCs w:val="20"/>
        </w:rPr>
      </w:pPr>
      <w:proofErr w:type="gramStart"/>
      <w:r w:rsidRPr="00713F33">
        <w:rPr>
          <w:rFonts w:ascii="Arial" w:hAnsi="Arial" w:cs="Arial"/>
          <w:sz w:val="20"/>
          <w:szCs w:val="20"/>
        </w:rPr>
        <w:t>o</w:t>
      </w:r>
      <w:proofErr w:type="gramEnd"/>
      <w:r w:rsidRPr="00713F33">
        <w:rPr>
          <w:rFonts w:ascii="Arial" w:hAnsi="Arial" w:cs="Arial"/>
          <w:sz w:val="20"/>
          <w:szCs w:val="20"/>
        </w:rPr>
        <w:t xml:space="preserve"> plano da supremacia e das garantias constitucionais, para cuja efetivação haverá um instituto recursal, que carregará o processo para além da estrutura judiciária nacional, vale dizer, até o Supremo Tribunal Federal</w:t>
      </w:r>
      <w:r w:rsidR="00A9613F" w:rsidRPr="00713F33">
        <w:rPr>
          <w:rFonts w:ascii="Arial" w:hAnsi="Arial" w:cs="Arial"/>
          <w:sz w:val="20"/>
          <w:szCs w:val="20"/>
        </w:rPr>
        <w:t>.</w:t>
      </w:r>
      <w:r w:rsidR="00145439" w:rsidRPr="00713F33">
        <w:rPr>
          <w:rFonts w:ascii="Arial" w:hAnsi="Arial" w:cs="Arial"/>
          <w:sz w:val="20"/>
          <w:szCs w:val="20"/>
        </w:rPr>
        <w:t xml:space="preserve"> </w:t>
      </w:r>
      <w:r w:rsidRPr="00713F33">
        <w:rPr>
          <w:rFonts w:ascii="Arial" w:hAnsi="Arial" w:cs="Arial"/>
          <w:sz w:val="20"/>
          <w:szCs w:val="20"/>
        </w:rPr>
        <w:t>(SILVA, 1963, p. 45</w:t>
      </w:r>
      <w:r w:rsidR="00BE768F" w:rsidRPr="00713F33">
        <w:rPr>
          <w:rFonts w:ascii="Arial" w:hAnsi="Arial" w:cs="Arial"/>
          <w:sz w:val="20"/>
          <w:szCs w:val="20"/>
        </w:rPr>
        <w:t>.</w:t>
      </w:r>
      <w:r w:rsidRPr="00713F33">
        <w:rPr>
          <w:rFonts w:ascii="Arial" w:hAnsi="Arial" w:cs="Arial"/>
          <w:sz w:val="20"/>
          <w:szCs w:val="20"/>
        </w:rPr>
        <w:t>)</w:t>
      </w:r>
    </w:p>
    <w:p w14:paraId="120DCF9D" w14:textId="77777777" w:rsidR="00713F33" w:rsidRDefault="00713F33" w:rsidP="00D34772">
      <w:pPr>
        <w:spacing w:line="360" w:lineRule="auto"/>
        <w:ind w:firstLine="708"/>
        <w:jc w:val="both"/>
        <w:rPr>
          <w:rFonts w:ascii="Arial" w:hAnsi="Arial" w:cs="Arial"/>
          <w:sz w:val="24"/>
          <w:szCs w:val="24"/>
        </w:rPr>
      </w:pPr>
    </w:p>
    <w:p w14:paraId="1E49025E" w14:textId="4C7A0694"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lastRenderedPageBreak/>
        <w:t>De tais considerações já se percebe o gérmen da ideia de criação de um novo Tribunal Superior, com jurisdição sobre todo o território nacional, ao qual se atribuísse a competência de zelar pela aplicação e uni</w:t>
      </w:r>
      <w:r w:rsidR="00A2449A">
        <w:rPr>
          <w:rFonts w:ascii="Arial" w:hAnsi="Arial" w:cs="Arial"/>
          <w:sz w:val="24"/>
          <w:szCs w:val="24"/>
        </w:rPr>
        <w:t xml:space="preserve">formização de interpretação do </w:t>
      </w:r>
      <w:r w:rsidR="00B45688">
        <w:rPr>
          <w:rFonts w:ascii="Arial" w:hAnsi="Arial" w:cs="Arial"/>
          <w:sz w:val="24"/>
          <w:szCs w:val="24"/>
        </w:rPr>
        <w:t>direito</w:t>
      </w:r>
      <w:r>
        <w:rPr>
          <w:rFonts w:ascii="Arial" w:hAnsi="Arial" w:cs="Arial"/>
          <w:sz w:val="24"/>
          <w:szCs w:val="24"/>
        </w:rPr>
        <w:t xml:space="preserve"> federal, reduzindo a amplitude das competências do STF e desafogando seu volume de trabalho. Foi com esse intuito que em 1988 se criou o Superior Tribunal de Justiça, com maior estrutura e maior número de Ministros</w:t>
      </w:r>
      <w:r w:rsidR="00071403">
        <w:rPr>
          <w:rFonts w:ascii="Arial" w:hAnsi="Arial" w:cs="Arial"/>
          <w:sz w:val="24"/>
          <w:szCs w:val="24"/>
        </w:rPr>
        <w:t xml:space="preserve">, com a atribuição principal de uniformizar a aplicação do </w:t>
      </w:r>
      <w:r w:rsidR="00B45688">
        <w:rPr>
          <w:rFonts w:ascii="Arial" w:hAnsi="Arial" w:cs="Arial"/>
          <w:sz w:val="24"/>
          <w:szCs w:val="24"/>
        </w:rPr>
        <w:t>direito</w:t>
      </w:r>
      <w:r w:rsidR="00071403">
        <w:rPr>
          <w:rFonts w:ascii="Arial" w:hAnsi="Arial" w:cs="Arial"/>
          <w:sz w:val="24"/>
          <w:szCs w:val="24"/>
        </w:rPr>
        <w:t xml:space="preserve"> infraconstitucional.</w:t>
      </w:r>
      <w:r>
        <w:rPr>
          <w:rFonts w:ascii="Arial" w:hAnsi="Arial" w:cs="Arial"/>
          <w:sz w:val="24"/>
          <w:szCs w:val="24"/>
        </w:rPr>
        <w:t xml:space="preserve"> Consequentemente, o escopo do recurso extraordinário foi também reduzido, criando-se o recurso especial, dirigido </w:t>
      </w:r>
      <w:r w:rsidR="006C107D">
        <w:rPr>
          <w:rFonts w:ascii="Arial" w:hAnsi="Arial" w:cs="Arial"/>
          <w:sz w:val="24"/>
          <w:szCs w:val="24"/>
        </w:rPr>
        <w:t>a</w:t>
      </w:r>
      <w:r>
        <w:rPr>
          <w:rFonts w:ascii="Arial" w:hAnsi="Arial" w:cs="Arial"/>
          <w:sz w:val="24"/>
          <w:szCs w:val="24"/>
        </w:rPr>
        <w:t>o STJ e cujas hipóteses de cabimento estão disciplinadas no art. 105, III, da CRFB/</w:t>
      </w:r>
      <w:r w:rsidR="00B954E6">
        <w:rPr>
          <w:rFonts w:ascii="Arial" w:hAnsi="Arial" w:cs="Arial"/>
          <w:sz w:val="24"/>
          <w:szCs w:val="24"/>
        </w:rPr>
        <w:t>19</w:t>
      </w:r>
      <w:r>
        <w:rPr>
          <w:rFonts w:ascii="Arial" w:hAnsi="Arial" w:cs="Arial"/>
          <w:sz w:val="24"/>
          <w:szCs w:val="24"/>
        </w:rPr>
        <w:t>88. Note que a própria ideia de retirar das co</w:t>
      </w:r>
      <w:r w:rsidR="00F94077">
        <w:rPr>
          <w:rFonts w:ascii="Arial" w:hAnsi="Arial" w:cs="Arial"/>
          <w:sz w:val="24"/>
          <w:szCs w:val="24"/>
        </w:rPr>
        <w:t xml:space="preserve">mpetências do STF a análise do </w:t>
      </w:r>
      <w:r w:rsidR="00B45688">
        <w:rPr>
          <w:rFonts w:ascii="Arial" w:hAnsi="Arial" w:cs="Arial"/>
          <w:sz w:val="24"/>
          <w:szCs w:val="24"/>
        </w:rPr>
        <w:t>direito</w:t>
      </w:r>
      <w:r>
        <w:rPr>
          <w:rFonts w:ascii="Arial" w:hAnsi="Arial" w:cs="Arial"/>
          <w:sz w:val="24"/>
          <w:szCs w:val="24"/>
        </w:rPr>
        <w:t xml:space="preserve"> federal esvaziava em muito a utilidade da arguição de relevância, acima mencionada.</w:t>
      </w:r>
    </w:p>
    <w:p w14:paraId="71EC86B2" w14:textId="684FE5BA" w:rsidR="00D34772" w:rsidRPr="00241D77" w:rsidRDefault="00D34772" w:rsidP="00D34772">
      <w:pPr>
        <w:spacing w:line="360" w:lineRule="auto"/>
        <w:ind w:firstLine="708"/>
        <w:jc w:val="both"/>
        <w:rPr>
          <w:rFonts w:ascii="Arial" w:hAnsi="Arial" w:cs="Arial"/>
          <w:sz w:val="24"/>
          <w:szCs w:val="24"/>
        </w:rPr>
      </w:pPr>
      <w:r>
        <w:rPr>
          <w:rFonts w:ascii="Arial" w:hAnsi="Arial" w:cs="Arial"/>
          <w:sz w:val="24"/>
          <w:szCs w:val="24"/>
        </w:rPr>
        <w:t xml:space="preserve">Entretanto, também essa tentativa se mostrou falha, imprimindo maior complexidade e morosidade ao processo judicial. Nesse sentido, José </w:t>
      </w:r>
      <w:r w:rsidR="002A597C">
        <w:rPr>
          <w:rFonts w:ascii="Arial" w:hAnsi="Arial" w:cs="Arial"/>
          <w:sz w:val="24"/>
          <w:szCs w:val="24"/>
        </w:rPr>
        <w:t>Carlos Barbosa Mo</w:t>
      </w:r>
      <w:r w:rsidR="00C06351">
        <w:rPr>
          <w:rFonts w:ascii="Arial" w:hAnsi="Arial" w:cs="Arial"/>
          <w:sz w:val="24"/>
          <w:szCs w:val="24"/>
        </w:rPr>
        <w:t xml:space="preserve">reira, em </w:t>
      </w:r>
      <w:r w:rsidRPr="00872E25">
        <w:rPr>
          <w:rFonts w:ascii="Arial" w:hAnsi="Arial" w:cs="Arial"/>
          <w:i/>
          <w:sz w:val="24"/>
          <w:szCs w:val="24"/>
        </w:rPr>
        <w:t>Comentários ao Código de Processo Civil</w:t>
      </w:r>
      <w:r>
        <w:rPr>
          <w:rFonts w:ascii="Arial" w:hAnsi="Arial" w:cs="Arial"/>
          <w:sz w:val="24"/>
          <w:szCs w:val="24"/>
        </w:rPr>
        <w:t xml:space="preserve"> de 1973</w:t>
      </w:r>
      <w:r w:rsidR="0063597D">
        <w:rPr>
          <w:rFonts w:ascii="Arial" w:hAnsi="Arial" w:cs="Arial"/>
          <w:sz w:val="24"/>
          <w:szCs w:val="24"/>
        </w:rPr>
        <w:t>,</w:t>
      </w:r>
      <w:r>
        <w:rPr>
          <w:rFonts w:ascii="Arial" w:hAnsi="Arial" w:cs="Arial"/>
          <w:sz w:val="24"/>
          <w:szCs w:val="24"/>
        </w:rPr>
        <w:t xml:space="preserve"> afirmava que a inovação consistente na fragmentação do recurso extraordinário ocasionou problemas práticos consistentes na existência de “dois recursos em vez de um só, </w:t>
      </w:r>
      <w:proofErr w:type="spellStart"/>
      <w:r>
        <w:rPr>
          <w:rFonts w:ascii="Arial" w:hAnsi="Arial" w:cs="Arial"/>
          <w:sz w:val="24"/>
          <w:szCs w:val="24"/>
        </w:rPr>
        <w:t>interponíveis</w:t>
      </w:r>
      <w:proofErr w:type="spellEnd"/>
      <w:r>
        <w:rPr>
          <w:rFonts w:ascii="Arial" w:hAnsi="Arial" w:cs="Arial"/>
          <w:sz w:val="24"/>
          <w:szCs w:val="24"/>
        </w:rPr>
        <w:t xml:space="preserve"> ambos, em larga medida, contra as mesmas decisões”, pelo que “o sistema teria que ficar, como na verdade ficou, bastante complicado em mais de um ponto”, de onde deriva um “aumento considerável na duração do processo” (BARBOSA MOREIRA, 2013, p. 583).</w:t>
      </w:r>
    </w:p>
    <w:p w14:paraId="19F83D7F" w14:textId="5F8E1587" w:rsidR="00D34772" w:rsidRPr="00621140" w:rsidRDefault="00D34772" w:rsidP="00D34772">
      <w:pPr>
        <w:spacing w:line="360" w:lineRule="auto"/>
        <w:ind w:firstLine="708"/>
        <w:jc w:val="both"/>
        <w:rPr>
          <w:rFonts w:ascii="Arial" w:hAnsi="Arial" w:cs="Arial"/>
          <w:sz w:val="24"/>
          <w:szCs w:val="24"/>
        </w:rPr>
      </w:pPr>
      <w:r>
        <w:rPr>
          <w:rFonts w:ascii="Arial" w:hAnsi="Arial" w:cs="Arial"/>
          <w:sz w:val="24"/>
          <w:szCs w:val="24"/>
        </w:rPr>
        <w:t xml:space="preserve">Ainda que deixadas de lado essas críticas, o fato é que a criação de um novo Tribunal e a instituição do recurso especial não resolveram a </w:t>
      </w:r>
      <w:r>
        <w:rPr>
          <w:rFonts w:ascii="Arial" w:hAnsi="Arial" w:cs="Arial"/>
          <w:i/>
          <w:sz w:val="24"/>
          <w:szCs w:val="24"/>
        </w:rPr>
        <w:t>crise do recurso extraordinário</w:t>
      </w:r>
      <w:r>
        <w:rPr>
          <w:rFonts w:ascii="Arial" w:hAnsi="Arial" w:cs="Arial"/>
          <w:sz w:val="24"/>
          <w:szCs w:val="24"/>
        </w:rPr>
        <w:t xml:space="preserve">. A triste realidade é que, se antes tínhamos um Tribunal assoberbado pelo alto volume de trabalho e pelo grande número de processos a serem julgados, passamos a ter dois: STF e STJ. Na prática, acabou por se criar uma terceira instância processual, alongando a duração dos processos judiciais e surgindo uma nova etapa em que estes se represam, </w:t>
      </w:r>
      <w:r w:rsidRPr="00661E4D">
        <w:rPr>
          <w:rFonts w:ascii="Arial" w:hAnsi="Arial" w:cs="Arial"/>
          <w:sz w:val="24"/>
          <w:szCs w:val="24"/>
        </w:rPr>
        <w:t xml:space="preserve">após </w:t>
      </w:r>
      <w:r w:rsidR="00661E4D" w:rsidRPr="00661E4D">
        <w:rPr>
          <w:rFonts w:ascii="Arial" w:hAnsi="Arial" w:cs="Arial"/>
          <w:sz w:val="24"/>
          <w:szCs w:val="24"/>
        </w:rPr>
        <w:t>a</w:t>
      </w:r>
      <w:r w:rsidRPr="00661E4D">
        <w:rPr>
          <w:rFonts w:ascii="Arial" w:hAnsi="Arial" w:cs="Arial"/>
          <w:sz w:val="24"/>
          <w:szCs w:val="24"/>
        </w:rPr>
        <w:t xml:space="preserve"> qual</w:t>
      </w:r>
      <w:r>
        <w:rPr>
          <w:rFonts w:ascii="Arial" w:hAnsi="Arial" w:cs="Arial"/>
          <w:sz w:val="24"/>
          <w:szCs w:val="24"/>
        </w:rPr>
        <w:t xml:space="preserve"> os feitos ainda se dirigirão ao STF via recurso extraordinário.</w:t>
      </w:r>
    </w:p>
    <w:p w14:paraId="635BFB17" w14:textId="77777777" w:rsidR="00D34772" w:rsidRDefault="00D34772" w:rsidP="00D34772">
      <w:pPr>
        <w:spacing w:line="360" w:lineRule="auto"/>
        <w:ind w:firstLine="708"/>
        <w:jc w:val="both"/>
        <w:rPr>
          <w:rFonts w:ascii="Arial" w:hAnsi="Arial" w:cs="Arial"/>
          <w:sz w:val="24"/>
          <w:szCs w:val="24"/>
        </w:rPr>
      </w:pPr>
      <w:r w:rsidRPr="001C2B05">
        <w:rPr>
          <w:rFonts w:ascii="Arial" w:hAnsi="Arial" w:cs="Arial"/>
          <w:sz w:val="24"/>
          <w:szCs w:val="24"/>
        </w:rPr>
        <w:t xml:space="preserve">Na sequência da evolução histórica de algumas medidas criadas com o propósito de solucionar o excesso de recursos submetidos ao STF, </w:t>
      </w:r>
      <w:r>
        <w:rPr>
          <w:rFonts w:ascii="Arial" w:hAnsi="Arial" w:cs="Arial"/>
          <w:sz w:val="24"/>
          <w:szCs w:val="24"/>
        </w:rPr>
        <w:t>com a superveniência d</w:t>
      </w:r>
      <w:r w:rsidRPr="001C2B05">
        <w:rPr>
          <w:rFonts w:ascii="Arial" w:hAnsi="Arial" w:cs="Arial"/>
          <w:sz w:val="24"/>
          <w:szCs w:val="24"/>
        </w:rPr>
        <w:t>a Constituição de 1988</w:t>
      </w:r>
      <w:r>
        <w:rPr>
          <w:rFonts w:ascii="Arial" w:hAnsi="Arial" w:cs="Arial"/>
          <w:sz w:val="24"/>
          <w:szCs w:val="24"/>
        </w:rPr>
        <w:t xml:space="preserve"> não se manteve aquele poder normativo que a ordem constitucional anterior assegurava ao Regimento Interno da Corte. A partir de então, portanto, as alterações no procedimento do recurso extraordinário e a criação de novos óbices ou filtros processuais foram todas decorrentes de leis formais.</w:t>
      </w:r>
    </w:p>
    <w:p w14:paraId="5ABC85E8" w14:textId="07DF3B6F"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lastRenderedPageBreak/>
        <w:t>Sob a égide do CPC/</w:t>
      </w:r>
      <w:r w:rsidR="008635C7">
        <w:rPr>
          <w:rFonts w:ascii="Arial" w:hAnsi="Arial" w:cs="Arial"/>
          <w:sz w:val="24"/>
          <w:szCs w:val="24"/>
        </w:rPr>
        <w:t>19</w:t>
      </w:r>
      <w:r>
        <w:rPr>
          <w:rFonts w:ascii="Arial" w:hAnsi="Arial" w:cs="Arial"/>
          <w:sz w:val="24"/>
          <w:szCs w:val="24"/>
        </w:rPr>
        <w:t xml:space="preserve">73, destaca-se a </w:t>
      </w:r>
      <w:hyperlink r:id="rId16" w:history="1">
        <w:r w:rsidRPr="0063597D">
          <w:rPr>
            <w:rStyle w:val="Hyperlink"/>
            <w:rFonts w:ascii="Arial" w:hAnsi="Arial" w:cs="Arial"/>
            <w:sz w:val="24"/>
            <w:szCs w:val="24"/>
          </w:rPr>
          <w:t>Lei nº 9.756/</w:t>
        </w:r>
        <w:r w:rsidR="00CF20B5">
          <w:rPr>
            <w:rStyle w:val="Hyperlink"/>
            <w:rFonts w:ascii="Arial" w:hAnsi="Arial" w:cs="Arial"/>
            <w:sz w:val="24"/>
            <w:szCs w:val="24"/>
          </w:rPr>
          <w:t>19</w:t>
        </w:r>
        <w:r w:rsidRPr="0063597D">
          <w:rPr>
            <w:rStyle w:val="Hyperlink"/>
            <w:rFonts w:ascii="Arial" w:hAnsi="Arial" w:cs="Arial"/>
            <w:sz w:val="24"/>
            <w:szCs w:val="24"/>
          </w:rPr>
          <w:t>98</w:t>
        </w:r>
      </w:hyperlink>
      <w:r>
        <w:rPr>
          <w:rFonts w:ascii="Arial" w:hAnsi="Arial" w:cs="Arial"/>
          <w:sz w:val="24"/>
          <w:szCs w:val="24"/>
        </w:rPr>
        <w:t>, dentre cujas alterações destacam-se duas. A p</w:t>
      </w:r>
      <w:r w:rsidR="00132EA3">
        <w:rPr>
          <w:rFonts w:ascii="Arial" w:hAnsi="Arial" w:cs="Arial"/>
          <w:sz w:val="24"/>
          <w:szCs w:val="24"/>
        </w:rPr>
        <w:t>rimeira foi a inserção do § 3º ao</w:t>
      </w:r>
      <w:r>
        <w:rPr>
          <w:rFonts w:ascii="Arial" w:hAnsi="Arial" w:cs="Arial"/>
          <w:sz w:val="24"/>
          <w:szCs w:val="24"/>
        </w:rPr>
        <w:t xml:space="preserve"> art. 542 daquele Código, que, no âmbito dos recursos extraordinário e especial </w:t>
      </w:r>
      <w:r w:rsidRPr="00E41F0E">
        <w:rPr>
          <w:rFonts w:ascii="Arial" w:hAnsi="Arial" w:cs="Arial"/>
          <w:sz w:val="24"/>
          <w:szCs w:val="24"/>
        </w:rPr>
        <w:t>interpostos contra decisão interlocutória em pro</w:t>
      </w:r>
      <w:r w:rsidR="002E6310">
        <w:rPr>
          <w:rFonts w:ascii="Arial" w:hAnsi="Arial" w:cs="Arial"/>
          <w:sz w:val="24"/>
          <w:szCs w:val="24"/>
        </w:rPr>
        <w:t>cesso de conhecimento, cautelar</w:t>
      </w:r>
      <w:r w:rsidRPr="00E41F0E">
        <w:rPr>
          <w:rFonts w:ascii="Arial" w:hAnsi="Arial" w:cs="Arial"/>
          <w:sz w:val="24"/>
          <w:szCs w:val="24"/>
        </w:rPr>
        <w:t xml:space="preserve"> ou embargos à execução</w:t>
      </w:r>
      <w:r>
        <w:rPr>
          <w:rFonts w:ascii="Arial" w:hAnsi="Arial" w:cs="Arial"/>
          <w:sz w:val="24"/>
          <w:szCs w:val="24"/>
        </w:rPr>
        <w:t xml:space="preserve">, determinava a retenção do recurso, que somente seria </w:t>
      </w:r>
      <w:r w:rsidRPr="00E41F0E">
        <w:rPr>
          <w:rFonts w:ascii="Arial" w:hAnsi="Arial" w:cs="Arial"/>
          <w:sz w:val="24"/>
          <w:szCs w:val="24"/>
        </w:rPr>
        <w:t xml:space="preserve">processado </w:t>
      </w:r>
      <w:r>
        <w:rPr>
          <w:rFonts w:ascii="Arial" w:hAnsi="Arial" w:cs="Arial"/>
          <w:sz w:val="24"/>
          <w:szCs w:val="24"/>
        </w:rPr>
        <w:t>em caso de reiteração d</w:t>
      </w:r>
      <w:r w:rsidRPr="00E41F0E">
        <w:rPr>
          <w:rFonts w:ascii="Arial" w:hAnsi="Arial" w:cs="Arial"/>
          <w:sz w:val="24"/>
          <w:szCs w:val="24"/>
        </w:rPr>
        <w:t>a parte</w:t>
      </w:r>
      <w:r>
        <w:rPr>
          <w:rFonts w:ascii="Arial" w:hAnsi="Arial" w:cs="Arial"/>
          <w:sz w:val="24"/>
          <w:szCs w:val="24"/>
        </w:rPr>
        <w:t xml:space="preserve"> interessada</w:t>
      </w:r>
      <w:r w:rsidRPr="00E41F0E">
        <w:rPr>
          <w:rFonts w:ascii="Arial" w:hAnsi="Arial" w:cs="Arial"/>
          <w:sz w:val="24"/>
          <w:szCs w:val="24"/>
        </w:rPr>
        <w:t>, no prazo para a interposição do recurso contra a decisão final, ou para as contra</w:t>
      </w:r>
      <w:r>
        <w:rPr>
          <w:rFonts w:ascii="Arial" w:hAnsi="Arial" w:cs="Arial"/>
          <w:sz w:val="24"/>
          <w:szCs w:val="24"/>
        </w:rPr>
        <w:t>r</w:t>
      </w:r>
      <w:r w:rsidRPr="00E41F0E">
        <w:rPr>
          <w:rFonts w:ascii="Arial" w:hAnsi="Arial" w:cs="Arial"/>
          <w:sz w:val="24"/>
          <w:szCs w:val="24"/>
        </w:rPr>
        <w:t>razõe</w:t>
      </w:r>
      <w:r>
        <w:rPr>
          <w:rFonts w:ascii="Arial" w:hAnsi="Arial" w:cs="Arial"/>
          <w:sz w:val="24"/>
          <w:szCs w:val="24"/>
        </w:rPr>
        <w:t>s. Criava-se uma espécie de “recurso extraordinário retido”, bastante semelhante com o agravo retido, que era regulado pelo art. 522 do antigo Código.</w:t>
      </w:r>
    </w:p>
    <w:p w14:paraId="0D6A0C59" w14:textId="57053BCC"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t>A segunda alteração de dest</w:t>
      </w:r>
      <w:r w:rsidR="00BE4CFF">
        <w:rPr>
          <w:rFonts w:ascii="Arial" w:hAnsi="Arial" w:cs="Arial"/>
          <w:sz w:val="24"/>
          <w:szCs w:val="24"/>
        </w:rPr>
        <w:t>aque promovida pela Lei nº 9.756</w:t>
      </w:r>
      <w:bookmarkStart w:id="6" w:name="_GoBack"/>
      <w:bookmarkEnd w:id="6"/>
      <w:r>
        <w:rPr>
          <w:rFonts w:ascii="Arial" w:hAnsi="Arial" w:cs="Arial"/>
          <w:sz w:val="24"/>
          <w:szCs w:val="24"/>
        </w:rPr>
        <w:t>/</w:t>
      </w:r>
      <w:r w:rsidR="00715366">
        <w:rPr>
          <w:rFonts w:ascii="Arial" w:hAnsi="Arial" w:cs="Arial"/>
          <w:sz w:val="24"/>
          <w:szCs w:val="24"/>
        </w:rPr>
        <w:t>19</w:t>
      </w:r>
      <w:r>
        <w:rPr>
          <w:rFonts w:ascii="Arial" w:hAnsi="Arial" w:cs="Arial"/>
          <w:sz w:val="24"/>
          <w:szCs w:val="24"/>
        </w:rPr>
        <w:t>98 foram as modificações implementadas no art. 557 do CPC/</w:t>
      </w:r>
      <w:r w:rsidR="00FF40FC">
        <w:rPr>
          <w:rFonts w:ascii="Arial" w:hAnsi="Arial" w:cs="Arial"/>
          <w:sz w:val="24"/>
          <w:szCs w:val="24"/>
        </w:rPr>
        <w:t>19</w:t>
      </w:r>
      <w:r>
        <w:rPr>
          <w:rFonts w:ascii="Arial" w:hAnsi="Arial" w:cs="Arial"/>
          <w:sz w:val="24"/>
          <w:szCs w:val="24"/>
        </w:rPr>
        <w:t>73, ampliando os poderes do relator no julgamento desses recursos, conforme já vimos no início dessa aula, quando elencamos alguns instrumentos que buscam implementar a compatibilização vertical das decisões judiciais. Como vimos, são meios que buscam conciliar a prestação da tutela jurisdicional com mecanismos que imprimam ao processo maior celeridade e uniformidade aos processos, como mais uma tentativa de solucionar o problema que aqui estamos analisando.</w:t>
      </w:r>
    </w:p>
    <w:p w14:paraId="3868577F" w14:textId="77777777"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t>De uma forma geral, assim como o fenômeno de proliferação dos processos submetidos à análise de suas Cortes Supremas mostrou-se ocorrer em vários países, assim também se deu em relação à criação de filtros e mecanismos que tentassem diminuir tal volume de trabalho. Como afirmam Tere</w:t>
      </w:r>
      <w:r w:rsidR="0063597D">
        <w:rPr>
          <w:rFonts w:ascii="Arial" w:hAnsi="Arial" w:cs="Arial"/>
          <w:sz w:val="24"/>
          <w:szCs w:val="24"/>
        </w:rPr>
        <w:t>s</w:t>
      </w:r>
      <w:r>
        <w:rPr>
          <w:rFonts w:ascii="Arial" w:hAnsi="Arial" w:cs="Arial"/>
          <w:sz w:val="24"/>
          <w:szCs w:val="24"/>
        </w:rPr>
        <w:t xml:space="preserve">a </w:t>
      </w:r>
      <w:commentRangeStart w:id="7"/>
      <w:proofErr w:type="spellStart"/>
      <w:r>
        <w:rPr>
          <w:rFonts w:ascii="Arial" w:hAnsi="Arial" w:cs="Arial"/>
          <w:sz w:val="24"/>
          <w:szCs w:val="24"/>
        </w:rPr>
        <w:t>Wambier</w:t>
      </w:r>
      <w:proofErr w:type="spellEnd"/>
      <w:r>
        <w:rPr>
          <w:rFonts w:ascii="Arial" w:hAnsi="Arial" w:cs="Arial"/>
          <w:sz w:val="24"/>
          <w:szCs w:val="24"/>
        </w:rPr>
        <w:t xml:space="preserve"> e Bruno </w:t>
      </w:r>
      <w:r w:rsidR="00E11E29">
        <w:rPr>
          <w:rFonts w:ascii="Arial" w:hAnsi="Arial" w:cs="Arial"/>
          <w:sz w:val="24"/>
          <w:szCs w:val="24"/>
        </w:rPr>
        <w:t>D</w:t>
      </w:r>
      <w:r>
        <w:rPr>
          <w:rFonts w:ascii="Arial" w:hAnsi="Arial" w:cs="Arial"/>
          <w:sz w:val="24"/>
          <w:szCs w:val="24"/>
        </w:rPr>
        <w:t>antas</w:t>
      </w:r>
      <w:commentRangeEnd w:id="7"/>
      <w:r w:rsidR="00CB15B9">
        <w:rPr>
          <w:rStyle w:val="Refdecomentrio"/>
        </w:rPr>
        <w:commentReference w:id="7"/>
      </w:r>
      <w:r>
        <w:rPr>
          <w:rFonts w:ascii="Arial" w:hAnsi="Arial" w:cs="Arial"/>
          <w:sz w:val="24"/>
          <w:szCs w:val="24"/>
        </w:rPr>
        <w:t>:</w:t>
      </w:r>
    </w:p>
    <w:p w14:paraId="504CDF2E" w14:textId="77777777" w:rsidR="00711F46" w:rsidRDefault="00711F46" w:rsidP="00D34772">
      <w:pPr>
        <w:spacing w:line="360" w:lineRule="auto"/>
        <w:ind w:firstLine="708"/>
        <w:jc w:val="both"/>
        <w:rPr>
          <w:rFonts w:ascii="Arial" w:hAnsi="Arial" w:cs="Arial"/>
          <w:sz w:val="24"/>
          <w:szCs w:val="24"/>
        </w:rPr>
      </w:pPr>
    </w:p>
    <w:p w14:paraId="15F18093" w14:textId="77777777" w:rsidR="00D34772" w:rsidRPr="003A285F" w:rsidRDefault="00D34772" w:rsidP="006C2113">
      <w:pPr>
        <w:tabs>
          <w:tab w:val="left" w:pos="851"/>
          <w:tab w:val="left" w:pos="1985"/>
        </w:tabs>
        <w:spacing w:after="0" w:line="240" w:lineRule="auto"/>
        <w:ind w:left="2268" w:firstLine="284"/>
        <w:jc w:val="both"/>
        <w:rPr>
          <w:rFonts w:ascii="Arial" w:hAnsi="Arial" w:cs="Arial"/>
          <w:sz w:val="20"/>
          <w:szCs w:val="20"/>
        </w:rPr>
      </w:pPr>
      <w:r w:rsidRPr="003A285F">
        <w:rPr>
          <w:rFonts w:ascii="Arial" w:hAnsi="Arial" w:cs="Arial"/>
          <w:sz w:val="20"/>
          <w:szCs w:val="20"/>
        </w:rPr>
        <w:t>Diante desse fenômeno, as nações se viram na contingência de adotar medidas que amenizassem os efeitos nocivos da sobrecarga de trabalho de suas cortes supremas. É difícil conceber, hoje em dia, algum país que não tenha adotado medidas para estabelecer filtros ao acesso de recursos a ela dirigidos.</w:t>
      </w:r>
    </w:p>
    <w:p w14:paraId="276E19EB" w14:textId="63EEC272" w:rsidR="00051DE8" w:rsidRDefault="00D34772" w:rsidP="006C2113">
      <w:pPr>
        <w:tabs>
          <w:tab w:val="left" w:pos="851"/>
          <w:tab w:val="left" w:pos="1985"/>
        </w:tabs>
        <w:spacing w:after="0" w:line="240" w:lineRule="auto"/>
        <w:ind w:left="2268" w:firstLine="284"/>
        <w:jc w:val="both"/>
        <w:rPr>
          <w:rFonts w:ascii="Arial" w:hAnsi="Arial" w:cs="Arial"/>
          <w:sz w:val="20"/>
          <w:szCs w:val="20"/>
        </w:rPr>
      </w:pPr>
      <w:r w:rsidRPr="003A285F">
        <w:rPr>
          <w:rFonts w:ascii="Arial" w:hAnsi="Arial" w:cs="Arial"/>
          <w:sz w:val="20"/>
          <w:szCs w:val="20"/>
        </w:rPr>
        <w:t>Não nos são estranhas algumas dessas medidas, uma vez que, desde a segunda metade do século passado, se discutem aqui soluções viáveis para a nossa crise. De certa forma, podemos afirmar que fracassaram todas as tentativas até então empreendidas, e o sucesso da repercussão geral dependerá menos dos contornos que lhe foram dados pela Lei 11.418/2006, e mais daqueles que o STF lhe atribuirá por ocasião do julgamento dos recursos extraordinários.</w:t>
      </w:r>
      <w:r w:rsidR="004440CA">
        <w:rPr>
          <w:rFonts w:ascii="Arial" w:hAnsi="Arial" w:cs="Arial"/>
          <w:sz w:val="20"/>
          <w:szCs w:val="20"/>
        </w:rPr>
        <w:t xml:space="preserve"> </w:t>
      </w:r>
      <w:r w:rsidR="00051DE8" w:rsidRPr="00051DE8">
        <w:rPr>
          <w:rFonts w:ascii="Arial" w:hAnsi="Arial" w:cs="Arial"/>
          <w:sz w:val="20"/>
          <w:szCs w:val="20"/>
        </w:rPr>
        <w:t>(WAMBIER;</w:t>
      </w:r>
      <w:r w:rsidR="002A0444">
        <w:rPr>
          <w:rFonts w:ascii="Arial" w:hAnsi="Arial" w:cs="Arial"/>
          <w:sz w:val="20"/>
          <w:szCs w:val="20"/>
        </w:rPr>
        <w:t xml:space="preserve"> </w:t>
      </w:r>
      <w:r w:rsidR="00051DE8" w:rsidRPr="00051DE8">
        <w:rPr>
          <w:rFonts w:ascii="Arial" w:hAnsi="Arial" w:cs="Arial"/>
          <w:sz w:val="20"/>
          <w:szCs w:val="20"/>
        </w:rPr>
        <w:t xml:space="preserve">DANTAS, 2016, p. </w:t>
      </w:r>
      <w:r w:rsidR="00051DE8">
        <w:rPr>
          <w:rFonts w:ascii="Arial" w:hAnsi="Arial" w:cs="Arial"/>
          <w:sz w:val="20"/>
          <w:szCs w:val="20"/>
        </w:rPr>
        <w:t>459</w:t>
      </w:r>
      <w:r w:rsidR="004440CA">
        <w:rPr>
          <w:rFonts w:ascii="Arial" w:hAnsi="Arial" w:cs="Arial"/>
          <w:sz w:val="20"/>
          <w:szCs w:val="20"/>
        </w:rPr>
        <w:t>.</w:t>
      </w:r>
      <w:r w:rsidR="00051DE8">
        <w:rPr>
          <w:rFonts w:ascii="Arial" w:hAnsi="Arial" w:cs="Arial"/>
          <w:sz w:val="20"/>
          <w:szCs w:val="20"/>
        </w:rPr>
        <w:t>)</w:t>
      </w:r>
    </w:p>
    <w:p w14:paraId="45E5064A" w14:textId="77777777" w:rsidR="00051DE8" w:rsidRDefault="00051DE8" w:rsidP="00451278">
      <w:pPr>
        <w:tabs>
          <w:tab w:val="left" w:pos="851"/>
          <w:tab w:val="left" w:pos="1985"/>
        </w:tabs>
        <w:spacing w:after="0" w:line="360" w:lineRule="auto"/>
        <w:ind w:left="1701" w:firstLine="284"/>
        <w:jc w:val="both"/>
        <w:rPr>
          <w:rFonts w:ascii="Arial" w:hAnsi="Arial" w:cs="Arial"/>
          <w:sz w:val="20"/>
          <w:szCs w:val="20"/>
        </w:rPr>
      </w:pPr>
    </w:p>
    <w:p w14:paraId="7E2F2E61" w14:textId="27A6552C" w:rsidR="00D34772" w:rsidRDefault="00D34772" w:rsidP="00D34772">
      <w:pPr>
        <w:spacing w:line="360" w:lineRule="auto"/>
        <w:ind w:firstLine="708"/>
        <w:jc w:val="both"/>
        <w:rPr>
          <w:rFonts w:ascii="Arial" w:hAnsi="Arial" w:cs="Arial"/>
          <w:sz w:val="24"/>
          <w:szCs w:val="24"/>
        </w:rPr>
      </w:pPr>
      <w:r>
        <w:rPr>
          <w:rFonts w:ascii="Arial" w:hAnsi="Arial" w:cs="Arial"/>
          <w:sz w:val="24"/>
          <w:szCs w:val="24"/>
        </w:rPr>
        <w:t xml:space="preserve">Portanto, após essa sintética evolução quanto a alguns mecanismos sucessivamente criados como tentativas de solucionar a </w:t>
      </w:r>
      <w:r>
        <w:rPr>
          <w:rFonts w:ascii="Arial" w:hAnsi="Arial" w:cs="Arial"/>
          <w:i/>
          <w:sz w:val="24"/>
          <w:szCs w:val="24"/>
        </w:rPr>
        <w:t>crise do recurso extraordinário</w:t>
      </w:r>
      <w:r>
        <w:rPr>
          <w:rFonts w:ascii="Arial" w:hAnsi="Arial" w:cs="Arial"/>
          <w:sz w:val="24"/>
          <w:szCs w:val="24"/>
        </w:rPr>
        <w:t xml:space="preserve">, buscaremos, </w:t>
      </w:r>
      <w:r w:rsidR="000543E4">
        <w:rPr>
          <w:rFonts w:ascii="Arial" w:hAnsi="Arial" w:cs="Arial"/>
          <w:sz w:val="24"/>
          <w:szCs w:val="24"/>
        </w:rPr>
        <w:t>na próxima aula</w:t>
      </w:r>
      <w:r>
        <w:rPr>
          <w:rFonts w:ascii="Arial" w:hAnsi="Arial" w:cs="Arial"/>
          <w:sz w:val="24"/>
          <w:szCs w:val="24"/>
        </w:rPr>
        <w:t>, estudar a</w:t>
      </w:r>
      <w:r w:rsidR="00A55AC3">
        <w:rPr>
          <w:rFonts w:ascii="Arial" w:hAnsi="Arial" w:cs="Arial"/>
          <w:sz w:val="24"/>
          <w:szCs w:val="24"/>
        </w:rPr>
        <w:t xml:space="preserve">lguns institutos de </w:t>
      </w:r>
      <w:r w:rsidR="00B45688">
        <w:rPr>
          <w:rFonts w:ascii="Arial" w:hAnsi="Arial" w:cs="Arial"/>
          <w:sz w:val="24"/>
          <w:szCs w:val="24"/>
        </w:rPr>
        <w:t>direito</w:t>
      </w:r>
      <w:r>
        <w:rPr>
          <w:rFonts w:ascii="Arial" w:hAnsi="Arial" w:cs="Arial"/>
          <w:sz w:val="24"/>
          <w:szCs w:val="24"/>
        </w:rPr>
        <w:t xml:space="preserve"> interno e comparado semelhantes à repercussão geral. Nesse estudo, daremos maior destaque a dois </w:t>
      </w:r>
      <w:r>
        <w:rPr>
          <w:rFonts w:ascii="Arial" w:hAnsi="Arial" w:cs="Arial"/>
          <w:sz w:val="24"/>
          <w:szCs w:val="24"/>
        </w:rPr>
        <w:lastRenderedPageBreak/>
        <w:t xml:space="preserve">institutos que já mencionamos acima, mas aos quais dedicaremos maior atenção: 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Pr>
          <w:rFonts w:ascii="Arial" w:hAnsi="Arial" w:cs="Arial"/>
          <w:i/>
          <w:sz w:val="24"/>
          <w:szCs w:val="24"/>
        </w:rPr>
        <w:t>certioriari</w:t>
      </w:r>
      <w:proofErr w:type="spellEnd"/>
      <w:r w:rsidR="008666C1">
        <w:rPr>
          <w:rFonts w:ascii="Arial" w:hAnsi="Arial" w:cs="Arial"/>
          <w:sz w:val="24"/>
          <w:szCs w:val="24"/>
        </w:rPr>
        <w:t xml:space="preserve"> do </w:t>
      </w:r>
      <w:r w:rsidR="00B45688">
        <w:rPr>
          <w:rFonts w:ascii="Arial" w:hAnsi="Arial" w:cs="Arial"/>
          <w:sz w:val="24"/>
          <w:szCs w:val="24"/>
        </w:rPr>
        <w:t>direito</w:t>
      </w:r>
      <w:r>
        <w:rPr>
          <w:rFonts w:ascii="Arial" w:hAnsi="Arial" w:cs="Arial"/>
          <w:sz w:val="24"/>
          <w:szCs w:val="24"/>
        </w:rPr>
        <w:t xml:space="preserve"> norte-americano e a arguição de relevância.</w:t>
      </w:r>
    </w:p>
    <w:p w14:paraId="731335D9" w14:textId="77777777" w:rsidR="00602232" w:rsidRDefault="00602232" w:rsidP="00D34772">
      <w:pPr>
        <w:spacing w:line="360" w:lineRule="auto"/>
        <w:ind w:firstLine="708"/>
        <w:jc w:val="both"/>
        <w:rPr>
          <w:rFonts w:ascii="Arial" w:hAnsi="Arial" w:cs="Arial"/>
          <w:sz w:val="24"/>
          <w:szCs w:val="24"/>
        </w:rPr>
      </w:pPr>
    </w:p>
    <w:p w14:paraId="4305B45A" w14:textId="77777777" w:rsidR="00806227" w:rsidRPr="009A194A" w:rsidRDefault="00CA7A55" w:rsidP="00806227">
      <w:pPr>
        <w:pStyle w:val="PargrafodaLista"/>
        <w:numPr>
          <w:ilvl w:val="0"/>
          <w:numId w:val="3"/>
        </w:numPr>
        <w:tabs>
          <w:tab w:val="left" w:pos="851"/>
          <w:tab w:val="left" w:pos="8364"/>
          <w:tab w:val="left" w:pos="8789"/>
        </w:tabs>
        <w:spacing w:before="120" w:after="120" w:line="360" w:lineRule="auto"/>
        <w:jc w:val="both"/>
        <w:rPr>
          <w:rFonts w:ascii="Arial" w:hAnsi="Arial" w:cs="Arial"/>
          <w:sz w:val="24"/>
          <w:szCs w:val="24"/>
          <w:u w:val="single"/>
        </w:rPr>
      </w:pPr>
      <w:r w:rsidRPr="009A194A">
        <w:rPr>
          <w:rFonts w:ascii="Arial" w:hAnsi="Arial" w:cs="Arial"/>
          <w:sz w:val="24"/>
          <w:szCs w:val="24"/>
          <w:u w:val="single"/>
        </w:rPr>
        <w:t>Conclusão</w:t>
      </w:r>
    </w:p>
    <w:p w14:paraId="4CE4B789" w14:textId="77777777" w:rsidR="00602232" w:rsidRPr="00735DBA" w:rsidRDefault="00602232" w:rsidP="00602232">
      <w:pPr>
        <w:tabs>
          <w:tab w:val="left" w:pos="851"/>
        </w:tabs>
        <w:spacing w:before="120" w:after="120" w:line="360" w:lineRule="auto"/>
        <w:ind w:firstLine="851"/>
        <w:jc w:val="both"/>
        <w:rPr>
          <w:rFonts w:ascii="Arial" w:hAnsi="Arial" w:cs="Arial"/>
          <w:sz w:val="24"/>
          <w:szCs w:val="24"/>
        </w:rPr>
      </w:pPr>
      <w:r w:rsidRPr="00735DBA">
        <w:rPr>
          <w:rFonts w:ascii="Arial" w:hAnsi="Arial" w:cs="Arial"/>
          <w:sz w:val="24"/>
          <w:szCs w:val="24"/>
        </w:rPr>
        <w:t xml:space="preserve">Com essas </w:t>
      </w:r>
      <w:r>
        <w:rPr>
          <w:rFonts w:ascii="Arial" w:hAnsi="Arial" w:cs="Arial"/>
          <w:sz w:val="24"/>
          <w:szCs w:val="24"/>
        </w:rPr>
        <w:t>observações</w:t>
      </w:r>
      <w:r w:rsidRPr="00735DBA">
        <w:rPr>
          <w:rFonts w:ascii="Arial" w:hAnsi="Arial" w:cs="Arial"/>
          <w:sz w:val="24"/>
          <w:szCs w:val="24"/>
        </w:rPr>
        <w:t xml:space="preserve">, chegamos ao fim </w:t>
      </w:r>
      <w:r>
        <w:rPr>
          <w:rFonts w:ascii="Arial" w:hAnsi="Arial" w:cs="Arial"/>
          <w:sz w:val="24"/>
          <w:szCs w:val="24"/>
        </w:rPr>
        <w:t>da terceira aula de nosso curso!</w:t>
      </w:r>
      <w:r w:rsidRPr="00735DBA">
        <w:rPr>
          <w:rFonts w:ascii="Arial" w:hAnsi="Arial" w:cs="Arial"/>
          <w:sz w:val="24"/>
          <w:szCs w:val="24"/>
        </w:rPr>
        <w:t xml:space="preserve"> </w:t>
      </w:r>
    </w:p>
    <w:p w14:paraId="7D61F09C" w14:textId="77777777" w:rsidR="00794779" w:rsidRDefault="005649CA" w:rsidP="005649CA">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Inicialmente, avançamos em assunto introduzido na aula passada, relativo à busca da compatibilização vertical das decisões judiciais. Identificamos alguns mecanismos que já foram adotados no Brasil com esse intuito, na busca pela conciliação</w:t>
      </w:r>
      <w:r w:rsidR="00794779">
        <w:rPr>
          <w:rFonts w:ascii="Arial" w:hAnsi="Arial" w:cs="Arial"/>
          <w:sz w:val="24"/>
          <w:szCs w:val="24"/>
        </w:rPr>
        <w:t xml:space="preserve"> </w:t>
      </w:r>
      <w:r>
        <w:rPr>
          <w:rFonts w:ascii="Arial" w:hAnsi="Arial" w:cs="Arial"/>
          <w:sz w:val="24"/>
          <w:szCs w:val="24"/>
        </w:rPr>
        <w:t>d</w:t>
      </w:r>
      <w:r w:rsidR="00794779">
        <w:rPr>
          <w:rFonts w:ascii="Arial" w:hAnsi="Arial" w:cs="Arial"/>
          <w:sz w:val="24"/>
          <w:szCs w:val="24"/>
        </w:rPr>
        <w:t xml:space="preserve">a prestação da tutela jurisdicional com </w:t>
      </w:r>
      <w:r w:rsidR="008F0CBC">
        <w:rPr>
          <w:rFonts w:ascii="Arial" w:hAnsi="Arial" w:cs="Arial"/>
          <w:sz w:val="24"/>
          <w:szCs w:val="24"/>
        </w:rPr>
        <w:t>instrumentos</w:t>
      </w:r>
      <w:r w:rsidR="00794779">
        <w:rPr>
          <w:rFonts w:ascii="Arial" w:hAnsi="Arial" w:cs="Arial"/>
          <w:sz w:val="24"/>
          <w:szCs w:val="24"/>
        </w:rPr>
        <w:t xml:space="preserve"> que imprimam ao processo m</w:t>
      </w:r>
      <w:r w:rsidR="008F0CBC">
        <w:rPr>
          <w:rFonts w:ascii="Arial" w:hAnsi="Arial" w:cs="Arial"/>
          <w:sz w:val="24"/>
          <w:szCs w:val="24"/>
        </w:rPr>
        <w:t>aior celeridade e uniformidade.</w:t>
      </w:r>
    </w:p>
    <w:p w14:paraId="31589BD1" w14:textId="77777777" w:rsidR="00794779" w:rsidRDefault="008F0CBC" w:rsidP="008F0CBC">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Na sequência, considerando que a</w:t>
      </w:r>
      <w:r w:rsidR="00794779">
        <w:rPr>
          <w:rFonts w:ascii="Arial" w:hAnsi="Arial" w:cs="Arial"/>
          <w:sz w:val="24"/>
          <w:szCs w:val="24"/>
        </w:rPr>
        <w:t xml:space="preserve"> repercussão geral é instituto que se manifesta no â</w:t>
      </w:r>
      <w:r>
        <w:rPr>
          <w:rFonts w:ascii="Arial" w:hAnsi="Arial" w:cs="Arial"/>
          <w:sz w:val="24"/>
          <w:szCs w:val="24"/>
        </w:rPr>
        <w:t xml:space="preserve">mbito do recurso extraordinário, analisamos alguns aspectos da origem desse meio de impugnação de decisões judiciais, que já </w:t>
      </w:r>
      <w:r w:rsidR="00794779">
        <w:rPr>
          <w:rFonts w:ascii="Arial" w:hAnsi="Arial" w:cs="Arial"/>
          <w:sz w:val="24"/>
          <w:szCs w:val="24"/>
        </w:rPr>
        <w:t xml:space="preserve">desde o início de sua existência </w:t>
      </w:r>
      <w:r>
        <w:rPr>
          <w:rFonts w:ascii="Arial" w:hAnsi="Arial" w:cs="Arial"/>
          <w:sz w:val="24"/>
          <w:szCs w:val="24"/>
        </w:rPr>
        <w:t xml:space="preserve">apresentava o </w:t>
      </w:r>
      <w:r w:rsidR="00794779">
        <w:rPr>
          <w:rFonts w:ascii="Arial" w:hAnsi="Arial" w:cs="Arial"/>
          <w:sz w:val="24"/>
          <w:szCs w:val="24"/>
        </w:rPr>
        <w:t xml:space="preserve">problema do crescente número de </w:t>
      </w:r>
      <w:r>
        <w:rPr>
          <w:rFonts w:ascii="Arial" w:hAnsi="Arial" w:cs="Arial"/>
          <w:sz w:val="24"/>
          <w:szCs w:val="24"/>
        </w:rPr>
        <w:t>processos</w:t>
      </w:r>
      <w:r w:rsidR="00794779">
        <w:rPr>
          <w:rFonts w:ascii="Arial" w:hAnsi="Arial" w:cs="Arial"/>
          <w:sz w:val="24"/>
          <w:szCs w:val="24"/>
        </w:rPr>
        <w:t xml:space="preserve"> que chegavam ao STF. </w:t>
      </w:r>
      <w:r>
        <w:rPr>
          <w:rFonts w:ascii="Arial" w:hAnsi="Arial" w:cs="Arial"/>
          <w:sz w:val="24"/>
          <w:szCs w:val="24"/>
        </w:rPr>
        <w:t>Constatamos que essa situação não é exclusividade brasileira, revelando-se presente também em outros países. Entretanto, considerando que aqui o excesso de recursos parece ser ainda mais forte, identificamos algumas peculiaridades da realidade brasileira que ajudam a entender esse fenômeno, especialmente em relação a alguns aspectos da origem de nossa federação.</w:t>
      </w:r>
    </w:p>
    <w:p w14:paraId="2F5E603E" w14:textId="29F54183" w:rsidR="007A6A75" w:rsidRDefault="007A6A75" w:rsidP="00602232">
      <w:pPr>
        <w:tabs>
          <w:tab w:val="left" w:pos="851"/>
        </w:tabs>
        <w:spacing w:before="120" w:after="120" w:line="360" w:lineRule="auto"/>
        <w:ind w:firstLine="851"/>
        <w:jc w:val="both"/>
        <w:rPr>
          <w:rFonts w:ascii="Arial" w:hAnsi="Arial" w:cs="Arial"/>
          <w:i/>
          <w:sz w:val="24"/>
          <w:szCs w:val="24"/>
        </w:rPr>
      </w:pPr>
      <w:r>
        <w:rPr>
          <w:rFonts w:ascii="Arial" w:hAnsi="Arial" w:cs="Arial"/>
          <w:sz w:val="24"/>
          <w:szCs w:val="24"/>
        </w:rPr>
        <w:t xml:space="preserve">Identificada a </w:t>
      </w:r>
      <w:r>
        <w:rPr>
          <w:rFonts w:ascii="Arial" w:hAnsi="Arial" w:cs="Arial"/>
          <w:i/>
          <w:sz w:val="24"/>
          <w:szCs w:val="24"/>
        </w:rPr>
        <w:t>crise do recurso extraordinário</w:t>
      </w:r>
      <w:r>
        <w:rPr>
          <w:rFonts w:ascii="Arial" w:hAnsi="Arial" w:cs="Arial"/>
          <w:sz w:val="24"/>
          <w:szCs w:val="24"/>
        </w:rPr>
        <w:t>, elencamos algumas iniciativas adotadas ao longo do tempo na tentativa de solucionar o problema</w:t>
      </w:r>
      <w:r w:rsidR="00A63612">
        <w:rPr>
          <w:rFonts w:ascii="Arial" w:hAnsi="Arial" w:cs="Arial"/>
          <w:sz w:val="24"/>
          <w:szCs w:val="24"/>
        </w:rPr>
        <w:t>, tanto pela via constitucional</w:t>
      </w:r>
      <w:r>
        <w:rPr>
          <w:rFonts w:ascii="Arial" w:hAnsi="Arial" w:cs="Arial"/>
          <w:sz w:val="24"/>
          <w:szCs w:val="24"/>
        </w:rPr>
        <w:t xml:space="preserve"> quanto pelas vias legislativa e regimental do STF, bem como ações empreendidas em outros países. Com maior destaque, apontamos os instrumentos do </w:t>
      </w:r>
      <w:r>
        <w:rPr>
          <w:rFonts w:ascii="Arial" w:hAnsi="Arial" w:cs="Arial"/>
          <w:i/>
          <w:sz w:val="24"/>
          <w:szCs w:val="24"/>
        </w:rPr>
        <w:t xml:space="preserve">writ </w:t>
      </w:r>
      <w:proofErr w:type="spellStart"/>
      <w:r>
        <w:rPr>
          <w:rFonts w:ascii="Arial" w:hAnsi="Arial" w:cs="Arial"/>
          <w:i/>
          <w:sz w:val="24"/>
          <w:szCs w:val="24"/>
        </w:rPr>
        <w:t>of</w:t>
      </w:r>
      <w:proofErr w:type="spellEnd"/>
      <w:r>
        <w:rPr>
          <w:rFonts w:ascii="Arial" w:hAnsi="Arial" w:cs="Arial"/>
          <w:i/>
          <w:sz w:val="24"/>
          <w:szCs w:val="24"/>
        </w:rPr>
        <w:t xml:space="preserve"> </w:t>
      </w:r>
      <w:proofErr w:type="spellStart"/>
      <w:r w:rsidRPr="007A6A75">
        <w:rPr>
          <w:rFonts w:ascii="Arial" w:hAnsi="Arial" w:cs="Arial"/>
          <w:i/>
          <w:sz w:val="24"/>
          <w:szCs w:val="24"/>
        </w:rPr>
        <w:t>certioriari</w:t>
      </w:r>
      <w:proofErr w:type="spellEnd"/>
      <w:r>
        <w:rPr>
          <w:rFonts w:ascii="Arial" w:hAnsi="Arial" w:cs="Arial"/>
          <w:i/>
          <w:sz w:val="24"/>
          <w:szCs w:val="24"/>
        </w:rPr>
        <w:t xml:space="preserve"> </w:t>
      </w:r>
      <w:r>
        <w:rPr>
          <w:rFonts w:ascii="Arial" w:hAnsi="Arial" w:cs="Arial"/>
          <w:sz w:val="24"/>
          <w:szCs w:val="24"/>
        </w:rPr>
        <w:t>(adotado nos Estados Unidos) e a arguição de relevância (adotada no Brasil, quando cabia ao STF também a função de zela</w:t>
      </w:r>
      <w:r w:rsidR="00F31DEB">
        <w:rPr>
          <w:rFonts w:ascii="Arial" w:hAnsi="Arial" w:cs="Arial"/>
          <w:sz w:val="24"/>
          <w:szCs w:val="24"/>
        </w:rPr>
        <w:t xml:space="preserve">r pela aplicação do </w:t>
      </w:r>
      <w:r w:rsidR="00B45688">
        <w:rPr>
          <w:rFonts w:ascii="Arial" w:hAnsi="Arial" w:cs="Arial"/>
          <w:sz w:val="24"/>
          <w:szCs w:val="24"/>
        </w:rPr>
        <w:t>direito</w:t>
      </w:r>
      <w:r>
        <w:rPr>
          <w:rFonts w:ascii="Arial" w:hAnsi="Arial" w:cs="Arial"/>
          <w:sz w:val="24"/>
          <w:szCs w:val="24"/>
        </w:rPr>
        <w:t xml:space="preserve"> federal infraconstitucional).</w:t>
      </w:r>
      <w:r>
        <w:rPr>
          <w:rFonts w:ascii="Arial" w:hAnsi="Arial" w:cs="Arial"/>
          <w:i/>
          <w:sz w:val="24"/>
          <w:szCs w:val="24"/>
        </w:rPr>
        <w:t xml:space="preserve"> </w:t>
      </w:r>
    </w:p>
    <w:p w14:paraId="529EF0A8" w14:textId="470FC448" w:rsidR="00602232" w:rsidRDefault="007A6A75" w:rsidP="000B6DC2">
      <w:pPr>
        <w:tabs>
          <w:tab w:val="left" w:pos="851"/>
        </w:tabs>
        <w:spacing w:before="120" w:after="120" w:line="360" w:lineRule="auto"/>
        <w:ind w:firstLine="851"/>
        <w:jc w:val="both"/>
        <w:rPr>
          <w:rFonts w:ascii="Arial" w:hAnsi="Arial" w:cs="Arial"/>
          <w:sz w:val="24"/>
          <w:szCs w:val="24"/>
        </w:rPr>
      </w:pPr>
      <w:r>
        <w:rPr>
          <w:rFonts w:ascii="Arial" w:hAnsi="Arial" w:cs="Arial"/>
          <w:sz w:val="24"/>
          <w:szCs w:val="24"/>
        </w:rPr>
        <w:t>Conquanto essas tentativas não tenham se mostrado eficientes, todas, em alguma medida, contribuíram para a posterior formação da repercussão geral, assim como de ou</w:t>
      </w:r>
      <w:r w:rsidR="00BF5057">
        <w:rPr>
          <w:rFonts w:ascii="Arial" w:hAnsi="Arial" w:cs="Arial"/>
          <w:sz w:val="24"/>
          <w:szCs w:val="24"/>
        </w:rPr>
        <w:t xml:space="preserve">tros institutos semelhantes do </w:t>
      </w:r>
      <w:r w:rsidR="00B45688">
        <w:rPr>
          <w:rFonts w:ascii="Arial" w:hAnsi="Arial" w:cs="Arial"/>
          <w:sz w:val="24"/>
          <w:szCs w:val="24"/>
        </w:rPr>
        <w:t>direito</w:t>
      </w:r>
      <w:r>
        <w:rPr>
          <w:rFonts w:ascii="Arial" w:hAnsi="Arial" w:cs="Arial"/>
          <w:sz w:val="24"/>
          <w:szCs w:val="24"/>
        </w:rPr>
        <w:t xml:space="preserve"> comparado.</w:t>
      </w:r>
      <w:r w:rsidR="000B6DC2">
        <w:rPr>
          <w:rFonts w:ascii="Arial" w:hAnsi="Arial" w:cs="Arial"/>
          <w:sz w:val="24"/>
          <w:szCs w:val="24"/>
        </w:rPr>
        <w:t xml:space="preserve"> Desse modo, identificado esse contexto mais geral na aula passada e na de hoje, na próxima aula iniciaremos pelo estudo mais específico desses dois instrumentos destacados (</w:t>
      </w:r>
      <w:r w:rsidR="000B6DC2">
        <w:rPr>
          <w:rFonts w:ascii="Arial" w:hAnsi="Arial" w:cs="Arial"/>
          <w:i/>
          <w:sz w:val="24"/>
          <w:szCs w:val="24"/>
        </w:rPr>
        <w:t xml:space="preserve">writ </w:t>
      </w:r>
      <w:proofErr w:type="spellStart"/>
      <w:r w:rsidR="000B6DC2">
        <w:rPr>
          <w:rFonts w:ascii="Arial" w:hAnsi="Arial" w:cs="Arial"/>
          <w:i/>
          <w:sz w:val="24"/>
          <w:szCs w:val="24"/>
        </w:rPr>
        <w:t>of</w:t>
      </w:r>
      <w:proofErr w:type="spellEnd"/>
      <w:r w:rsidR="000B6DC2">
        <w:rPr>
          <w:rFonts w:ascii="Arial" w:hAnsi="Arial" w:cs="Arial"/>
          <w:i/>
          <w:sz w:val="24"/>
          <w:szCs w:val="24"/>
        </w:rPr>
        <w:t xml:space="preserve"> </w:t>
      </w:r>
      <w:proofErr w:type="spellStart"/>
      <w:r w:rsidR="000B6DC2" w:rsidRPr="007A6A75">
        <w:rPr>
          <w:rFonts w:ascii="Arial" w:hAnsi="Arial" w:cs="Arial"/>
          <w:i/>
          <w:sz w:val="24"/>
          <w:szCs w:val="24"/>
        </w:rPr>
        <w:t>certioriari</w:t>
      </w:r>
      <w:proofErr w:type="spellEnd"/>
      <w:r w:rsidR="000B6DC2">
        <w:rPr>
          <w:rFonts w:ascii="Arial" w:hAnsi="Arial" w:cs="Arial"/>
          <w:i/>
          <w:sz w:val="24"/>
          <w:szCs w:val="24"/>
        </w:rPr>
        <w:t xml:space="preserve"> </w:t>
      </w:r>
      <w:r w:rsidR="00F91374">
        <w:rPr>
          <w:rFonts w:ascii="Arial" w:hAnsi="Arial" w:cs="Arial"/>
          <w:sz w:val="24"/>
          <w:szCs w:val="24"/>
        </w:rPr>
        <w:t xml:space="preserve">e arguição </w:t>
      </w:r>
      <w:r w:rsidR="00F91374">
        <w:rPr>
          <w:rFonts w:ascii="Arial" w:hAnsi="Arial" w:cs="Arial"/>
          <w:sz w:val="24"/>
          <w:szCs w:val="24"/>
        </w:rPr>
        <w:lastRenderedPageBreak/>
        <w:t xml:space="preserve">de relevância), bem como </w:t>
      </w:r>
      <w:r w:rsidR="00256824">
        <w:rPr>
          <w:rFonts w:ascii="Arial" w:hAnsi="Arial" w:cs="Arial"/>
          <w:sz w:val="24"/>
          <w:szCs w:val="24"/>
        </w:rPr>
        <w:t xml:space="preserve">de </w:t>
      </w:r>
      <w:r w:rsidR="000B6DC2">
        <w:rPr>
          <w:rFonts w:ascii="Arial" w:hAnsi="Arial" w:cs="Arial"/>
          <w:sz w:val="24"/>
          <w:szCs w:val="24"/>
        </w:rPr>
        <w:t>outros similares de direito comparado, que mais específica e diretamente influenciaram a formação da repercussão geral.</w:t>
      </w:r>
    </w:p>
    <w:p w14:paraId="3C316D4F" w14:textId="77777777" w:rsidR="00BC1DEE" w:rsidRDefault="00BC1DEE" w:rsidP="00BC1DEE">
      <w:pPr>
        <w:tabs>
          <w:tab w:val="left" w:pos="851"/>
          <w:tab w:val="left" w:pos="8364"/>
          <w:tab w:val="left" w:pos="8789"/>
        </w:tabs>
        <w:spacing w:before="120" w:after="120" w:line="360" w:lineRule="auto"/>
        <w:jc w:val="both"/>
        <w:rPr>
          <w:rFonts w:ascii="Arial" w:hAnsi="Arial" w:cs="Arial"/>
          <w:sz w:val="24"/>
          <w:szCs w:val="24"/>
        </w:rPr>
      </w:pPr>
    </w:p>
    <w:p w14:paraId="4F3B554D" w14:textId="77777777" w:rsidR="00BC1DEE" w:rsidRPr="00BB6F78" w:rsidRDefault="00BC1DEE" w:rsidP="00BC1DEE">
      <w:pPr>
        <w:tabs>
          <w:tab w:val="left" w:pos="851"/>
          <w:tab w:val="left" w:pos="8364"/>
          <w:tab w:val="left" w:pos="8789"/>
        </w:tabs>
        <w:spacing w:before="120" w:after="120" w:line="360" w:lineRule="auto"/>
        <w:jc w:val="both"/>
        <w:rPr>
          <w:rFonts w:ascii="Arial" w:hAnsi="Arial" w:cs="Arial"/>
          <w:sz w:val="24"/>
          <w:szCs w:val="24"/>
        </w:rPr>
      </w:pPr>
      <w:r w:rsidRPr="00BB6F78">
        <w:rPr>
          <w:rFonts w:ascii="Arial" w:hAnsi="Arial" w:cs="Arial"/>
          <w:sz w:val="24"/>
          <w:szCs w:val="24"/>
        </w:rPr>
        <w:t>Referências</w:t>
      </w:r>
    </w:p>
    <w:p w14:paraId="32445080" w14:textId="77777777" w:rsidR="00BC1DEE" w:rsidRPr="00BB6F78" w:rsidRDefault="00BC1DEE" w:rsidP="00BC1DEE">
      <w:pPr>
        <w:tabs>
          <w:tab w:val="left" w:pos="851"/>
          <w:tab w:val="left" w:pos="8364"/>
          <w:tab w:val="left" w:pos="8789"/>
        </w:tabs>
        <w:spacing w:before="120" w:after="120" w:line="360" w:lineRule="auto"/>
        <w:jc w:val="both"/>
        <w:rPr>
          <w:rFonts w:ascii="Arial" w:hAnsi="Arial" w:cs="Arial"/>
          <w:sz w:val="24"/>
          <w:szCs w:val="24"/>
        </w:rPr>
      </w:pPr>
    </w:p>
    <w:p w14:paraId="1C9520D8" w14:textId="64EACCE6"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BB6F78">
        <w:rPr>
          <w:rFonts w:ascii="Arial" w:hAnsi="Arial" w:cs="Arial"/>
          <w:sz w:val="24"/>
          <w:szCs w:val="24"/>
        </w:rPr>
        <w:t xml:space="preserve">BARBOSA MOREIRA, José Carlos. </w:t>
      </w:r>
      <w:r w:rsidRPr="00BB6F78">
        <w:rPr>
          <w:rFonts w:ascii="Arial" w:hAnsi="Arial" w:cs="Arial"/>
          <w:b/>
          <w:sz w:val="24"/>
          <w:szCs w:val="24"/>
        </w:rPr>
        <w:t>Comentários ao Código de Processo Civil</w:t>
      </w:r>
      <w:r w:rsidRPr="00BB6F78">
        <w:rPr>
          <w:rFonts w:ascii="Arial" w:hAnsi="Arial" w:cs="Arial"/>
          <w:sz w:val="24"/>
          <w:szCs w:val="24"/>
        </w:rPr>
        <w:t>. Rio de Janeiro: Forense, 2013, v. 5.</w:t>
      </w:r>
    </w:p>
    <w:p w14:paraId="2019B29F" w14:textId="77777777"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72F1C897" w14:textId="1EA7BC13"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 xml:space="preserve">CRUZ E TUCCI, José Rogério. </w:t>
      </w:r>
      <w:r w:rsidRPr="005F5E40">
        <w:rPr>
          <w:rFonts w:ascii="Arial" w:hAnsi="Arial" w:cs="Arial"/>
          <w:b/>
          <w:sz w:val="24"/>
          <w:szCs w:val="24"/>
        </w:rPr>
        <w:t>Tempo e processo</w:t>
      </w:r>
      <w:r w:rsidRPr="005F5E40">
        <w:rPr>
          <w:rFonts w:ascii="Arial" w:hAnsi="Arial" w:cs="Arial"/>
          <w:sz w:val="24"/>
          <w:szCs w:val="24"/>
        </w:rPr>
        <w:t>. São Paulo: Revista dos Tribunais, 1997.</w:t>
      </w:r>
    </w:p>
    <w:p w14:paraId="3D1893FB" w14:textId="77777777"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3AD3157B" w14:textId="1FF85C95"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 xml:space="preserve">LIEBMAN, Enrico </w:t>
      </w:r>
      <w:proofErr w:type="spellStart"/>
      <w:r w:rsidRPr="005F5E40">
        <w:rPr>
          <w:rFonts w:ascii="Arial" w:hAnsi="Arial" w:cs="Arial"/>
          <w:sz w:val="24"/>
          <w:szCs w:val="24"/>
        </w:rPr>
        <w:t>Tullio</w:t>
      </w:r>
      <w:proofErr w:type="spellEnd"/>
      <w:r w:rsidRPr="005F5E40">
        <w:rPr>
          <w:rFonts w:ascii="Arial" w:hAnsi="Arial" w:cs="Arial"/>
          <w:sz w:val="24"/>
          <w:szCs w:val="24"/>
        </w:rPr>
        <w:t xml:space="preserve">. </w:t>
      </w:r>
      <w:r w:rsidRPr="005F5E40">
        <w:rPr>
          <w:rFonts w:ascii="Arial" w:hAnsi="Arial" w:cs="Arial"/>
          <w:b/>
          <w:sz w:val="24"/>
          <w:szCs w:val="24"/>
        </w:rPr>
        <w:t>Perspectivas do recurso extraordinário</w:t>
      </w:r>
      <w:r w:rsidRPr="005F5E40">
        <w:rPr>
          <w:rFonts w:ascii="Arial" w:hAnsi="Arial" w:cs="Arial"/>
          <w:sz w:val="24"/>
          <w:szCs w:val="24"/>
        </w:rPr>
        <w:t xml:space="preserve">. </w:t>
      </w:r>
      <w:r w:rsidRPr="005F5E40">
        <w:rPr>
          <w:rFonts w:ascii="Arial" w:hAnsi="Arial" w:cs="Arial"/>
          <w:i/>
          <w:sz w:val="24"/>
          <w:szCs w:val="24"/>
        </w:rPr>
        <w:t>In</w:t>
      </w:r>
      <w:r w:rsidR="00BB6F78">
        <w:rPr>
          <w:rFonts w:ascii="Arial" w:hAnsi="Arial" w:cs="Arial"/>
          <w:sz w:val="24"/>
          <w:szCs w:val="24"/>
        </w:rPr>
        <w:t>: Revista Forense,</w:t>
      </w:r>
      <w:r w:rsidR="00793101">
        <w:rPr>
          <w:rFonts w:ascii="Arial" w:hAnsi="Arial" w:cs="Arial"/>
          <w:sz w:val="24"/>
          <w:szCs w:val="24"/>
        </w:rPr>
        <w:t xml:space="preserve"> </w:t>
      </w:r>
      <w:r w:rsidR="00BB6F78">
        <w:rPr>
          <w:rFonts w:ascii="Arial" w:hAnsi="Arial" w:cs="Arial"/>
          <w:sz w:val="24"/>
          <w:szCs w:val="24"/>
        </w:rPr>
        <w:t>1941</w:t>
      </w:r>
      <w:r w:rsidR="00793101">
        <w:rPr>
          <w:rFonts w:ascii="Arial" w:hAnsi="Arial" w:cs="Arial"/>
          <w:sz w:val="24"/>
          <w:szCs w:val="24"/>
        </w:rPr>
        <w:t>,</w:t>
      </w:r>
      <w:r w:rsidR="00793101" w:rsidRPr="00793101">
        <w:rPr>
          <w:rFonts w:ascii="Arial" w:hAnsi="Arial" w:cs="Arial"/>
          <w:sz w:val="24"/>
          <w:szCs w:val="24"/>
        </w:rPr>
        <w:t xml:space="preserve"> </w:t>
      </w:r>
      <w:r w:rsidR="00793101" w:rsidRPr="006961BC">
        <w:rPr>
          <w:rFonts w:ascii="Arial" w:hAnsi="Arial" w:cs="Arial"/>
          <w:sz w:val="24"/>
          <w:szCs w:val="24"/>
        </w:rPr>
        <w:t>v. 85</w:t>
      </w:r>
      <w:r w:rsidR="00BB6F78">
        <w:rPr>
          <w:rFonts w:ascii="Arial" w:hAnsi="Arial" w:cs="Arial"/>
          <w:sz w:val="24"/>
          <w:szCs w:val="24"/>
        </w:rPr>
        <w:t>.</w:t>
      </w:r>
    </w:p>
    <w:p w14:paraId="4EEBE0C1" w14:textId="77777777" w:rsidR="002A0444" w:rsidRPr="00BB6F78"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3504455E" w14:textId="1B1DC2F1"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 xml:space="preserve">MARINONI, Luiz Guilherme; MITIDIERO, Daniel. </w:t>
      </w:r>
      <w:r w:rsidRPr="005F5E40">
        <w:rPr>
          <w:rFonts w:ascii="Arial" w:hAnsi="Arial" w:cs="Arial"/>
          <w:b/>
          <w:sz w:val="24"/>
          <w:szCs w:val="24"/>
        </w:rPr>
        <w:t>Repercussão geral no recurso extraordinário</w:t>
      </w:r>
      <w:r w:rsidRPr="005F5E40">
        <w:rPr>
          <w:rFonts w:ascii="Arial" w:hAnsi="Arial" w:cs="Arial"/>
          <w:sz w:val="24"/>
          <w:szCs w:val="24"/>
        </w:rPr>
        <w:t>. São Paulo:</w:t>
      </w:r>
      <w:r w:rsidR="00BB6F78">
        <w:rPr>
          <w:rFonts w:ascii="Arial" w:hAnsi="Arial" w:cs="Arial"/>
          <w:sz w:val="24"/>
          <w:szCs w:val="24"/>
        </w:rPr>
        <w:t xml:space="preserve"> Revista dos Tribunais, 2012.</w:t>
      </w:r>
    </w:p>
    <w:p w14:paraId="3C17E209" w14:textId="77777777"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7B475160" w14:textId="3D1369F2"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MEDINA,</w:t>
      </w:r>
      <w:r w:rsidRPr="005F5E40">
        <w:rPr>
          <w:sz w:val="24"/>
          <w:szCs w:val="24"/>
        </w:rPr>
        <w:t xml:space="preserve"> </w:t>
      </w:r>
      <w:r w:rsidRPr="005F5E40">
        <w:rPr>
          <w:rFonts w:ascii="Arial" w:hAnsi="Arial" w:cs="Arial"/>
          <w:sz w:val="24"/>
          <w:szCs w:val="24"/>
        </w:rPr>
        <w:t xml:space="preserve">José Miguel Garcia. </w:t>
      </w:r>
      <w:r w:rsidRPr="005F5E40">
        <w:rPr>
          <w:rFonts w:ascii="Arial" w:hAnsi="Arial" w:cs="Arial"/>
          <w:b/>
          <w:sz w:val="24"/>
          <w:szCs w:val="24"/>
        </w:rPr>
        <w:t>Prequestionamento e repercussão geral e outras questões relativas aos recursos especial e extraordinário</w:t>
      </w:r>
      <w:r w:rsidRPr="005F5E40">
        <w:rPr>
          <w:rFonts w:ascii="Arial" w:hAnsi="Arial" w:cs="Arial"/>
          <w:sz w:val="24"/>
          <w:szCs w:val="24"/>
        </w:rPr>
        <w:t>. São Paulo: Revista dos Tribunais, 2012</w:t>
      </w:r>
      <w:r w:rsidR="00BB6F78">
        <w:rPr>
          <w:rFonts w:ascii="Arial" w:hAnsi="Arial" w:cs="Arial"/>
          <w:sz w:val="24"/>
          <w:szCs w:val="24"/>
        </w:rPr>
        <w:t>.</w:t>
      </w:r>
    </w:p>
    <w:p w14:paraId="156B4FCD" w14:textId="77777777"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50E13534" w14:textId="1F78DC07"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 xml:space="preserve">SILVA, José Afonso da. </w:t>
      </w:r>
      <w:r w:rsidRPr="005F5E40">
        <w:rPr>
          <w:rFonts w:ascii="Arial" w:hAnsi="Arial" w:cs="Arial"/>
          <w:b/>
          <w:sz w:val="24"/>
          <w:szCs w:val="24"/>
        </w:rPr>
        <w:t xml:space="preserve">Do recurso extraordinário no </w:t>
      </w:r>
      <w:r w:rsidR="00BB6F78" w:rsidRPr="00BB6F78">
        <w:rPr>
          <w:rFonts w:ascii="Arial" w:hAnsi="Arial" w:cs="Arial"/>
          <w:b/>
          <w:sz w:val="24"/>
          <w:szCs w:val="24"/>
        </w:rPr>
        <w:t xml:space="preserve">direito processual </w:t>
      </w:r>
      <w:r w:rsidRPr="005F5E40">
        <w:rPr>
          <w:rFonts w:ascii="Arial" w:hAnsi="Arial" w:cs="Arial"/>
          <w:b/>
          <w:sz w:val="24"/>
          <w:szCs w:val="24"/>
        </w:rPr>
        <w:t>brasileiro</w:t>
      </w:r>
      <w:r w:rsidRPr="005F5E40">
        <w:rPr>
          <w:rFonts w:ascii="Arial" w:hAnsi="Arial" w:cs="Arial"/>
          <w:sz w:val="24"/>
          <w:szCs w:val="24"/>
        </w:rPr>
        <w:t>. São Paulo: Revista dos Tribunais, 1963.</w:t>
      </w:r>
    </w:p>
    <w:p w14:paraId="406F308C" w14:textId="77777777" w:rsidR="002A0444" w:rsidRPr="005F5E40" w:rsidRDefault="002A0444" w:rsidP="00BC1DEE">
      <w:pPr>
        <w:tabs>
          <w:tab w:val="left" w:pos="851"/>
          <w:tab w:val="left" w:pos="8364"/>
          <w:tab w:val="left" w:pos="8789"/>
        </w:tabs>
        <w:spacing w:before="120" w:after="120" w:line="360" w:lineRule="auto"/>
        <w:jc w:val="both"/>
        <w:rPr>
          <w:rFonts w:ascii="Arial" w:hAnsi="Arial" w:cs="Arial"/>
          <w:sz w:val="24"/>
          <w:szCs w:val="24"/>
        </w:rPr>
      </w:pPr>
    </w:p>
    <w:p w14:paraId="36833778" w14:textId="42E9E927" w:rsidR="00806227" w:rsidRPr="00BB6F78" w:rsidRDefault="002A0444">
      <w:pPr>
        <w:tabs>
          <w:tab w:val="left" w:pos="851"/>
          <w:tab w:val="left" w:pos="8364"/>
          <w:tab w:val="left" w:pos="8789"/>
        </w:tabs>
        <w:spacing w:before="120" w:after="120" w:line="360" w:lineRule="auto"/>
        <w:jc w:val="both"/>
        <w:rPr>
          <w:rFonts w:ascii="Arial" w:hAnsi="Arial" w:cs="Arial"/>
          <w:sz w:val="24"/>
          <w:szCs w:val="24"/>
        </w:rPr>
      </w:pPr>
      <w:r w:rsidRPr="005F5E40">
        <w:rPr>
          <w:rFonts w:ascii="Arial" w:hAnsi="Arial" w:cs="Arial"/>
          <w:sz w:val="24"/>
          <w:szCs w:val="24"/>
        </w:rPr>
        <w:t>WAMBIER, Teresa Arruda Alvim; DANTAS, Bruno.</w:t>
      </w:r>
      <w:r w:rsidRPr="005F5E40">
        <w:rPr>
          <w:rFonts w:ascii="Arial" w:hAnsi="Arial" w:cs="Arial"/>
          <w:b/>
          <w:sz w:val="24"/>
          <w:szCs w:val="24"/>
        </w:rPr>
        <w:t xml:space="preserve"> Recurso especial, recurso extraordinário e a nova função dos </w:t>
      </w:r>
      <w:r w:rsidR="00BB6F78" w:rsidRPr="00BB6F78">
        <w:rPr>
          <w:rFonts w:ascii="Arial" w:hAnsi="Arial" w:cs="Arial"/>
          <w:b/>
          <w:sz w:val="24"/>
          <w:szCs w:val="24"/>
        </w:rPr>
        <w:t xml:space="preserve">tribunais superiores </w:t>
      </w:r>
      <w:r w:rsidRPr="005F5E40">
        <w:rPr>
          <w:rFonts w:ascii="Arial" w:hAnsi="Arial" w:cs="Arial"/>
          <w:b/>
          <w:sz w:val="24"/>
          <w:szCs w:val="24"/>
        </w:rPr>
        <w:t xml:space="preserve">no </w:t>
      </w:r>
      <w:r w:rsidR="00BB6F78">
        <w:rPr>
          <w:rFonts w:ascii="Arial" w:hAnsi="Arial" w:cs="Arial"/>
          <w:b/>
          <w:sz w:val="24"/>
          <w:szCs w:val="24"/>
        </w:rPr>
        <w:t>d</w:t>
      </w:r>
      <w:r w:rsidRPr="005F5E40">
        <w:rPr>
          <w:rFonts w:ascii="Arial" w:hAnsi="Arial" w:cs="Arial"/>
          <w:b/>
          <w:sz w:val="24"/>
          <w:szCs w:val="24"/>
        </w:rPr>
        <w:t>ireito brasileiro</w:t>
      </w:r>
      <w:r w:rsidRPr="005F5E40">
        <w:rPr>
          <w:rFonts w:ascii="Arial" w:hAnsi="Arial" w:cs="Arial"/>
          <w:sz w:val="24"/>
          <w:szCs w:val="24"/>
        </w:rPr>
        <w:t>. São Paulo: Revista dos Tribunais, 2016</w:t>
      </w:r>
      <w:r w:rsidR="00BB6F78">
        <w:rPr>
          <w:rFonts w:ascii="Arial" w:hAnsi="Arial" w:cs="Arial"/>
          <w:sz w:val="24"/>
          <w:szCs w:val="24"/>
        </w:rPr>
        <w:t>.</w:t>
      </w:r>
    </w:p>
    <w:sectPr w:rsidR="00806227" w:rsidRPr="00BB6F78" w:rsidSect="005533F4">
      <w:headerReference w:type="default" r:id="rId17"/>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parecida Serejo de Souza Lima" w:date="2017-04-18T17:58:00Z" w:initials="MASdSL">
    <w:p w14:paraId="3FF19417" w14:textId="77777777" w:rsidR="0076514C" w:rsidRDefault="0076514C">
      <w:pPr>
        <w:pStyle w:val="Textodecomentrio"/>
      </w:pPr>
      <w:r>
        <w:rPr>
          <w:rStyle w:val="Refdecomentrio"/>
        </w:rPr>
        <w:annotationRef/>
      </w:r>
      <w:r>
        <w:t>Diagramação: inserir foto e currículo dos autores.</w:t>
      </w:r>
    </w:p>
    <w:p w14:paraId="31CB0794" w14:textId="77777777" w:rsidR="0076514C" w:rsidRDefault="0076514C">
      <w:pPr>
        <w:pStyle w:val="Textodecomentrio"/>
        <w:rPr>
          <w:rFonts w:ascii="Tahoma" w:hAnsi="Tahoma" w:cs="Tahoma"/>
          <w:color w:val="666666"/>
          <w:shd w:val="clear" w:color="auto" w:fill="FFFFFF"/>
        </w:rPr>
      </w:pPr>
      <w:r>
        <w:t xml:space="preserve">Daniel </w:t>
      </w:r>
      <w:proofErr w:type="spellStart"/>
      <w:r>
        <w:t>Mitidiero</w:t>
      </w:r>
      <w:proofErr w:type="spellEnd"/>
      <w:r>
        <w:t xml:space="preserve">:  </w:t>
      </w:r>
      <w:r>
        <w:rPr>
          <w:rFonts w:ascii="Tahoma" w:hAnsi="Tahoma" w:cs="Tahoma"/>
          <w:color w:val="666666"/>
          <w:shd w:val="clear" w:color="auto" w:fill="FFFFFF"/>
        </w:rPr>
        <w:t xml:space="preserve">Pós-Doutor em Direito pela </w:t>
      </w:r>
      <w:proofErr w:type="spellStart"/>
      <w:r>
        <w:rPr>
          <w:rFonts w:ascii="Tahoma" w:hAnsi="Tahoma" w:cs="Tahoma"/>
          <w:color w:val="666666"/>
          <w:shd w:val="clear" w:color="auto" w:fill="FFFFFF"/>
        </w:rPr>
        <w:t>Facoltà</w:t>
      </w:r>
      <w:proofErr w:type="spellEnd"/>
      <w:r>
        <w:rPr>
          <w:rFonts w:ascii="Tahoma" w:hAnsi="Tahoma" w:cs="Tahoma"/>
          <w:color w:val="666666"/>
          <w:shd w:val="clear" w:color="auto" w:fill="FFFFFF"/>
        </w:rPr>
        <w:t xml:space="preserve"> di </w:t>
      </w:r>
      <w:proofErr w:type="spellStart"/>
      <w:r>
        <w:rPr>
          <w:rFonts w:ascii="Tahoma" w:hAnsi="Tahoma" w:cs="Tahoma"/>
          <w:color w:val="666666"/>
          <w:shd w:val="clear" w:color="auto" w:fill="FFFFFF"/>
        </w:rPr>
        <w:t>Giurisprudenza</w:t>
      </w:r>
      <w:proofErr w:type="spellEnd"/>
      <w:r>
        <w:rPr>
          <w:rFonts w:ascii="Tahoma" w:hAnsi="Tahoma" w:cs="Tahoma"/>
          <w:color w:val="666666"/>
          <w:shd w:val="clear" w:color="auto" w:fill="FFFFFF"/>
        </w:rPr>
        <w:t xml:space="preserve"> </w:t>
      </w:r>
      <w:proofErr w:type="spellStart"/>
      <w:r>
        <w:rPr>
          <w:rFonts w:ascii="Tahoma" w:hAnsi="Tahoma" w:cs="Tahoma"/>
          <w:color w:val="666666"/>
          <w:shd w:val="clear" w:color="auto" w:fill="FFFFFF"/>
        </w:rPr>
        <w:t>dell'Università</w:t>
      </w:r>
      <w:proofErr w:type="spellEnd"/>
      <w:r>
        <w:rPr>
          <w:rFonts w:ascii="Tahoma" w:hAnsi="Tahoma" w:cs="Tahoma"/>
          <w:color w:val="666666"/>
          <w:shd w:val="clear" w:color="auto" w:fill="FFFFFF"/>
        </w:rPr>
        <w:t xml:space="preserve"> </w:t>
      </w:r>
      <w:proofErr w:type="spellStart"/>
      <w:r>
        <w:rPr>
          <w:rFonts w:ascii="Tahoma" w:hAnsi="Tahoma" w:cs="Tahoma"/>
          <w:color w:val="666666"/>
          <w:shd w:val="clear" w:color="auto" w:fill="FFFFFF"/>
        </w:rPr>
        <w:t>degli</w:t>
      </w:r>
      <w:proofErr w:type="spellEnd"/>
      <w:r>
        <w:rPr>
          <w:rFonts w:ascii="Tahoma" w:hAnsi="Tahoma" w:cs="Tahoma"/>
          <w:color w:val="666666"/>
          <w:shd w:val="clear" w:color="auto" w:fill="FFFFFF"/>
        </w:rPr>
        <w:t xml:space="preserve"> Studi di </w:t>
      </w:r>
      <w:proofErr w:type="spellStart"/>
      <w:r>
        <w:rPr>
          <w:rFonts w:ascii="Tahoma" w:hAnsi="Tahoma" w:cs="Tahoma"/>
          <w:color w:val="666666"/>
          <w:shd w:val="clear" w:color="auto" w:fill="FFFFFF"/>
        </w:rPr>
        <w:t>Pavia</w:t>
      </w:r>
      <w:proofErr w:type="spellEnd"/>
      <w:r>
        <w:rPr>
          <w:rFonts w:ascii="Tahoma" w:hAnsi="Tahoma" w:cs="Tahoma"/>
          <w:color w:val="666666"/>
          <w:shd w:val="clear" w:color="auto" w:fill="FFFFFF"/>
        </w:rPr>
        <w:t xml:space="preserve"> (UNIPV). Doutor em Direito pela Universidade Federal do Rio Grande do Sul (UFRGS). Professor Adjunto de Direito Processual Civil nos cursos de graduação, especialização, mestrado e doutorado da Faculdade de Direito da Universidade Federal do Rio Grande do Sul (UFRGS).</w:t>
      </w:r>
    </w:p>
    <w:p w14:paraId="54EE8EB5" w14:textId="77777777" w:rsidR="0076514C" w:rsidRDefault="00BE4CFF">
      <w:pPr>
        <w:pStyle w:val="Textodecomentrio"/>
        <w:rPr>
          <w:rFonts w:ascii="Tahoma" w:hAnsi="Tahoma" w:cs="Tahoma"/>
          <w:color w:val="666666"/>
          <w:shd w:val="clear" w:color="auto" w:fill="FFFFFF"/>
        </w:rPr>
      </w:pPr>
      <w:hyperlink r:id="rId1" w:history="1">
        <w:r w:rsidR="0076514C" w:rsidRPr="003E6D84">
          <w:rPr>
            <w:rStyle w:val="Hyperlink"/>
            <w:rFonts w:ascii="Tahoma" w:hAnsi="Tahoma" w:cs="Tahoma"/>
            <w:shd w:val="clear" w:color="auto" w:fill="FFFFFF"/>
          </w:rPr>
          <w:t>https://www.marinoni.adv.br/advogado/daniel-mitidiero/</w:t>
        </w:r>
      </w:hyperlink>
      <w:r w:rsidR="0076514C">
        <w:rPr>
          <w:rFonts w:ascii="Tahoma" w:hAnsi="Tahoma" w:cs="Tahoma"/>
          <w:color w:val="666666"/>
          <w:shd w:val="clear" w:color="auto" w:fill="FFFFFF"/>
        </w:rPr>
        <w:t xml:space="preserve"> </w:t>
      </w:r>
    </w:p>
    <w:p w14:paraId="5EE59CB4" w14:textId="77777777" w:rsidR="0076514C" w:rsidRDefault="0076514C">
      <w:pPr>
        <w:pStyle w:val="Textodecomentrio"/>
        <w:rPr>
          <w:rFonts w:ascii="Tahoma" w:hAnsi="Tahoma" w:cs="Tahoma"/>
          <w:color w:val="666666"/>
          <w:shd w:val="clear" w:color="auto" w:fill="FFFFFF"/>
        </w:rPr>
      </w:pPr>
    </w:p>
    <w:p w14:paraId="29B99543" w14:textId="77777777" w:rsidR="0076514C" w:rsidRDefault="0076514C">
      <w:pPr>
        <w:pStyle w:val="Textodecomentrio"/>
        <w:rPr>
          <w:rFonts w:ascii="Arial" w:hAnsi="Arial" w:cs="Arial"/>
          <w:sz w:val="24"/>
          <w:szCs w:val="24"/>
        </w:rPr>
      </w:pPr>
      <w:r>
        <w:rPr>
          <w:rFonts w:ascii="Arial" w:hAnsi="Arial" w:cs="Arial"/>
          <w:sz w:val="24"/>
          <w:szCs w:val="24"/>
        </w:rPr>
        <w:t xml:space="preserve">Luiz Guilherme </w:t>
      </w:r>
      <w:proofErr w:type="spellStart"/>
      <w:r>
        <w:rPr>
          <w:rFonts w:ascii="Arial" w:hAnsi="Arial" w:cs="Arial"/>
          <w:sz w:val="24"/>
          <w:szCs w:val="24"/>
        </w:rPr>
        <w:t>Marinoni</w:t>
      </w:r>
      <w:proofErr w:type="spellEnd"/>
      <w:r>
        <w:rPr>
          <w:rStyle w:val="Refdecomentrio"/>
        </w:rPr>
        <w:annotationRef/>
      </w:r>
      <w:r>
        <w:rPr>
          <w:rFonts w:ascii="Arial" w:hAnsi="Arial" w:cs="Arial"/>
          <w:sz w:val="24"/>
          <w:szCs w:val="24"/>
        </w:rPr>
        <w:t>:</w:t>
      </w:r>
    </w:p>
    <w:p w14:paraId="4F9FE615" w14:textId="77777777" w:rsidR="0076514C" w:rsidRDefault="0076514C">
      <w:pPr>
        <w:pStyle w:val="Textodecomentrio"/>
        <w:rPr>
          <w:rFonts w:ascii="Arial" w:hAnsi="Arial" w:cs="Arial"/>
          <w:sz w:val="24"/>
          <w:szCs w:val="24"/>
        </w:rPr>
      </w:pPr>
    </w:p>
    <w:p w14:paraId="444A9D0E" w14:textId="77777777" w:rsidR="0076514C" w:rsidRDefault="0076514C">
      <w:pPr>
        <w:pStyle w:val="Textodecomentrio"/>
        <w:rPr>
          <w:rFonts w:ascii="Arial" w:hAnsi="Arial" w:cs="Arial"/>
          <w:sz w:val="24"/>
          <w:szCs w:val="24"/>
        </w:rPr>
      </w:pPr>
      <w:r>
        <w:rPr>
          <w:rFonts w:ascii="Arial" w:hAnsi="Arial" w:cs="Arial"/>
          <w:color w:val="8A8A8A"/>
          <w:shd w:val="clear" w:color="auto" w:fill="FFFFFF"/>
        </w:rPr>
        <w:t>É o Professor </w:t>
      </w:r>
      <w:r>
        <w:rPr>
          <w:rStyle w:val="Forte"/>
          <w:rFonts w:ascii="Arial" w:hAnsi="Arial" w:cs="Arial"/>
          <w:color w:val="8A8A8A"/>
          <w:bdr w:val="none" w:sz="0" w:space="0" w:color="auto" w:frame="1"/>
          <w:shd w:val="clear" w:color="auto" w:fill="FFFFFF"/>
        </w:rPr>
        <w:t>Titular</w:t>
      </w:r>
      <w:r>
        <w:rPr>
          <w:rFonts w:ascii="Arial" w:hAnsi="Arial" w:cs="Arial"/>
          <w:color w:val="8A8A8A"/>
          <w:shd w:val="clear" w:color="auto" w:fill="FFFFFF"/>
        </w:rPr>
        <w:t xml:space="preserve"> de Direito Processual Civil da Faculdade de Direito da Universidade Federal do Paraná. Pós-Doutor pela Universidade Estatal de Milão e pela Columbia </w:t>
      </w:r>
      <w:proofErr w:type="spellStart"/>
      <w:r>
        <w:rPr>
          <w:rFonts w:ascii="Arial" w:hAnsi="Arial" w:cs="Arial"/>
          <w:color w:val="8A8A8A"/>
          <w:shd w:val="clear" w:color="auto" w:fill="FFFFFF"/>
        </w:rPr>
        <w:t>University</w:t>
      </w:r>
      <w:proofErr w:type="spellEnd"/>
      <w:r>
        <w:rPr>
          <w:rFonts w:ascii="Arial" w:hAnsi="Arial" w:cs="Arial"/>
          <w:color w:val="8A8A8A"/>
          <w:shd w:val="clear" w:color="auto" w:fill="FFFFFF"/>
        </w:rPr>
        <w:t>, EUA. É Professor Visitante em várias Universidades da América Latina e da Europa.</w:t>
      </w:r>
    </w:p>
    <w:p w14:paraId="7D77EB5D" w14:textId="77777777" w:rsidR="0076514C" w:rsidRDefault="00BE4CFF">
      <w:pPr>
        <w:pStyle w:val="Textodecomentrio"/>
      </w:pPr>
      <w:hyperlink r:id="rId2" w:history="1">
        <w:r w:rsidR="0076514C" w:rsidRPr="003E6D84">
          <w:rPr>
            <w:rStyle w:val="Hyperlink"/>
          </w:rPr>
          <w:t>http://www.marinoni.adv.br/prof-marinoni/</w:t>
        </w:r>
      </w:hyperlink>
      <w:r w:rsidR="0076514C">
        <w:t xml:space="preserve"> </w:t>
      </w:r>
    </w:p>
  </w:comment>
  <w:comment w:id="1" w:author="Cristiana Sales Marques da Cruz" w:date="2017-04-18T17:58:00Z" w:initials="CSMdC">
    <w:p w14:paraId="7C8D4159" w14:textId="77777777" w:rsidR="0076514C" w:rsidRDefault="0076514C">
      <w:pPr>
        <w:pStyle w:val="Textodecomentrio"/>
      </w:pPr>
      <w:r>
        <w:rPr>
          <w:rStyle w:val="Refdecomentrio"/>
        </w:rPr>
        <w:annotationRef/>
      </w:r>
      <w:r>
        <w:t>Diagramação – colocar foto e biografia</w:t>
      </w:r>
    </w:p>
    <w:p w14:paraId="5210E932" w14:textId="77777777" w:rsidR="0076514C" w:rsidRDefault="0076514C" w:rsidP="000925CF">
      <w:r w:rsidRPr="000925CF">
        <w:t> </w:t>
      </w:r>
      <w:hyperlink r:id="rId3" w:tooltip="Jurista" w:history="1">
        <w:r>
          <w:rPr>
            <w:rStyle w:val="Hyperlink"/>
            <w:color w:val="auto"/>
          </w:rPr>
          <w:t>Jurista</w:t>
        </w:r>
      </w:hyperlink>
      <w:r w:rsidRPr="000925CF">
        <w:t xml:space="preserve"> </w:t>
      </w:r>
      <w:hyperlink r:id="rId4" w:tooltip="Brasil" w:history="1">
        <w:r w:rsidRPr="000925CF">
          <w:rPr>
            <w:rStyle w:val="Hyperlink"/>
            <w:color w:val="auto"/>
          </w:rPr>
          <w:t>brasileiro</w:t>
        </w:r>
      </w:hyperlink>
      <w:r w:rsidRPr="000925CF">
        <w:t>, especialista em </w:t>
      </w:r>
      <w:hyperlink r:id="rId5" w:tooltip="Direito Constitucional" w:history="1">
        <w:r w:rsidRPr="000925CF">
          <w:rPr>
            <w:rStyle w:val="Hyperlink"/>
            <w:color w:val="auto"/>
          </w:rPr>
          <w:t>Direito Constitucional</w:t>
        </w:r>
      </w:hyperlink>
      <w:r w:rsidRPr="000925CF">
        <w:t>.</w:t>
      </w:r>
      <w:r>
        <w:t xml:space="preserve"> Professor e </w:t>
      </w:r>
      <w:r w:rsidRPr="000925CF">
        <w:t>Procurador do </w:t>
      </w:r>
      <w:hyperlink r:id="rId6" w:tooltip="Estado de São Paulo" w:history="1">
        <w:r w:rsidRPr="000925CF">
          <w:rPr>
            <w:rStyle w:val="Hyperlink"/>
            <w:color w:val="auto"/>
          </w:rPr>
          <w:t>Estado de São Paulo</w:t>
        </w:r>
      </w:hyperlink>
      <w:r w:rsidRPr="000925CF">
        <w:t> </w:t>
      </w:r>
      <w:r>
        <w:t xml:space="preserve">aposentado. </w:t>
      </w:r>
      <w:r w:rsidRPr="000925CF">
        <w:t>É membro de diversos institutos, dentre os quais o </w:t>
      </w:r>
      <w:hyperlink r:id="rId7" w:tooltip="Instituto dos Advogados do Brasil" w:history="1">
        <w:r w:rsidRPr="000925CF">
          <w:rPr>
            <w:rStyle w:val="Hyperlink"/>
            <w:color w:val="auto"/>
          </w:rPr>
          <w:t>Instituto dos Advogados do Brasil</w:t>
        </w:r>
      </w:hyperlink>
      <w:r w:rsidRPr="000925CF">
        <w:t> e a </w:t>
      </w:r>
      <w:hyperlink r:id="rId8" w:tooltip="Associação Brasileira de Constitucionalistas Democráticos (página não existe)" w:history="1">
        <w:r w:rsidRPr="000925CF">
          <w:rPr>
            <w:rStyle w:val="Hyperlink"/>
            <w:color w:val="auto"/>
          </w:rPr>
          <w:t>Associação Brasileira de Constitucionalistas Democráticos</w:t>
        </w:r>
      </w:hyperlink>
      <w:r w:rsidRPr="000925CF">
        <w:t>, da qual foi presidente e fundador.</w:t>
      </w:r>
    </w:p>
    <w:p w14:paraId="6DCEF25C" w14:textId="77777777" w:rsidR="0076514C" w:rsidRDefault="00BE4CFF" w:rsidP="000925CF">
      <w:hyperlink r:id="rId9" w:history="1">
        <w:r w:rsidR="0076514C" w:rsidRPr="00575380">
          <w:rPr>
            <w:rStyle w:val="Hyperlink"/>
          </w:rPr>
          <w:t>https://pt.wikipedia.org/wiki/Jos%C3%A9_Afonso_da_Silva</w:t>
        </w:r>
      </w:hyperlink>
      <w:r w:rsidR="0076514C">
        <w:t xml:space="preserve"> </w:t>
      </w:r>
    </w:p>
    <w:p w14:paraId="3734B366" w14:textId="77777777" w:rsidR="0076514C" w:rsidRDefault="00BE4CFF">
      <w:pPr>
        <w:pStyle w:val="Textodecomentrio"/>
      </w:pPr>
      <w:hyperlink r:id="rId10" w:history="1">
        <w:r w:rsidR="0076514C" w:rsidRPr="00575380">
          <w:rPr>
            <w:rStyle w:val="Hyperlink"/>
          </w:rPr>
          <w:t>http://cpdoc.fgv.br/campojuridico/jose-afonso</w:t>
        </w:r>
      </w:hyperlink>
      <w:r w:rsidR="0076514C">
        <w:t xml:space="preserve"> </w:t>
      </w:r>
    </w:p>
  </w:comment>
  <w:comment w:id="2" w:author="Mariana Aparecida Serejo de Souza Lima" w:date="2017-04-18T17:58:00Z" w:initials="MASdSL">
    <w:p w14:paraId="7BD3332E" w14:textId="77777777" w:rsidR="0076514C" w:rsidRDefault="0076514C">
      <w:pPr>
        <w:pStyle w:val="Textodecomentrio"/>
      </w:pPr>
      <w:r>
        <w:rPr>
          <w:rStyle w:val="Refdecomentrio"/>
        </w:rPr>
        <w:annotationRef/>
      </w:r>
      <w:r>
        <w:t>Diagramação: destaque</w:t>
      </w:r>
    </w:p>
  </w:comment>
  <w:comment w:id="3" w:author="Mariana Aparecida Serejo de Souza Lima" w:date="2017-04-18T17:58:00Z" w:initials="MASdSL">
    <w:p w14:paraId="705F77D3" w14:textId="77777777" w:rsidR="0076514C" w:rsidRDefault="0076514C">
      <w:pPr>
        <w:pStyle w:val="Textodecomentrio"/>
      </w:pPr>
      <w:r>
        <w:rPr>
          <w:rStyle w:val="Refdecomentrio"/>
        </w:rPr>
        <w:annotationRef/>
      </w:r>
      <w:r>
        <w:t>Diagramação</w:t>
      </w:r>
    </w:p>
  </w:comment>
  <w:comment w:id="4" w:author="Mariana Aparecida Serejo de Souza Lima" w:date="2017-04-18T17:58:00Z" w:initials="MASdSL">
    <w:p w14:paraId="1984CD45" w14:textId="77777777" w:rsidR="0076514C" w:rsidRDefault="0076514C">
      <w:pPr>
        <w:pStyle w:val="Textodecomentrio"/>
      </w:pPr>
      <w:r>
        <w:rPr>
          <w:rStyle w:val="Refdecomentrio"/>
        </w:rPr>
        <w:annotationRef/>
      </w:r>
      <w:r>
        <w:t>Diagramação: destaque</w:t>
      </w:r>
    </w:p>
  </w:comment>
  <w:comment w:id="5" w:author="Mariana Aparecida Serejo de Souza Lima" w:date="2017-04-18T17:58:00Z" w:initials="MASdSL">
    <w:p w14:paraId="16C38E09" w14:textId="77777777" w:rsidR="0076514C" w:rsidRDefault="0076514C">
      <w:pPr>
        <w:pStyle w:val="Textodecomentrio"/>
      </w:pPr>
      <w:r>
        <w:rPr>
          <w:rStyle w:val="Refdecomentrio"/>
        </w:rPr>
        <w:annotationRef/>
      </w:r>
      <w:r>
        <w:t>Diagramação: Colocar foto do Ministro - ver no link embutido</w:t>
      </w:r>
    </w:p>
  </w:comment>
  <w:comment w:id="7" w:author="Mariana Aparecida Serejo de Souza Lima" w:date="2017-04-18T17:58:00Z" w:initials="MASdSL">
    <w:p w14:paraId="672CAB0F" w14:textId="77777777" w:rsidR="0076514C" w:rsidRDefault="0076514C">
      <w:pPr>
        <w:pStyle w:val="Textodecomentrio"/>
      </w:pPr>
      <w:r>
        <w:rPr>
          <w:rStyle w:val="Refdecomentrio"/>
        </w:rPr>
        <w:annotationRef/>
      </w:r>
      <w:r>
        <w:t xml:space="preserve">Diagramação: colocar foto e </w:t>
      </w:r>
      <w:proofErr w:type="spellStart"/>
      <w:r>
        <w:t>mini-currículo</w:t>
      </w:r>
      <w:proofErr w:type="spellEnd"/>
      <w:r>
        <w:t xml:space="preserve"> dos autores:</w:t>
      </w:r>
    </w:p>
    <w:p w14:paraId="37AB5CB4" w14:textId="77777777" w:rsidR="0076514C" w:rsidRDefault="00BE4CFF">
      <w:pPr>
        <w:pStyle w:val="Textodecomentrio"/>
      </w:pPr>
      <w:hyperlink r:id="rId11" w:history="1">
        <w:r w:rsidR="0076514C" w:rsidRPr="003E6D84">
          <w:rPr>
            <w:rStyle w:val="Hyperlink"/>
          </w:rPr>
          <w:t>https://pt.wikipedia.org/wiki/Teresa_Arruda_Alvim_Wambier</w:t>
        </w:r>
      </w:hyperlink>
    </w:p>
    <w:p w14:paraId="441041B4" w14:textId="77777777" w:rsidR="0076514C" w:rsidRDefault="00BE4CFF">
      <w:pPr>
        <w:pStyle w:val="Textodecomentrio"/>
      </w:pPr>
      <w:hyperlink r:id="rId12" w:history="1">
        <w:r w:rsidR="0076514C" w:rsidRPr="003E6D84">
          <w:rPr>
            <w:rStyle w:val="Hyperlink"/>
          </w:rPr>
          <w:t>https://pt.wikipedia.org/wiki/Bruno_Dantas_Nascimento</w:t>
        </w:r>
      </w:hyperlink>
      <w:r w:rsidR="0076514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77EB5D" w15:done="0"/>
  <w15:commentEx w15:paraId="3734B366" w15:done="0"/>
  <w15:commentEx w15:paraId="7BD3332E" w15:done="0"/>
  <w15:commentEx w15:paraId="705F77D3" w15:done="0"/>
  <w15:commentEx w15:paraId="1984CD45" w15:done="0"/>
  <w15:commentEx w15:paraId="16C38E09" w15:done="0"/>
  <w15:commentEx w15:paraId="441041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BD4E5" w14:textId="77777777" w:rsidR="008123BF" w:rsidRDefault="008123BF" w:rsidP="00B01693">
      <w:pPr>
        <w:spacing w:after="0" w:line="240" w:lineRule="auto"/>
      </w:pPr>
      <w:r>
        <w:separator/>
      </w:r>
    </w:p>
  </w:endnote>
  <w:endnote w:type="continuationSeparator" w:id="0">
    <w:p w14:paraId="726E8168" w14:textId="77777777" w:rsidR="008123BF" w:rsidRDefault="008123BF" w:rsidP="00B01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151AF" w14:textId="77777777" w:rsidR="008123BF" w:rsidRDefault="008123BF" w:rsidP="00B01693">
      <w:pPr>
        <w:spacing w:after="0" w:line="240" w:lineRule="auto"/>
      </w:pPr>
      <w:r>
        <w:separator/>
      </w:r>
    </w:p>
  </w:footnote>
  <w:footnote w:type="continuationSeparator" w:id="0">
    <w:p w14:paraId="2F515864" w14:textId="77777777" w:rsidR="008123BF" w:rsidRDefault="008123BF" w:rsidP="00B01693">
      <w:pPr>
        <w:spacing w:after="0" w:line="240" w:lineRule="auto"/>
      </w:pPr>
      <w:r>
        <w:continuationSeparator/>
      </w:r>
    </w:p>
  </w:footnote>
  <w:footnote w:id="1">
    <w:p w14:paraId="69C1B36A" w14:textId="790CDC7E" w:rsidR="0076514C" w:rsidRPr="002F4F75" w:rsidRDefault="0076514C" w:rsidP="002F4F75">
      <w:pPr>
        <w:pStyle w:val="Textodenotaderodap"/>
        <w:jc w:val="both"/>
        <w:rPr>
          <w:rFonts w:ascii="Arial" w:hAnsi="Arial" w:cs="Arial"/>
        </w:rPr>
      </w:pPr>
      <w:r w:rsidRPr="002F4F75">
        <w:rPr>
          <w:rStyle w:val="Refdenotaderodap"/>
          <w:rFonts w:ascii="Arial" w:hAnsi="Arial" w:cs="Arial"/>
        </w:rPr>
        <w:footnoteRef/>
      </w:r>
      <w:r w:rsidRPr="002F4F75">
        <w:rPr>
          <w:rFonts w:ascii="Arial" w:hAnsi="Arial" w:cs="Arial"/>
        </w:rPr>
        <w:t xml:space="preserve"> A propósito, confira-se o art. 58 do referido ato normativo, disponível em: </w:t>
      </w:r>
      <w:r w:rsidR="00711F46">
        <w:rPr>
          <w:rFonts w:ascii="Arial" w:hAnsi="Arial" w:cs="Arial"/>
        </w:rPr>
        <w:t>&lt;</w:t>
      </w:r>
      <w:hyperlink r:id="rId1" w:history="1">
        <w:r w:rsidRPr="002F4F75">
          <w:rPr>
            <w:rStyle w:val="Hyperlink"/>
            <w:rFonts w:ascii="Arial" w:hAnsi="Arial" w:cs="Arial"/>
          </w:rPr>
          <w:t>http://legis.senado.gov.br/legislacao/ListaNormas.action?numero=510&amp;tipo_norma=DEC&amp;data=18900622&amp;link=s</w:t>
        </w:r>
      </w:hyperlink>
      <w:r w:rsidR="00711F46">
        <w:rPr>
          <w:rFonts w:ascii="Arial" w:hAnsi="Arial" w:cs="Arial"/>
        </w:rPr>
        <w:t>&gt;.</w:t>
      </w:r>
    </w:p>
  </w:footnote>
  <w:footnote w:id="2">
    <w:p w14:paraId="470CDE52" w14:textId="37AC06BF" w:rsidR="0076514C" w:rsidRPr="002F4F75" w:rsidRDefault="0076514C" w:rsidP="002F4F75">
      <w:pPr>
        <w:pStyle w:val="Textodenotaderodap"/>
        <w:jc w:val="both"/>
        <w:rPr>
          <w:rFonts w:ascii="Arial" w:hAnsi="Arial" w:cs="Arial"/>
        </w:rPr>
      </w:pPr>
      <w:r w:rsidRPr="002F4F75">
        <w:rPr>
          <w:rStyle w:val="Refdenotaderodap"/>
          <w:rFonts w:ascii="Arial" w:hAnsi="Arial" w:cs="Arial"/>
        </w:rPr>
        <w:footnoteRef/>
      </w:r>
      <w:r w:rsidRPr="002F4F75">
        <w:rPr>
          <w:rFonts w:ascii="Arial" w:hAnsi="Arial" w:cs="Arial"/>
        </w:rPr>
        <w:t xml:space="preserve"> Dados disponíveis em</w:t>
      </w:r>
      <w:r>
        <w:rPr>
          <w:rFonts w:ascii="Arial" w:hAnsi="Arial" w:cs="Arial"/>
        </w:rPr>
        <w:t>:</w:t>
      </w:r>
      <w:r w:rsidRPr="002F4F75">
        <w:rPr>
          <w:rFonts w:ascii="Arial" w:hAnsi="Arial" w:cs="Arial"/>
        </w:rPr>
        <w:t xml:space="preserve"> </w:t>
      </w:r>
      <w:r>
        <w:rPr>
          <w:rFonts w:ascii="Arial" w:hAnsi="Arial" w:cs="Arial"/>
        </w:rPr>
        <w:t>&lt;</w:t>
      </w:r>
      <w:r w:rsidRPr="004C2E6B">
        <w:t>http://www.stf.jus.br/portal/cms/verTexto.asp?servico=estatistica&amp;pagina=REAIProcessoDistribuido</w:t>
      </w:r>
      <w:r>
        <w:t>&gt;</w:t>
      </w:r>
      <w:r w:rsidRPr="002F4F75">
        <w:rPr>
          <w:rFonts w:ascii="Arial" w:hAnsi="Arial" w:cs="Arial"/>
        </w:rPr>
        <w:t>.</w:t>
      </w:r>
    </w:p>
  </w:footnote>
  <w:footnote w:id="3">
    <w:p w14:paraId="53B9D072" w14:textId="400413D4" w:rsidR="0076514C" w:rsidRPr="002F4F75" w:rsidRDefault="0076514C" w:rsidP="002F4F75">
      <w:pPr>
        <w:pStyle w:val="Textodenotaderodap"/>
        <w:jc w:val="both"/>
        <w:rPr>
          <w:rFonts w:ascii="Arial" w:hAnsi="Arial" w:cs="Arial"/>
        </w:rPr>
      </w:pPr>
      <w:r w:rsidRPr="002F4F75">
        <w:rPr>
          <w:rStyle w:val="Refdenotaderodap"/>
          <w:rFonts w:ascii="Arial" w:hAnsi="Arial" w:cs="Arial"/>
        </w:rPr>
        <w:footnoteRef/>
      </w:r>
      <w:r>
        <w:rPr>
          <w:rFonts w:ascii="Arial" w:hAnsi="Arial" w:cs="Arial"/>
        </w:rPr>
        <w:t xml:space="preserve"> Os números de r</w:t>
      </w:r>
      <w:r w:rsidRPr="002F4F75">
        <w:rPr>
          <w:rFonts w:ascii="Arial" w:hAnsi="Arial" w:cs="Arial"/>
        </w:rPr>
        <w:t xml:space="preserve">ecursos </w:t>
      </w:r>
      <w:r>
        <w:rPr>
          <w:rFonts w:ascii="Arial" w:hAnsi="Arial" w:cs="Arial"/>
        </w:rPr>
        <w:t>extraordinários com agravo (ARE</w:t>
      </w:r>
      <w:r w:rsidRPr="002F4F75">
        <w:rPr>
          <w:rFonts w:ascii="Arial" w:hAnsi="Arial" w:cs="Arial"/>
        </w:rPr>
        <w:t xml:space="preserve">) só constam a partir do ano de 2011 em razão de tal incidente processual ter sido inserido no Código de Processo Civil/1973 pela Lei nº 12.322/2010, em substituição do </w:t>
      </w:r>
      <w:r>
        <w:rPr>
          <w:rFonts w:ascii="Arial" w:hAnsi="Arial" w:cs="Arial"/>
        </w:rPr>
        <w:t>a</w:t>
      </w:r>
      <w:r w:rsidRPr="002F4F75">
        <w:rPr>
          <w:rFonts w:ascii="Arial" w:hAnsi="Arial" w:cs="Arial"/>
        </w:rPr>
        <w:t xml:space="preserve">gravo de </w:t>
      </w:r>
      <w:r>
        <w:rPr>
          <w:rFonts w:ascii="Arial" w:hAnsi="Arial" w:cs="Arial"/>
        </w:rPr>
        <w:t>i</w:t>
      </w:r>
      <w:r w:rsidRPr="002F4F75">
        <w:rPr>
          <w:rFonts w:ascii="Arial" w:hAnsi="Arial" w:cs="Arial"/>
        </w:rPr>
        <w:t>nstrumento (AI).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98797"/>
      <w:docPartObj>
        <w:docPartGallery w:val="Page Numbers (Top of Page)"/>
        <w:docPartUnique/>
      </w:docPartObj>
    </w:sdtPr>
    <w:sdtEndPr/>
    <w:sdtContent>
      <w:p w14:paraId="78F8B43C" w14:textId="1BEF9F68" w:rsidR="0076514C" w:rsidRDefault="0076514C">
        <w:pPr>
          <w:pStyle w:val="Cabealho"/>
          <w:jc w:val="right"/>
        </w:pPr>
        <w:r>
          <w:fldChar w:fldCharType="begin"/>
        </w:r>
        <w:r>
          <w:instrText>PAGE   \* MERGEFORMAT</w:instrText>
        </w:r>
        <w:r>
          <w:fldChar w:fldCharType="separate"/>
        </w:r>
        <w:r w:rsidR="00BE4CFF">
          <w:rPr>
            <w:noProof/>
          </w:rPr>
          <w:t>18</w:t>
        </w:r>
        <w:r>
          <w:fldChar w:fldCharType="end"/>
        </w:r>
      </w:p>
    </w:sdtContent>
  </w:sdt>
  <w:p w14:paraId="7827637F" w14:textId="77777777" w:rsidR="0076514C" w:rsidRDefault="0076514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AA5"/>
    <w:multiLevelType w:val="hybridMultilevel"/>
    <w:tmpl w:val="D4BE0F78"/>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A2D2454"/>
    <w:multiLevelType w:val="hybridMultilevel"/>
    <w:tmpl w:val="01C2E89A"/>
    <w:lvl w:ilvl="0" w:tplc="327E8A7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CBA77D0"/>
    <w:multiLevelType w:val="hybridMultilevel"/>
    <w:tmpl w:val="1ACE99AA"/>
    <w:lvl w:ilvl="0" w:tplc="B650CD94">
      <w:start w:val="1"/>
      <w:numFmt w:val="lowerRoman"/>
      <w:lvlText w:val="(%1)"/>
      <w:lvlJc w:val="left"/>
      <w:pPr>
        <w:ind w:left="1428" w:hanging="720"/>
      </w:pPr>
      <w:rPr>
        <w:rFonts w:hint="default"/>
        <w: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5366E47"/>
    <w:multiLevelType w:val="hybridMultilevel"/>
    <w:tmpl w:val="D09A2BF2"/>
    <w:lvl w:ilvl="0" w:tplc="0416000D">
      <w:start w:val="1"/>
      <w:numFmt w:val="bullet"/>
      <w:lvlText w:val=""/>
      <w:lvlJc w:val="left"/>
      <w:pPr>
        <w:ind w:left="1495" w:hanging="360"/>
      </w:pPr>
      <w:rPr>
        <w:rFonts w:ascii="Wingdings" w:hAnsi="Wingdings"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4" w15:restartNumberingAfterBreak="0">
    <w:nsid w:val="56A9487D"/>
    <w:multiLevelType w:val="hybridMultilevel"/>
    <w:tmpl w:val="E9646870"/>
    <w:lvl w:ilvl="0" w:tplc="887EA8D8">
      <w:start w:val="1"/>
      <w:numFmt w:val="decimal"/>
      <w:lvlText w:val="%1."/>
      <w:lvlJc w:val="left"/>
      <w:pPr>
        <w:ind w:left="1215" w:hanging="360"/>
      </w:pPr>
      <w:rPr>
        <w:rFonts w:hint="default"/>
      </w:rPr>
    </w:lvl>
    <w:lvl w:ilvl="1" w:tplc="04160019" w:tentative="1">
      <w:start w:val="1"/>
      <w:numFmt w:val="lowerLetter"/>
      <w:lvlText w:val="%2."/>
      <w:lvlJc w:val="left"/>
      <w:pPr>
        <w:ind w:left="1935" w:hanging="360"/>
      </w:pPr>
    </w:lvl>
    <w:lvl w:ilvl="2" w:tplc="0416001B" w:tentative="1">
      <w:start w:val="1"/>
      <w:numFmt w:val="lowerRoman"/>
      <w:lvlText w:val="%3."/>
      <w:lvlJc w:val="right"/>
      <w:pPr>
        <w:ind w:left="2655" w:hanging="180"/>
      </w:pPr>
    </w:lvl>
    <w:lvl w:ilvl="3" w:tplc="0416000F" w:tentative="1">
      <w:start w:val="1"/>
      <w:numFmt w:val="decimal"/>
      <w:lvlText w:val="%4."/>
      <w:lvlJc w:val="left"/>
      <w:pPr>
        <w:ind w:left="3375" w:hanging="360"/>
      </w:pPr>
    </w:lvl>
    <w:lvl w:ilvl="4" w:tplc="04160019" w:tentative="1">
      <w:start w:val="1"/>
      <w:numFmt w:val="lowerLetter"/>
      <w:lvlText w:val="%5."/>
      <w:lvlJc w:val="left"/>
      <w:pPr>
        <w:ind w:left="4095" w:hanging="360"/>
      </w:pPr>
    </w:lvl>
    <w:lvl w:ilvl="5" w:tplc="0416001B" w:tentative="1">
      <w:start w:val="1"/>
      <w:numFmt w:val="lowerRoman"/>
      <w:lvlText w:val="%6."/>
      <w:lvlJc w:val="right"/>
      <w:pPr>
        <w:ind w:left="4815" w:hanging="180"/>
      </w:pPr>
    </w:lvl>
    <w:lvl w:ilvl="6" w:tplc="0416000F" w:tentative="1">
      <w:start w:val="1"/>
      <w:numFmt w:val="decimal"/>
      <w:lvlText w:val="%7."/>
      <w:lvlJc w:val="left"/>
      <w:pPr>
        <w:ind w:left="5535" w:hanging="360"/>
      </w:pPr>
    </w:lvl>
    <w:lvl w:ilvl="7" w:tplc="04160019" w:tentative="1">
      <w:start w:val="1"/>
      <w:numFmt w:val="lowerLetter"/>
      <w:lvlText w:val="%8."/>
      <w:lvlJc w:val="left"/>
      <w:pPr>
        <w:ind w:left="6255" w:hanging="360"/>
      </w:pPr>
    </w:lvl>
    <w:lvl w:ilvl="8" w:tplc="0416001B" w:tentative="1">
      <w:start w:val="1"/>
      <w:numFmt w:val="lowerRoman"/>
      <w:lvlText w:val="%9."/>
      <w:lvlJc w:val="right"/>
      <w:pPr>
        <w:ind w:left="6975" w:hanging="180"/>
      </w:pPr>
    </w:lvl>
  </w:abstractNum>
  <w:abstractNum w:abstractNumId="5" w15:restartNumberingAfterBreak="0">
    <w:nsid w:val="63B43713"/>
    <w:multiLevelType w:val="hybridMultilevel"/>
    <w:tmpl w:val="06EE1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F4"/>
    <w:rsid w:val="00001DB7"/>
    <w:rsid w:val="00004A69"/>
    <w:rsid w:val="000137A0"/>
    <w:rsid w:val="00023F8B"/>
    <w:rsid w:val="000260E5"/>
    <w:rsid w:val="000473BE"/>
    <w:rsid w:val="000508CF"/>
    <w:rsid w:val="00051DE8"/>
    <w:rsid w:val="000543E4"/>
    <w:rsid w:val="00066B8F"/>
    <w:rsid w:val="00066E63"/>
    <w:rsid w:val="0007115A"/>
    <w:rsid w:val="00071403"/>
    <w:rsid w:val="00072537"/>
    <w:rsid w:val="0007256D"/>
    <w:rsid w:val="00074309"/>
    <w:rsid w:val="00080699"/>
    <w:rsid w:val="00083006"/>
    <w:rsid w:val="0009209F"/>
    <w:rsid w:val="000925CF"/>
    <w:rsid w:val="000A1A90"/>
    <w:rsid w:val="000B012D"/>
    <w:rsid w:val="000B1221"/>
    <w:rsid w:val="000B5534"/>
    <w:rsid w:val="000B5849"/>
    <w:rsid w:val="000B5A26"/>
    <w:rsid w:val="000B6DC2"/>
    <w:rsid w:val="000C2C1B"/>
    <w:rsid w:val="000C5E3E"/>
    <w:rsid w:val="000C69B6"/>
    <w:rsid w:val="000D163F"/>
    <w:rsid w:val="000D4FA2"/>
    <w:rsid w:val="000D50A7"/>
    <w:rsid w:val="000E3BE1"/>
    <w:rsid w:val="000E4773"/>
    <w:rsid w:val="000E6567"/>
    <w:rsid w:val="000E7B6B"/>
    <w:rsid w:val="000F0037"/>
    <w:rsid w:val="000F08C5"/>
    <w:rsid w:val="000F792C"/>
    <w:rsid w:val="00104419"/>
    <w:rsid w:val="001133B6"/>
    <w:rsid w:val="001146A0"/>
    <w:rsid w:val="001214D3"/>
    <w:rsid w:val="00127A60"/>
    <w:rsid w:val="00132174"/>
    <w:rsid w:val="00132EA3"/>
    <w:rsid w:val="00135411"/>
    <w:rsid w:val="00145439"/>
    <w:rsid w:val="0014776C"/>
    <w:rsid w:val="001567BD"/>
    <w:rsid w:val="001600D9"/>
    <w:rsid w:val="001601D5"/>
    <w:rsid w:val="00161FB4"/>
    <w:rsid w:val="001725BD"/>
    <w:rsid w:val="001774EA"/>
    <w:rsid w:val="00181818"/>
    <w:rsid w:val="001938A2"/>
    <w:rsid w:val="00193D35"/>
    <w:rsid w:val="001A1999"/>
    <w:rsid w:val="001A224E"/>
    <w:rsid w:val="001A2580"/>
    <w:rsid w:val="001A48A8"/>
    <w:rsid w:val="001A73D8"/>
    <w:rsid w:val="001A7D82"/>
    <w:rsid w:val="001B5DFD"/>
    <w:rsid w:val="001C3D12"/>
    <w:rsid w:val="001D5E1E"/>
    <w:rsid w:val="001E19CC"/>
    <w:rsid w:val="001E4921"/>
    <w:rsid w:val="001E6101"/>
    <w:rsid w:val="002043B6"/>
    <w:rsid w:val="00206E18"/>
    <w:rsid w:val="0021177D"/>
    <w:rsid w:val="00214E29"/>
    <w:rsid w:val="00221221"/>
    <w:rsid w:val="00227B95"/>
    <w:rsid w:val="00230AF1"/>
    <w:rsid w:val="00242DF8"/>
    <w:rsid w:val="0025536D"/>
    <w:rsid w:val="00256824"/>
    <w:rsid w:val="0026790E"/>
    <w:rsid w:val="00270656"/>
    <w:rsid w:val="00270E6E"/>
    <w:rsid w:val="002933A1"/>
    <w:rsid w:val="002A0042"/>
    <w:rsid w:val="002A0444"/>
    <w:rsid w:val="002A22F3"/>
    <w:rsid w:val="002A597C"/>
    <w:rsid w:val="002B12E0"/>
    <w:rsid w:val="002B1BE3"/>
    <w:rsid w:val="002C5C9B"/>
    <w:rsid w:val="002E0C0D"/>
    <w:rsid w:val="002E518C"/>
    <w:rsid w:val="002E6310"/>
    <w:rsid w:val="002F07E2"/>
    <w:rsid w:val="002F172F"/>
    <w:rsid w:val="002F4F75"/>
    <w:rsid w:val="00307017"/>
    <w:rsid w:val="00316188"/>
    <w:rsid w:val="00317AE0"/>
    <w:rsid w:val="00320D89"/>
    <w:rsid w:val="0033252F"/>
    <w:rsid w:val="003336D1"/>
    <w:rsid w:val="00335D64"/>
    <w:rsid w:val="0033693D"/>
    <w:rsid w:val="003424B9"/>
    <w:rsid w:val="00345D32"/>
    <w:rsid w:val="003464F6"/>
    <w:rsid w:val="0035489D"/>
    <w:rsid w:val="003559B2"/>
    <w:rsid w:val="00357CCF"/>
    <w:rsid w:val="0036378E"/>
    <w:rsid w:val="003672BB"/>
    <w:rsid w:val="00375324"/>
    <w:rsid w:val="0037761F"/>
    <w:rsid w:val="00391865"/>
    <w:rsid w:val="00392CD2"/>
    <w:rsid w:val="00393D33"/>
    <w:rsid w:val="003B2E31"/>
    <w:rsid w:val="003B4B4A"/>
    <w:rsid w:val="003B710B"/>
    <w:rsid w:val="003C7373"/>
    <w:rsid w:val="003D0559"/>
    <w:rsid w:val="003D2702"/>
    <w:rsid w:val="003D3212"/>
    <w:rsid w:val="003D7304"/>
    <w:rsid w:val="003E15B8"/>
    <w:rsid w:val="003E1B86"/>
    <w:rsid w:val="003F2B70"/>
    <w:rsid w:val="0041041D"/>
    <w:rsid w:val="00413C96"/>
    <w:rsid w:val="00413F2C"/>
    <w:rsid w:val="00420046"/>
    <w:rsid w:val="00420286"/>
    <w:rsid w:val="004216C3"/>
    <w:rsid w:val="00421EF3"/>
    <w:rsid w:val="0042422C"/>
    <w:rsid w:val="004267B4"/>
    <w:rsid w:val="0043067A"/>
    <w:rsid w:val="004331C9"/>
    <w:rsid w:val="00433D62"/>
    <w:rsid w:val="00434495"/>
    <w:rsid w:val="00440D3F"/>
    <w:rsid w:val="004440CA"/>
    <w:rsid w:val="0044543A"/>
    <w:rsid w:val="004506C6"/>
    <w:rsid w:val="00450859"/>
    <w:rsid w:val="00451278"/>
    <w:rsid w:val="00453237"/>
    <w:rsid w:val="00460D15"/>
    <w:rsid w:val="004654CE"/>
    <w:rsid w:val="00497793"/>
    <w:rsid w:val="004A4499"/>
    <w:rsid w:val="004A6240"/>
    <w:rsid w:val="004A7913"/>
    <w:rsid w:val="004B0E54"/>
    <w:rsid w:val="004B2A88"/>
    <w:rsid w:val="004B353E"/>
    <w:rsid w:val="004B66C4"/>
    <w:rsid w:val="004B73BF"/>
    <w:rsid w:val="004C2E6B"/>
    <w:rsid w:val="004C3C57"/>
    <w:rsid w:val="004D0DD0"/>
    <w:rsid w:val="004D0F18"/>
    <w:rsid w:val="004D16C4"/>
    <w:rsid w:val="004D1AD7"/>
    <w:rsid w:val="004D5E80"/>
    <w:rsid w:val="004E2BC9"/>
    <w:rsid w:val="004E4624"/>
    <w:rsid w:val="004E4F62"/>
    <w:rsid w:val="004E51E4"/>
    <w:rsid w:val="00507653"/>
    <w:rsid w:val="005079AD"/>
    <w:rsid w:val="00514495"/>
    <w:rsid w:val="00527213"/>
    <w:rsid w:val="005331A1"/>
    <w:rsid w:val="00541673"/>
    <w:rsid w:val="00545F1F"/>
    <w:rsid w:val="005533F4"/>
    <w:rsid w:val="005649CA"/>
    <w:rsid w:val="00564C0C"/>
    <w:rsid w:val="005726E5"/>
    <w:rsid w:val="00573D34"/>
    <w:rsid w:val="005806C3"/>
    <w:rsid w:val="0058366A"/>
    <w:rsid w:val="00591401"/>
    <w:rsid w:val="005949F8"/>
    <w:rsid w:val="005A10C8"/>
    <w:rsid w:val="005A5F10"/>
    <w:rsid w:val="005A6BE8"/>
    <w:rsid w:val="005B5AAB"/>
    <w:rsid w:val="005B7012"/>
    <w:rsid w:val="005C5D5F"/>
    <w:rsid w:val="005C79CD"/>
    <w:rsid w:val="005D1D39"/>
    <w:rsid w:val="005D36DF"/>
    <w:rsid w:val="005D67C4"/>
    <w:rsid w:val="005E726A"/>
    <w:rsid w:val="005E7A4B"/>
    <w:rsid w:val="005F2ACB"/>
    <w:rsid w:val="005F5853"/>
    <w:rsid w:val="005F5B5C"/>
    <w:rsid w:val="005F5DBF"/>
    <w:rsid w:val="005F5E40"/>
    <w:rsid w:val="00602232"/>
    <w:rsid w:val="00604A9A"/>
    <w:rsid w:val="0061028A"/>
    <w:rsid w:val="00612076"/>
    <w:rsid w:val="00612251"/>
    <w:rsid w:val="006132BB"/>
    <w:rsid w:val="006222A8"/>
    <w:rsid w:val="00622967"/>
    <w:rsid w:val="0063597D"/>
    <w:rsid w:val="00640812"/>
    <w:rsid w:val="00642D88"/>
    <w:rsid w:val="00661E4D"/>
    <w:rsid w:val="006740AC"/>
    <w:rsid w:val="006744BE"/>
    <w:rsid w:val="00674C4D"/>
    <w:rsid w:val="0068087A"/>
    <w:rsid w:val="00683BE4"/>
    <w:rsid w:val="0068787F"/>
    <w:rsid w:val="006A064A"/>
    <w:rsid w:val="006A0A82"/>
    <w:rsid w:val="006A10D6"/>
    <w:rsid w:val="006A1F38"/>
    <w:rsid w:val="006A3A8A"/>
    <w:rsid w:val="006A5203"/>
    <w:rsid w:val="006B0AB5"/>
    <w:rsid w:val="006B10CA"/>
    <w:rsid w:val="006B1942"/>
    <w:rsid w:val="006B2441"/>
    <w:rsid w:val="006B6158"/>
    <w:rsid w:val="006B66F1"/>
    <w:rsid w:val="006C0A8E"/>
    <w:rsid w:val="006C107D"/>
    <w:rsid w:val="006C2113"/>
    <w:rsid w:val="006C2E0B"/>
    <w:rsid w:val="006C6628"/>
    <w:rsid w:val="006C6F5F"/>
    <w:rsid w:val="006D171C"/>
    <w:rsid w:val="006D1DC3"/>
    <w:rsid w:val="006D3A34"/>
    <w:rsid w:val="006D3BE7"/>
    <w:rsid w:val="006E05D6"/>
    <w:rsid w:val="006E1176"/>
    <w:rsid w:val="006F1858"/>
    <w:rsid w:val="006F313D"/>
    <w:rsid w:val="00700DAD"/>
    <w:rsid w:val="00700E9D"/>
    <w:rsid w:val="00707C23"/>
    <w:rsid w:val="00711F46"/>
    <w:rsid w:val="00712D94"/>
    <w:rsid w:val="00713F33"/>
    <w:rsid w:val="007144E1"/>
    <w:rsid w:val="00714696"/>
    <w:rsid w:val="00715366"/>
    <w:rsid w:val="00720D7B"/>
    <w:rsid w:val="00721B2D"/>
    <w:rsid w:val="007236FA"/>
    <w:rsid w:val="00723F3E"/>
    <w:rsid w:val="00732FD2"/>
    <w:rsid w:val="0073794B"/>
    <w:rsid w:val="007426CF"/>
    <w:rsid w:val="0074323D"/>
    <w:rsid w:val="0075202B"/>
    <w:rsid w:val="00760C1E"/>
    <w:rsid w:val="0076238B"/>
    <w:rsid w:val="0076514C"/>
    <w:rsid w:val="00767E0A"/>
    <w:rsid w:val="00770229"/>
    <w:rsid w:val="00783844"/>
    <w:rsid w:val="007864E2"/>
    <w:rsid w:val="00792630"/>
    <w:rsid w:val="00793101"/>
    <w:rsid w:val="00794779"/>
    <w:rsid w:val="007A1901"/>
    <w:rsid w:val="007A2A7C"/>
    <w:rsid w:val="007A483D"/>
    <w:rsid w:val="007A6A75"/>
    <w:rsid w:val="007B1241"/>
    <w:rsid w:val="007C2CFA"/>
    <w:rsid w:val="007C3A7B"/>
    <w:rsid w:val="007C73E1"/>
    <w:rsid w:val="007D2BA8"/>
    <w:rsid w:val="007E31F3"/>
    <w:rsid w:val="007F6D22"/>
    <w:rsid w:val="00806227"/>
    <w:rsid w:val="008123BF"/>
    <w:rsid w:val="008129E2"/>
    <w:rsid w:val="00812D8E"/>
    <w:rsid w:val="00812D9A"/>
    <w:rsid w:val="00813BF5"/>
    <w:rsid w:val="00815371"/>
    <w:rsid w:val="008405D1"/>
    <w:rsid w:val="00846DF4"/>
    <w:rsid w:val="00847059"/>
    <w:rsid w:val="008520E4"/>
    <w:rsid w:val="00856619"/>
    <w:rsid w:val="008635C7"/>
    <w:rsid w:val="008644BF"/>
    <w:rsid w:val="0086662E"/>
    <w:rsid w:val="008666C1"/>
    <w:rsid w:val="00866B72"/>
    <w:rsid w:val="00873770"/>
    <w:rsid w:val="00876430"/>
    <w:rsid w:val="00880F5F"/>
    <w:rsid w:val="0088147E"/>
    <w:rsid w:val="0089437A"/>
    <w:rsid w:val="008A3106"/>
    <w:rsid w:val="008B3C41"/>
    <w:rsid w:val="008B628D"/>
    <w:rsid w:val="008B6922"/>
    <w:rsid w:val="008C2C67"/>
    <w:rsid w:val="008C7939"/>
    <w:rsid w:val="008D1EFE"/>
    <w:rsid w:val="008D40BA"/>
    <w:rsid w:val="008D54F5"/>
    <w:rsid w:val="008D6DCA"/>
    <w:rsid w:val="008E2CF3"/>
    <w:rsid w:val="008E46DE"/>
    <w:rsid w:val="008E57E2"/>
    <w:rsid w:val="008F0CBC"/>
    <w:rsid w:val="008F116F"/>
    <w:rsid w:val="008F3814"/>
    <w:rsid w:val="008F4111"/>
    <w:rsid w:val="00904F5D"/>
    <w:rsid w:val="009076D2"/>
    <w:rsid w:val="00911BBE"/>
    <w:rsid w:val="00913383"/>
    <w:rsid w:val="009143FB"/>
    <w:rsid w:val="00921E87"/>
    <w:rsid w:val="00932E93"/>
    <w:rsid w:val="00937456"/>
    <w:rsid w:val="00944492"/>
    <w:rsid w:val="00945438"/>
    <w:rsid w:val="00950573"/>
    <w:rsid w:val="00964BF9"/>
    <w:rsid w:val="00965E5C"/>
    <w:rsid w:val="0098568B"/>
    <w:rsid w:val="00990274"/>
    <w:rsid w:val="0099528F"/>
    <w:rsid w:val="009A0BB5"/>
    <w:rsid w:val="009A10D7"/>
    <w:rsid w:val="009A194A"/>
    <w:rsid w:val="009A2EA4"/>
    <w:rsid w:val="009A42B5"/>
    <w:rsid w:val="009A79CC"/>
    <w:rsid w:val="009C0CF9"/>
    <w:rsid w:val="009C2BEF"/>
    <w:rsid w:val="009C6DE4"/>
    <w:rsid w:val="009E0329"/>
    <w:rsid w:val="009E33F9"/>
    <w:rsid w:val="009E5C23"/>
    <w:rsid w:val="009E6146"/>
    <w:rsid w:val="009E6FBE"/>
    <w:rsid w:val="009F1F96"/>
    <w:rsid w:val="00A014D8"/>
    <w:rsid w:val="00A029C3"/>
    <w:rsid w:val="00A045C7"/>
    <w:rsid w:val="00A06271"/>
    <w:rsid w:val="00A06DFD"/>
    <w:rsid w:val="00A1394C"/>
    <w:rsid w:val="00A15C3E"/>
    <w:rsid w:val="00A23B55"/>
    <w:rsid w:val="00A24477"/>
    <w:rsid w:val="00A2449A"/>
    <w:rsid w:val="00A3054A"/>
    <w:rsid w:val="00A31EEB"/>
    <w:rsid w:val="00A40DDB"/>
    <w:rsid w:val="00A4396A"/>
    <w:rsid w:val="00A43BC3"/>
    <w:rsid w:val="00A44357"/>
    <w:rsid w:val="00A51380"/>
    <w:rsid w:val="00A51583"/>
    <w:rsid w:val="00A54569"/>
    <w:rsid w:val="00A54EC8"/>
    <w:rsid w:val="00A55A13"/>
    <w:rsid w:val="00A55AC3"/>
    <w:rsid w:val="00A63612"/>
    <w:rsid w:val="00A65595"/>
    <w:rsid w:val="00A67D21"/>
    <w:rsid w:val="00A71B8C"/>
    <w:rsid w:val="00A75CE8"/>
    <w:rsid w:val="00A770AC"/>
    <w:rsid w:val="00A81011"/>
    <w:rsid w:val="00A8732E"/>
    <w:rsid w:val="00A876FC"/>
    <w:rsid w:val="00A87B49"/>
    <w:rsid w:val="00A919AC"/>
    <w:rsid w:val="00A9613F"/>
    <w:rsid w:val="00A97B2A"/>
    <w:rsid w:val="00AA1E88"/>
    <w:rsid w:val="00AA4912"/>
    <w:rsid w:val="00AA54E3"/>
    <w:rsid w:val="00AB3E0E"/>
    <w:rsid w:val="00AB704D"/>
    <w:rsid w:val="00AB7064"/>
    <w:rsid w:val="00AC233E"/>
    <w:rsid w:val="00AD208E"/>
    <w:rsid w:val="00AD3EED"/>
    <w:rsid w:val="00AE2ED8"/>
    <w:rsid w:val="00AE473E"/>
    <w:rsid w:val="00AF1BEC"/>
    <w:rsid w:val="00AF55DF"/>
    <w:rsid w:val="00AF67E3"/>
    <w:rsid w:val="00B01693"/>
    <w:rsid w:val="00B01B1F"/>
    <w:rsid w:val="00B058D7"/>
    <w:rsid w:val="00B05984"/>
    <w:rsid w:val="00B15861"/>
    <w:rsid w:val="00B15E6A"/>
    <w:rsid w:val="00B2544C"/>
    <w:rsid w:val="00B3302B"/>
    <w:rsid w:val="00B35426"/>
    <w:rsid w:val="00B45688"/>
    <w:rsid w:val="00B640D0"/>
    <w:rsid w:val="00B65D6B"/>
    <w:rsid w:val="00B66BF0"/>
    <w:rsid w:val="00B72C63"/>
    <w:rsid w:val="00B768F5"/>
    <w:rsid w:val="00B77793"/>
    <w:rsid w:val="00B83AE0"/>
    <w:rsid w:val="00B84A8E"/>
    <w:rsid w:val="00B85AFD"/>
    <w:rsid w:val="00B90F14"/>
    <w:rsid w:val="00B916C9"/>
    <w:rsid w:val="00B954E6"/>
    <w:rsid w:val="00B95C1A"/>
    <w:rsid w:val="00BA3902"/>
    <w:rsid w:val="00BA7EFB"/>
    <w:rsid w:val="00BB3D3D"/>
    <w:rsid w:val="00BB6F78"/>
    <w:rsid w:val="00BC137C"/>
    <w:rsid w:val="00BC1DEE"/>
    <w:rsid w:val="00BD010A"/>
    <w:rsid w:val="00BD4BDE"/>
    <w:rsid w:val="00BE29EB"/>
    <w:rsid w:val="00BE4CFF"/>
    <w:rsid w:val="00BE768F"/>
    <w:rsid w:val="00BF4990"/>
    <w:rsid w:val="00BF5057"/>
    <w:rsid w:val="00BF7CB9"/>
    <w:rsid w:val="00C025E6"/>
    <w:rsid w:val="00C03705"/>
    <w:rsid w:val="00C06351"/>
    <w:rsid w:val="00C070C1"/>
    <w:rsid w:val="00C11FF9"/>
    <w:rsid w:val="00C12424"/>
    <w:rsid w:val="00C13898"/>
    <w:rsid w:val="00C13EF3"/>
    <w:rsid w:val="00C23E30"/>
    <w:rsid w:val="00C36281"/>
    <w:rsid w:val="00C417EE"/>
    <w:rsid w:val="00C46A91"/>
    <w:rsid w:val="00C46DB5"/>
    <w:rsid w:val="00C47D30"/>
    <w:rsid w:val="00C52BEF"/>
    <w:rsid w:val="00C579A8"/>
    <w:rsid w:val="00C61249"/>
    <w:rsid w:val="00C62927"/>
    <w:rsid w:val="00C62A50"/>
    <w:rsid w:val="00C807F3"/>
    <w:rsid w:val="00C87A88"/>
    <w:rsid w:val="00C91CED"/>
    <w:rsid w:val="00C94E61"/>
    <w:rsid w:val="00CA6EDB"/>
    <w:rsid w:val="00CA712F"/>
    <w:rsid w:val="00CA7A55"/>
    <w:rsid w:val="00CB13EB"/>
    <w:rsid w:val="00CB15B9"/>
    <w:rsid w:val="00CB1E90"/>
    <w:rsid w:val="00CB1F1D"/>
    <w:rsid w:val="00CB428D"/>
    <w:rsid w:val="00CB5C19"/>
    <w:rsid w:val="00CC0934"/>
    <w:rsid w:val="00CC5281"/>
    <w:rsid w:val="00CD3326"/>
    <w:rsid w:val="00CD36EB"/>
    <w:rsid w:val="00CE1DB7"/>
    <w:rsid w:val="00CE1EE5"/>
    <w:rsid w:val="00CE2054"/>
    <w:rsid w:val="00CF20B5"/>
    <w:rsid w:val="00CF69F2"/>
    <w:rsid w:val="00D06202"/>
    <w:rsid w:val="00D15DB2"/>
    <w:rsid w:val="00D223E9"/>
    <w:rsid w:val="00D34772"/>
    <w:rsid w:val="00D36135"/>
    <w:rsid w:val="00D376BC"/>
    <w:rsid w:val="00D47C60"/>
    <w:rsid w:val="00D47EE8"/>
    <w:rsid w:val="00D52783"/>
    <w:rsid w:val="00D52B11"/>
    <w:rsid w:val="00D5603A"/>
    <w:rsid w:val="00D61D65"/>
    <w:rsid w:val="00D671FA"/>
    <w:rsid w:val="00D728F1"/>
    <w:rsid w:val="00D87619"/>
    <w:rsid w:val="00D90DDE"/>
    <w:rsid w:val="00DA352A"/>
    <w:rsid w:val="00DA4C38"/>
    <w:rsid w:val="00DB120C"/>
    <w:rsid w:val="00DB2246"/>
    <w:rsid w:val="00DC1265"/>
    <w:rsid w:val="00DC3299"/>
    <w:rsid w:val="00DC46BD"/>
    <w:rsid w:val="00DD0234"/>
    <w:rsid w:val="00DD166D"/>
    <w:rsid w:val="00DE052E"/>
    <w:rsid w:val="00DE0CFE"/>
    <w:rsid w:val="00DE0FCA"/>
    <w:rsid w:val="00DE1848"/>
    <w:rsid w:val="00DE67B8"/>
    <w:rsid w:val="00DF1F82"/>
    <w:rsid w:val="00DF3267"/>
    <w:rsid w:val="00E0226F"/>
    <w:rsid w:val="00E05188"/>
    <w:rsid w:val="00E07A3C"/>
    <w:rsid w:val="00E11E29"/>
    <w:rsid w:val="00E127BE"/>
    <w:rsid w:val="00E12878"/>
    <w:rsid w:val="00E14B2B"/>
    <w:rsid w:val="00E17728"/>
    <w:rsid w:val="00E2277A"/>
    <w:rsid w:val="00E22BEC"/>
    <w:rsid w:val="00E31A84"/>
    <w:rsid w:val="00E33217"/>
    <w:rsid w:val="00E524AC"/>
    <w:rsid w:val="00E57781"/>
    <w:rsid w:val="00E7237D"/>
    <w:rsid w:val="00E728D0"/>
    <w:rsid w:val="00E84CB4"/>
    <w:rsid w:val="00EA1292"/>
    <w:rsid w:val="00EA2E32"/>
    <w:rsid w:val="00EA4D41"/>
    <w:rsid w:val="00EB45EA"/>
    <w:rsid w:val="00EB65A9"/>
    <w:rsid w:val="00EB6D8F"/>
    <w:rsid w:val="00EB7729"/>
    <w:rsid w:val="00ED2325"/>
    <w:rsid w:val="00ED292A"/>
    <w:rsid w:val="00ED570C"/>
    <w:rsid w:val="00EE18FB"/>
    <w:rsid w:val="00EE26B0"/>
    <w:rsid w:val="00F009E3"/>
    <w:rsid w:val="00F05E14"/>
    <w:rsid w:val="00F07BF6"/>
    <w:rsid w:val="00F127ED"/>
    <w:rsid w:val="00F14D10"/>
    <w:rsid w:val="00F1733C"/>
    <w:rsid w:val="00F17F75"/>
    <w:rsid w:val="00F213A6"/>
    <w:rsid w:val="00F26AA1"/>
    <w:rsid w:val="00F27F7D"/>
    <w:rsid w:val="00F31DEB"/>
    <w:rsid w:val="00F35400"/>
    <w:rsid w:val="00F35BA7"/>
    <w:rsid w:val="00F35FBB"/>
    <w:rsid w:val="00F36D2D"/>
    <w:rsid w:val="00F44CBD"/>
    <w:rsid w:val="00F451C7"/>
    <w:rsid w:val="00F47460"/>
    <w:rsid w:val="00F51006"/>
    <w:rsid w:val="00F522D9"/>
    <w:rsid w:val="00F54CD6"/>
    <w:rsid w:val="00F54E53"/>
    <w:rsid w:val="00F56AF5"/>
    <w:rsid w:val="00F57792"/>
    <w:rsid w:val="00F66825"/>
    <w:rsid w:val="00F82980"/>
    <w:rsid w:val="00F91374"/>
    <w:rsid w:val="00F94077"/>
    <w:rsid w:val="00F96C0E"/>
    <w:rsid w:val="00FA001A"/>
    <w:rsid w:val="00FA3451"/>
    <w:rsid w:val="00FA4901"/>
    <w:rsid w:val="00FA492F"/>
    <w:rsid w:val="00FA6B08"/>
    <w:rsid w:val="00FB1316"/>
    <w:rsid w:val="00FB1CC0"/>
    <w:rsid w:val="00FB260F"/>
    <w:rsid w:val="00FC7643"/>
    <w:rsid w:val="00FC7850"/>
    <w:rsid w:val="00FD316B"/>
    <w:rsid w:val="00FE13EA"/>
    <w:rsid w:val="00FE15A6"/>
    <w:rsid w:val="00FE5F13"/>
    <w:rsid w:val="00FE65E0"/>
    <w:rsid w:val="00FF1E08"/>
    <w:rsid w:val="00FF40FC"/>
    <w:rsid w:val="00FF557A"/>
    <w:rsid w:val="00FF75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633"/>
  <w15:docId w15:val="{71567B24-03AF-4914-8AB7-F77B6B7A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3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6DE4"/>
    <w:rPr>
      <w:color w:val="0000FF" w:themeColor="hyperlink"/>
      <w:u w:val="single"/>
    </w:rPr>
  </w:style>
  <w:style w:type="character" w:styleId="HiperlinkVisitado">
    <w:name w:val="FollowedHyperlink"/>
    <w:basedOn w:val="Fontepargpadro"/>
    <w:uiPriority w:val="99"/>
    <w:semiHidden/>
    <w:unhideWhenUsed/>
    <w:rsid w:val="009C6DE4"/>
    <w:rPr>
      <w:color w:val="800080" w:themeColor="followedHyperlink"/>
      <w:u w:val="single"/>
    </w:rPr>
  </w:style>
  <w:style w:type="paragraph" w:styleId="NormalWeb">
    <w:name w:val="Normal (Web)"/>
    <w:basedOn w:val="Normal"/>
    <w:uiPriority w:val="99"/>
    <w:semiHidden/>
    <w:unhideWhenUsed/>
    <w:rsid w:val="0027065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0656"/>
  </w:style>
  <w:style w:type="character" w:styleId="Forte">
    <w:name w:val="Strong"/>
    <w:basedOn w:val="Fontepargpadro"/>
    <w:uiPriority w:val="22"/>
    <w:qFormat/>
    <w:rsid w:val="00270656"/>
    <w:rPr>
      <w:b/>
      <w:bCs/>
    </w:rPr>
  </w:style>
  <w:style w:type="paragraph" w:styleId="Textodenotaderodap">
    <w:name w:val="footnote text"/>
    <w:basedOn w:val="Normal"/>
    <w:link w:val="TextodenotaderodapChar"/>
    <w:uiPriority w:val="99"/>
    <w:semiHidden/>
    <w:unhideWhenUsed/>
    <w:rsid w:val="00B0169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01693"/>
    <w:rPr>
      <w:sz w:val="20"/>
      <w:szCs w:val="20"/>
    </w:rPr>
  </w:style>
  <w:style w:type="character" w:styleId="Refdenotaderodap">
    <w:name w:val="footnote reference"/>
    <w:basedOn w:val="Fontepargpadro"/>
    <w:uiPriority w:val="99"/>
    <w:semiHidden/>
    <w:unhideWhenUsed/>
    <w:rsid w:val="00B01693"/>
    <w:rPr>
      <w:vertAlign w:val="superscript"/>
    </w:rPr>
  </w:style>
  <w:style w:type="paragraph" w:styleId="Cabealho">
    <w:name w:val="header"/>
    <w:basedOn w:val="Normal"/>
    <w:link w:val="CabealhoChar"/>
    <w:uiPriority w:val="99"/>
    <w:unhideWhenUsed/>
    <w:rsid w:val="008D4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40BA"/>
  </w:style>
  <w:style w:type="paragraph" w:styleId="Rodap">
    <w:name w:val="footer"/>
    <w:basedOn w:val="Normal"/>
    <w:link w:val="RodapChar"/>
    <w:uiPriority w:val="99"/>
    <w:unhideWhenUsed/>
    <w:rsid w:val="008D40BA"/>
    <w:pPr>
      <w:tabs>
        <w:tab w:val="center" w:pos="4252"/>
        <w:tab w:val="right" w:pos="8504"/>
      </w:tabs>
      <w:spacing w:after="0" w:line="240" w:lineRule="auto"/>
    </w:pPr>
  </w:style>
  <w:style w:type="character" w:customStyle="1" w:styleId="RodapChar">
    <w:name w:val="Rodapé Char"/>
    <w:basedOn w:val="Fontepargpadro"/>
    <w:link w:val="Rodap"/>
    <w:uiPriority w:val="99"/>
    <w:rsid w:val="008D40BA"/>
  </w:style>
  <w:style w:type="character" w:customStyle="1" w:styleId="Ttulo1Char">
    <w:name w:val="Título 1 Char"/>
    <w:basedOn w:val="Fontepargpadro"/>
    <w:link w:val="Ttulo1"/>
    <w:uiPriority w:val="9"/>
    <w:rsid w:val="00F35BA7"/>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A10C8"/>
    <w:pPr>
      <w:ind w:left="720"/>
      <w:contextualSpacing/>
    </w:pPr>
  </w:style>
  <w:style w:type="paragraph" w:styleId="Textodebalo">
    <w:name w:val="Balloon Text"/>
    <w:basedOn w:val="Normal"/>
    <w:link w:val="TextodebaloChar"/>
    <w:uiPriority w:val="99"/>
    <w:semiHidden/>
    <w:unhideWhenUsed/>
    <w:rsid w:val="00BE29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29EB"/>
    <w:rPr>
      <w:rFonts w:ascii="Tahoma" w:hAnsi="Tahoma" w:cs="Tahoma"/>
      <w:sz w:val="16"/>
      <w:szCs w:val="16"/>
    </w:rPr>
  </w:style>
  <w:style w:type="character" w:styleId="Refdecomentrio">
    <w:name w:val="annotation reference"/>
    <w:basedOn w:val="Fontepargpadro"/>
    <w:uiPriority w:val="99"/>
    <w:semiHidden/>
    <w:unhideWhenUsed/>
    <w:rsid w:val="00BA3902"/>
    <w:rPr>
      <w:sz w:val="16"/>
      <w:szCs w:val="16"/>
    </w:rPr>
  </w:style>
  <w:style w:type="paragraph" w:styleId="Textodecomentrio">
    <w:name w:val="annotation text"/>
    <w:basedOn w:val="Normal"/>
    <w:link w:val="TextodecomentrioChar"/>
    <w:uiPriority w:val="99"/>
    <w:semiHidden/>
    <w:unhideWhenUsed/>
    <w:rsid w:val="00BA390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A3902"/>
    <w:rPr>
      <w:sz w:val="20"/>
      <w:szCs w:val="20"/>
    </w:rPr>
  </w:style>
  <w:style w:type="paragraph" w:styleId="Assuntodocomentrio">
    <w:name w:val="annotation subject"/>
    <w:basedOn w:val="Textodecomentrio"/>
    <w:next w:val="Textodecomentrio"/>
    <w:link w:val="AssuntodocomentrioChar"/>
    <w:uiPriority w:val="99"/>
    <w:semiHidden/>
    <w:unhideWhenUsed/>
    <w:rsid w:val="00BA3902"/>
    <w:rPr>
      <w:b/>
      <w:bCs/>
    </w:rPr>
  </w:style>
  <w:style w:type="character" w:customStyle="1" w:styleId="AssuntodocomentrioChar">
    <w:name w:val="Assunto do comentário Char"/>
    <w:basedOn w:val="TextodecomentrioChar"/>
    <w:link w:val="Assuntodocomentrio"/>
    <w:uiPriority w:val="99"/>
    <w:semiHidden/>
    <w:rsid w:val="00BA3902"/>
    <w:rPr>
      <w:b/>
      <w:bCs/>
      <w:sz w:val="20"/>
      <w:szCs w:val="20"/>
    </w:rPr>
  </w:style>
  <w:style w:type="paragraph" w:styleId="Reviso">
    <w:name w:val="Revision"/>
    <w:hidden/>
    <w:uiPriority w:val="99"/>
    <w:semiHidden/>
    <w:rsid w:val="007C7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4084">
      <w:bodyDiv w:val="1"/>
      <w:marLeft w:val="0"/>
      <w:marRight w:val="0"/>
      <w:marTop w:val="0"/>
      <w:marBottom w:val="0"/>
      <w:divBdr>
        <w:top w:val="none" w:sz="0" w:space="0" w:color="auto"/>
        <w:left w:val="none" w:sz="0" w:space="0" w:color="auto"/>
        <w:bottom w:val="none" w:sz="0" w:space="0" w:color="auto"/>
        <w:right w:val="none" w:sz="0" w:space="0" w:color="auto"/>
      </w:divBdr>
    </w:div>
    <w:div w:id="248005637">
      <w:bodyDiv w:val="1"/>
      <w:marLeft w:val="0"/>
      <w:marRight w:val="0"/>
      <w:marTop w:val="0"/>
      <w:marBottom w:val="0"/>
      <w:divBdr>
        <w:top w:val="none" w:sz="0" w:space="0" w:color="auto"/>
        <w:left w:val="none" w:sz="0" w:space="0" w:color="auto"/>
        <w:bottom w:val="none" w:sz="0" w:space="0" w:color="auto"/>
        <w:right w:val="none" w:sz="0" w:space="0" w:color="auto"/>
      </w:divBdr>
    </w:div>
    <w:div w:id="489759530">
      <w:bodyDiv w:val="1"/>
      <w:marLeft w:val="0"/>
      <w:marRight w:val="0"/>
      <w:marTop w:val="0"/>
      <w:marBottom w:val="0"/>
      <w:divBdr>
        <w:top w:val="none" w:sz="0" w:space="0" w:color="auto"/>
        <w:left w:val="none" w:sz="0" w:space="0" w:color="auto"/>
        <w:bottom w:val="none" w:sz="0" w:space="0" w:color="auto"/>
        <w:right w:val="none" w:sz="0" w:space="0" w:color="auto"/>
      </w:divBdr>
    </w:div>
    <w:div w:id="691420379">
      <w:bodyDiv w:val="1"/>
      <w:marLeft w:val="0"/>
      <w:marRight w:val="0"/>
      <w:marTop w:val="0"/>
      <w:marBottom w:val="0"/>
      <w:divBdr>
        <w:top w:val="none" w:sz="0" w:space="0" w:color="auto"/>
        <w:left w:val="none" w:sz="0" w:space="0" w:color="auto"/>
        <w:bottom w:val="none" w:sz="0" w:space="0" w:color="auto"/>
        <w:right w:val="none" w:sz="0" w:space="0" w:color="auto"/>
      </w:divBdr>
    </w:div>
    <w:div w:id="1107509685">
      <w:bodyDiv w:val="1"/>
      <w:marLeft w:val="0"/>
      <w:marRight w:val="0"/>
      <w:marTop w:val="0"/>
      <w:marBottom w:val="0"/>
      <w:divBdr>
        <w:top w:val="none" w:sz="0" w:space="0" w:color="auto"/>
        <w:left w:val="none" w:sz="0" w:space="0" w:color="auto"/>
        <w:bottom w:val="none" w:sz="0" w:space="0" w:color="auto"/>
        <w:right w:val="none" w:sz="0" w:space="0" w:color="auto"/>
      </w:divBdr>
    </w:div>
    <w:div w:id="1230850902">
      <w:bodyDiv w:val="1"/>
      <w:marLeft w:val="0"/>
      <w:marRight w:val="0"/>
      <w:marTop w:val="0"/>
      <w:marBottom w:val="0"/>
      <w:divBdr>
        <w:top w:val="none" w:sz="0" w:space="0" w:color="auto"/>
        <w:left w:val="none" w:sz="0" w:space="0" w:color="auto"/>
        <w:bottom w:val="none" w:sz="0" w:space="0" w:color="auto"/>
        <w:right w:val="none" w:sz="0" w:space="0" w:color="auto"/>
      </w:divBdr>
    </w:div>
    <w:div w:id="20208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ndex.php?title=Associa%C3%A7%C3%A3o_Brasileira_de_Constitucionalistas_Democr%C3%A1ticos&amp;action=edit&amp;redlink=1" TargetMode="External"/><Relationship Id="rId3" Type="http://schemas.openxmlformats.org/officeDocument/2006/relationships/hyperlink" Target="https://pt.wikipedia.org/wiki/Jurista" TargetMode="External"/><Relationship Id="rId7" Type="http://schemas.openxmlformats.org/officeDocument/2006/relationships/hyperlink" Target="https://pt.wikipedia.org/wiki/Instituto_dos_Advogados_do_Brasil" TargetMode="External"/><Relationship Id="rId12" Type="http://schemas.openxmlformats.org/officeDocument/2006/relationships/hyperlink" Target="https://pt.wikipedia.org/wiki/Bruno_Dantas_Nascimento" TargetMode="External"/><Relationship Id="rId2" Type="http://schemas.openxmlformats.org/officeDocument/2006/relationships/hyperlink" Target="http://www.marinoni.adv.br/prof-marinoni/" TargetMode="External"/><Relationship Id="rId1" Type="http://schemas.openxmlformats.org/officeDocument/2006/relationships/hyperlink" Target="https://www.marinoni.adv.br/advogado/daniel-mitidiero/" TargetMode="External"/><Relationship Id="rId6" Type="http://schemas.openxmlformats.org/officeDocument/2006/relationships/hyperlink" Target="https://pt.wikipedia.org/wiki/Estado_de_S%C3%A3o_Paulo" TargetMode="External"/><Relationship Id="rId11" Type="http://schemas.openxmlformats.org/officeDocument/2006/relationships/hyperlink" Target="https://pt.wikipedia.org/wiki/Teresa_Arruda_Alvim_Wambier" TargetMode="External"/><Relationship Id="rId5" Type="http://schemas.openxmlformats.org/officeDocument/2006/relationships/hyperlink" Target="https://pt.wikipedia.org/wiki/Direito_Constitucional" TargetMode="External"/><Relationship Id="rId10" Type="http://schemas.openxmlformats.org/officeDocument/2006/relationships/hyperlink" Target="http://cpdoc.fgv.br/campojuridico/jose-afonso" TargetMode="External"/><Relationship Id="rId4" Type="http://schemas.openxmlformats.org/officeDocument/2006/relationships/hyperlink" Target="https://pt.wikipedia.org/wiki/Brasil" TargetMode="External"/><Relationship Id="rId9" Type="http://schemas.openxmlformats.org/officeDocument/2006/relationships/hyperlink" Target="https://pt.wikipedia.org/wiki/Jos%C3%A9_Afonso_da_Sil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tf.jus.br/arquivo/cms/bibliotecaConsultaProdutoBibliotecaRI/anexo/1940/art_183_3agosto196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C5_L1Lrcf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lanalto.gov.br/CCivil_03/leis/L975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f.jus.br/portal/cms/verNoticiaDetalhe.asp?idConteudo=326435" TargetMode="External"/><Relationship Id="rId5" Type="http://schemas.openxmlformats.org/officeDocument/2006/relationships/webSettings" Target="webSettings.xml"/><Relationship Id="rId15" Type="http://schemas.openxmlformats.org/officeDocument/2006/relationships/hyperlink" Target="http://www.stf.jus.br/portal/cms/verTexto.asp?servico=bibliotecaConsultaProdutoBibliotecaRI&amp;pagina=1970" TargetMode="External"/><Relationship Id="rId10" Type="http://schemas.openxmlformats.org/officeDocument/2006/relationships/hyperlink" Target="http://www.stf.jus.br/portal/cms/verTexto.asp?servico=estatistica&amp;pagina=REAIProcesso%20Distribuid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tf.jus.br/arquivo/cms/bibliotecaConsultaProduto%20BibliotecaRI/anexo/1970_emenda_3_dj_197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egis.senado.gov.br/legislacao/ListaNormas.action?numero=510&amp;tipo_norma=DEC&amp;data=18900622&amp;link=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5900F37-46A0-4FAC-BB41-6936B007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6977</Words>
  <Characters>37676</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44564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Abhner Youssif Mota Arabi</dc:creator>
  <cp:lastModifiedBy>Cristiana Sales Marques da Cruz Oliveira</cp:lastModifiedBy>
  <cp:revision>15</cp:revision>
  <dcterms:created xsi:type="dcterms:W3CDTF">2017-05-11T22:24:00Z</dcterms:created>
  <dcterms:modified xsi:type="dcterms:W3CDTF">2017-07-25T16:38:00Z</dcterms:modified>
</cp:coreProperties>
</file>