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E40AF"/>
          <w:sz w:val="96"/>
        </w:rPr>
        <w:t>CLARIO</w:t>
      </w:r>
    </w:p>
    <w:p>
      <w:pPr>
        <w:jc w:val="center"/>
      </w:pPr>
      <w:r>
        <w:rPr>
          <w:rFonts w:ascii="Calibri" w:hAnsi="Calibri"/>
          <w:color w:val="64748B"/>
          <w:sz w:val="40"/>
        </w:rPr>
        <w:t>Business-Plan &amp; Go-to-Market</w:t>
      </w:r>
    </w:p>
    <w:p>
      <w:pPr>
        <w:spacing w:before="0" w:after="240"/>
        <w:pBdr>
          <w:bottom w:val="single" w:sz="12" w:space="1" w:color="1e40af"/>
        </w:pBdr>
      </w:pPr>
    </w:p>
    <w:p>
      <w:pPr>
        <w:jc w:val="center"/>
      </w:pPr>
      <w:r>
        <w:rPr>
          <w:rFonts w:ascii="Calibri" w:hAnsi="Calibri"/>
          <w:i/>
          <w:color w:val="333333"/>
          <w:sz w:val="26"/>
        </w:rPr>
        <w:t>Das Mandantenportal für deutsche Steuerkanzleien</w:t>
      </w:r>
    </w:p>
    <w:p/>
    <w:p/>
    <w:p/>
    <w:p/>
    <w:p>
      <w:pPr>
        <w:spacing w:after="40"/>
        <w:jc w:val="center"/>
      </w:pPr>
      <w:r>
        <w:rPr>
          <w:rFonts w:ascii="Calibri" w:hAnsi="Calibri"/>
          <w:b/>
          <w:color w:val="64748B"/>
          <w:sz w:val="20"/>
        </w:rPr>
        <w:t xml:space="preserve">Erstellt: </w:t>
      </w:r>
      <w:r>
        <w:rPr>
          <w:rFonts w:ascii="Calibri" w:hAnsi="Calibri"/>
          <w:color w:val="333333"/>
          <w:sz w:val="20"/>
        </w:rPr>
        <w:t>26. März 2026 (KW13)</w:t>
      </w:r>
    </w:p>
    <w:p>
      <w:pPr>
        <w:spacing w:after="40"/>
        <w:jc w:val="center"/>
      </w:pPr>
      <w:r>
        <w:rPr>
          <w:rFonts w:ascii="Calibri" w:hAnsi="Calibri"/>
          <w:b/>
          <w:color w:val="64748B"/>
          <w:sz w:val="20"/>
        </w:rPr>
        <w:t xml:space="preserve">Autor: </w:t>
      </w:r>
      <w:r>
        <w:rPr>
          <w:rFonts w:ascii="Calibri" w:hAnsi="Calibri"/>
          <w:color w:val="333333"/>
          <w:sz w:val="20"/>
        </w:rPr>
        <w:t>Lennart Brodesser, Solofounder</w:t>
      </w:r>
    </w:p>
    <w:p>
      <w:pPr>
        <w:spacing w:after="40"/>
        <w:jc w:val="center"/>
      </w:pPr>
      <w:r>
        <w:rPr>
          <w:rFonts w:ascii="Calibri" w:hAnsi="Calibri"/>
          <w:b/>
          <w:color w:val="64748B"/>
          <w:sz w:val="20"/>
        </w:rPr>
        <w:t xml:space="preserve">Status: </w:t>
      </w:r>
      <w:r>
        <w:rPr>
          <w:rFonts w:ascii="Calibri" w:hAnsi="Calibri"/>
          <w:color w:val="333333"/>
          <w:sz w:val="20"/>
        </w:rPr>
        <w:t>MVP code-seitig fertig • 0 Kunden • 0 Revenue</w:t>
      </w:r>
    </w:p>
    <w:p>
      <w:pPr>
        <w:spacing w:after="40"/>
        <w:jc w:val="center"/>
      </w:pPr>
      <w:r>
        <w:rPr>
          <w:rFonts w:ascii="Calibri" w:hAnsi="Calibri"/>
          <w:b/>
          <w:color w:val="64748B"/>
          <w:sz w:val="20"/>
        </w:rPr>
        <w:t xml:space="preserve">Kontakt: </w:t>
      </w:r>
      <w:r>
        <w:rPr>
          <w:rFonts w:ascii="Calibri" w:hAnsi="Calibri"/>
          <w:color w:val="333333"/>
          <w:sz w:val="20"/>
        </w:rPr>
        <w:t>l.brodesser@gmx.de</w:t>
      </w:r>
    </w:p>
    <w:p>
      <w:r>
        <w:br w:type="page"/>
      </w:r>
    </w:p>
    <w:p>
      <w:pPr>
        <w:pStyle w:val="Heading1"/>
      </w:pPr>
      <w:r>
        <w:t>Inhaltsverzeichnis</w:t>
      </w:r>
    </w:p>
    <w:p>
      <w:pPr>
        <w:spacing w:before="0" w:after="240"/>
        <w:pBdr>
          <w:bottom w:val="single" w:sz="12" w:space="1" w:color="1e40af"/>
        </w:pBdr>
      </w:pPr>
    </w:p>
    <w:p>
      <w:pPr>
        <w:spacing w:after="120"/>
      </w:pPr>
      <w:r>
        <w:rPr>
          <w:rFonts w:ascii="Calibri" w:hAnsi="Calibri"/>
          <w:b/>
          <w:color w:val="1E40AF"/>
          <w:sz w:val="24"/>
        </w:rPr>
        <w:t xml:space="preserve">1  </w:t>
      </w:r>
      <w:r>
        <w:rPr>
          <w:rFonts w:ascii="Calibri" w:hAnsi="Calibri"/>
          <w:b/>
          <w:color w:val="1A1A2E"/>
          <w:sz w:val="24"/>
        </w:rPr>
        <w:t>Sofort-Aktionen (KW14–KW15)</w:t>
        <w:br/>
      </w:r>
      <w:r>
        <w:rPr>
          <w:rFonts w:ascii="Calibri" w:hAnsi="Calibri"/>
          <w:i/>
          <w:color w:val="64748B"/>
          <w:sz w:val="19"/>
        </w:rPr>
        <w:t xml:space="preserve">     Security, Hosting, Stripe, Go-Live</w:t>
      </w:r>
    </w:p>
    <w:p>
      <w:pPr>
        <w:spacing w:after="120"/>
      </w:pPr>
      <w:r>
        <w:rPr>
          <w:rFonts w:ascii="Calibri" w:hAnsi="Calibri"/>
          <w:b/>
          <w:color w:val="1E40AF"/>
          <w:sz w:val="24"/>
        </w:rPr>
        <w:t xml:space="preserve">2  </w:t>
      </w:r>
      <w:r>
        <w:rPr>
          <w:rFonts w:ascii="Calibri" w:hAnsi="Calibri"/>
          <w:b/>
          <w:color w:val="1A1A2E"/>
          <w:sz w:val="24"/>
        </w:rPr>
        <w:t>Go-to-Market (Monat 1–2)</w:t>
        <w:br/>
      </w:r>
      <w:r>
        <w:rPr>
          <w:rFonts w:ascii="Calibri" w:hAnsi="Calibri"/>
          <w:i/>
          <w:color w:val="64748B"/>
          <w:sz w:val="19"/>
        </w:rPr>
        <w:t xml:space="preserve">     5 Kanäle zu den ersten zahlenden Kunden</w:t>
      </w:r>
    </w:p>
    <w:p>
      <w:pPr>
        <w:spacing w:after="120"/>
      </w:pPr>
      <w:r>
        <w:rPr>
          <w:rFonts w:ascii="Calibri" w:hAnsi="Calibri"/>
          <w:b/>
          <w:color w:val="1E40AF"/>
          <w:sz w:val="24"/>
        </w:rPr>
        <w:t xml:space="preserve">3  </w:t>
      </w:r>
      <w:r>
        <w:rPr>
          <w:rFonts w:ascii="Calibri" w:hAnsi="Calibri"/>
          <w:b/>
          <w:color w:val="1A1A2E"/>
          <w:sz w:val="24"/>
        </w:rPr>
        <w:t>Pricing</w:t>
        <w:br/>
      </w:r>
      <w:r>
        <w:rPr>
          <w:rFonts w:ascii="Calibri" w:hAnsi="Calibri"/>
          <w:i/>
          <w:color w:val="64748B"/>
          <w:sz w:val="19"/>
        </w:rPr>
        <w:t xml:space="preserve">     3 Stufen, Begründung, Marktvergleich</w:t>
      </w:r>
    </w:p>
    <w:p>
      <w:pPr>
        <w:spacing w:after="120"/>
      </w:pPr>
      <w:r>
        <w:rPr>
          <w:rFonts w:ascii="Calibri" w:hAnsi="Calibri"/>
          <w:b/>
          <w:color w:val="1E40AF"/>
          <w:sz w:val="24"/>
        </w:rPr>
        <w:t xml:space="preserve">4  </w:t>
      </w:r>
      <w:r>
        <w:rPr>
          <w:rFonts w:ascii="Calibri" w:hAnsi="Calibri"/>
          <w:b/>
          <w:color w:val="1A1A2E"/>
          <w:sz w:val="24"/>
        </w:rPr>
        <w:t>Rechtliches</w:t>
        <w:br/>
      </w:r>
      <w:r>
        <w:rPr>
          <w:rFonts w:ascii="Calibri" w:hAnsi="Calibri"/>
          <w:i/>
          <w:color w:val="64748B"/>
          <w:sz w:val="19"/>
        </w:rPr>
        <w:t xml:space="preserve">     DSGVO, AVV, PersAuswG, AGB</w:t>
      </w:r>
    </w:p>
    <w:p>
      <w:pPr>
        <w:spacing w:after="120"/>
      </w:pPr>
      <w:r>
        <w:rPr>
          <w:rFonts w:ascii="Calibri" w:hAnsi="Calibri"/>
          <w:b/>
          <w:color w:val="1E40AF"/>
          <w:sz w:val="24"/>
        </w:rPr>
        <w:t xml:space="preserve">5  </w:t>
      </w:r>
      <w:r>
        <w:rPr>
          <w:rFonts w:ascii="Calibri" w:hAnsi="Calibri"/>
          <w:b/>
          <w:color w:val="1A1A2E"/>
          <w:sz w:val="24"/>
        </w:rPr>
        <w:t>Feature-Roadmap (Monat 3–6)</w:t>
        <w:br/>
      </w:r>
      <w:r>
        <w:rPr>
          <w:rFonts w:ascii="Calibri" w:hAnsi="Calibri"/>
          <w:i/>
          <w:color w:val="64748B"/>
          <w:sz w:val="19"/>
        </w:rPr>
        <w:t xml:space="preserve">     Priorisiert nach Kundenwert</w:t>
      </w:r>
    </w:p>
    <w:p>
      <w:pPr>
        <w:spacing w:after="120"/>
      </w:pPr>
      <w:r>
        <w:rPr>
          <w:rFonts w:ascii="Calibri" w:hAnsi="Calibri"/>
          <w:b/>
          <w:color w:val="1E40AF"/>
          <w:sz w:val="24"/>
        </w:rPr>
        <w:t xml:space="preserve">6  </w:t>
      </w:r>
      <w:r>
        <w:rPr>
          <w:rFonts w:ascii="Calibri" w:hAnsi="Calibri"/>
          <w:b/>
          <w:color w:val="1A1A2E"/>
          <w:sz w:val="24"/>
        </w:rPr>
        <w:t>Finanzplan</w:t>
        <w:br/>
      </w:r>
      <w:r>
        <w:rPr>
          <w:rFonts w:ascii="Calibri" w:hAnsi="Calibri"/>
          <w:i/>
          <w:color w:val="64748B"/>
          <w:sz w:val="19"/>
        </w:rPr>
        <w:t xml:space="preserve">     Kosten, Revenue-Projektion, Breakeven</w:t>
      </w:r>
    </w:p>
    <w:p>
      <w:pPr>
        <w:spacing w:after="120"/>
      </w:pPr>
      <w:r>
        <w:rPr>
          <w:rFonts w:ascii="Calibri" w:hAnsi="Calibri"/>
          <w:b/>
          <w:color w:val="1E40AF"/>
          <w:sz w:val="24"/>
        </w:rPr>
        <w:t xml:space="preserve">7  </w:t>
      </w:r>
      <w:r>
        <w:rPr>
          <w:rFonts w:ascii="Calibri" w:hAnsi="Calibri"/>
          <w:b/>
          <w:color w:val="1A1A2E"/>
          <w:sz w:val="24"/>
        </w:rPr>
        <w:t>Risiken &amp; Plan B</w:t>
        <w:br/>
      </w:r>
      <w:r>
        <w:rPr>
          <w:rFonts w:ascii="Calibri" w:hAnsi="Calibri"/>
          <w:i/>
          <w:color w:val="64748B"/>
          <w:sz w:val="19"/>
        </w:rPr>
        <w:t xml:space="preserve">     6 Szenarien mit Gegenmaßnahmen</w:t>
      </w:r>
    </w:p>
    <w:p>
      <w:r>
        <w:br w:type="page"/>
      </w:r>
    </w:p>
    <w:p>
      <w:pPr>
        <w:pStyle w:val="Heading1"/>
      </w:pPr>
      <w:r>
        <w:t>1. Sofort-Aktionen</w:t>
      </w:r>
    </w:p>
    <w:p>
      <w:r>
        <w:rPr>
          <w:i/>
          <w:color w:val="64748B"/>
          <w:sz w:val="22"/>
        </w:rPr>
        <w:t>KW14–KW15: 30. März – 12. April 2026</w:t>
      </w:r>
    </w:p>
    <w:p>
      <w:pPr>
        <w:spacing w:before="0" w:after="240"/>
        <w:pBdr>
          <w:bottom w:val="single" w:sz="12" w:space="1" w:color="1e40af"/>
        </w:pBdr>
      </w:pPr>
    </w:p>
    <w:p>
      <w:pPr>
        <w:pStyle w:val="Heading2"/>
      </w:pPr>
      <w:r>
        <w:t>KW14 — Security Fixes + Browsertest (Mo–Mi)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Tag</w:t>
            </w:r>
          </w:p>
        </w:tc>
        <w:tc>
          <w:tcPr>
            <w:tcW w:type="dxa" w:w="5386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Aufgabe</w:t>
            </w:r>
          </w:p>
        </w:tc>
        <w:tc>
          <w:tcPr>
            <w:tcW w:type="dxa" w:w="2268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Ergebnis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Mo 30.03.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9"/>
              </w:rPr>
              <w:t>Security Fixes aus SECURITY-FIX-PROMPT.md in Claude Code abarbeiten (Phase 1: 5 kritische Lücken)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npm run build fehlerfrei</w:t>
            </w:r>
          </w:p>
        </w:tc>
      </w:tr>
      <w:tr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Di 31.03.</w:t>
            </w:r>
          </w:p>
        </w:tc>
        <w:tc>
          <w:tcPr>
            <w:tcW w:type="dxa" w:w="5386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Erster manueller Browsertest: Konto erstellen → Mandant anlegen → GwG-Checkliste → Portal-Link → Inkognito → Upload → Unterschrift</w:t>
            </w:r>
          </w:p>
        </w:tc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Bug-Liste als GitHub Issues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Mi 01.04.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sz w:val="19"/>
              </w:rPr>
              <w:t>Bugs beheben, Edge Functions deployen, E-Mail-Versand testen (Resend Testmodus → 1 echte Mail)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E-Mail kommt an</w:t>
            </w:r>
          </w:p>
        </w:tc>
      </w:tr>
    </w:tbl>
    <w:p/>
    <w:p>
      <w:pPr>
        <w:pStyle w:val="Heading2"/>
      </w:pPr>
      <w:r>
        <w:t>KW14 — Hosting + Domain + Legal (Do–Fr)</w:t>
      </w:r>
    </w:p>
    <w:p>
      <w:pPr>
        <w:pStyle w:val="Heading3"/>
      </w:pPr>
      <w:r>
        <w:t>Vercel Hosting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sz w:val="21"/>
        </w:rPr>
        <w:t xml:space="preserve">Schritt 1: </w:t>
      </w:r>
      <w:r>
        <w:rPr>
          <w:rFonts w:ascii="Calibri" w:hAnsi="Calibri"/>
          <w:sz w:val="21"/>
        </w:rPr>
        <w:t>vercel.com → Sign Up mit GitHub → Import Project → Framework: Vite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sz w:val="21"/>
        </w:rPr>
        <w:t xml:space="preserve">Schritt 2: </w:t>
      </w:r>
      <w:r>
        <w:rPr>
          <w:rFonts w:ascii="Calibri" w:hAnsi="Calibri"/>
          <w:sz w:val="21"/>
        </w:rPr>
        <w:t>VITE_SUPABASE_URL + VITE_SUPABASE_ANON_KEY als Environment Variables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sz w:val="21"/>
        </w:rPr>
        <w:t xml:space="preserve">Schritt 3: </w:t>
      </w:r>
      <w:r>
        <w:rPr>
          <w:rFonts w:ascii="Calibri" w:hAnsi="Calibri"/>
          <w:sz w:val="21"/>
        </w:rPr>
        <w:t>Deploy → App läuft unter clario-xyz.vercel.app</w:t>
      </w:r>
    </w:p>
    <w:p>
      <w:pPr>
        <w:pStyle w:val="Heading3"/>
      </w:pPr>
      <w:r>
        <w:t>Domain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1"/>
        </w:rPr>
        <w:t>clario.de oder clario.app prüfen (united-domains.de) — Kosten: 12–30€/Jahr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1"/>
        </w:rPr>
        <w:t>In Vercel: Settings → Domains → Custom Domain → DNS umstellen</w:t>
      </w:r>
    </w:p>
    <w:p>
      <w:pPr>
        <w:pStyle w:val="Heading3"/>
      </w:pPr>
      <w:r>
        <w:t>Impressum + DSGVO (PFLICHT)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sz w:val="21"/>
        </w:rPr>
        <w:t xml:space="preserve">Impressum: </w:t>
      </w:r>
      <w:r>
        <w:rPr>
          <w:rFonts w:ascii="Calibri" w:hAnsi="Calibri"/>
          <w:sz w:val="21"/>
        </w:rPr>
        <w:t>e-recht24.de/impressum-generator (kostenlos)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sz w:val="21"/>
        </w:rPr>
        <w:t xml:space="preserve">Datenschutz: </w:t>
      </w:r>
      <w:r>
        <w:rPr>
          <w:rFonts w:ascii="Calibri" w:hAnsi="Calibri"/>
          <w:sz w:val="21"/>
        </w:rPr>
        <w:t>datenschutz-generator.de von Dr. Schwenke (kostenlos)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1"/>
        </w:rPr>
        <w:t>Beide als Seiten in App einbauen (/impressum, /datenschutz)</w:t>
      </w:r>
    </w:p>
    <w:p>
      <w:pPr>
        <w:pStyle w:val="Heading2"/>
      </w:pPr>
      <w:r>
        <w:t>KW15 — Landing Page + Stripe</w:t>
      </w:r>
    </w:p>
    <w:p>
      <w:pPr>
        <w:pStyle w:val="Heading3"/>
      </w:pPr>
      <w:r>
        <w:t>Stripe Integration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1"/>
        </w:rPr>
        <w:t>stripe.com → Account erstellen (Einzelunternehmen reicht)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1"/>
        </w:rPr>
        <w:t>3 Produkte anlegen: Starter €49, Pro €99, Kanzlei €199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1"/>
        </w:rPr>
        <w:t>Payment Links generieren + in App Pricing-Seite verlinken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1"/>
        </w:rPr>
        <w:t>Webhook → Supabase Edge Function → abo_status setzen</w:t>
      </w:r>
    </w:p>
    <w:p>
      <w:pPr>
        <w:spacing w:before="160" w:after="160"/>
        <w:pBdr>
          <w:left w:val="single" w:sz="24" w:space="8" w:color="1e40af"/>
        </w:pBdr>
        <w:shd w:val="clear" w:fill="e8f0fe"/>
        <w:ind w:left="284" w:right="284"/>
      </w:pPr>
      <w:r>
        <w:rPr>
          <w:rFonts w:ascii="Calibri" w:hAnsi="Calibri"/>
          <w:color w:val="1A1A2E"/>
          <w:sz w:val="20"/>
        </w:rPr>
        <w:t>⚡ WICHTIG: Starte mit 30-Tage-Trial OHNE Kreditkarte. Das senkt die Hürde für Steuerberater massiv. Calendly-Widget für „Demo vereinbaren“ konvertiert besser als ein Registrierungs-Link.</w:t>
      </w:r>
    </w:p>
    <w:p>
      <w:r>
        <w:br w:type="page"/>
      </w:r>
    </w:p>
    <w:p>
      <w:pPr>
        <w:pStyle w:val="Heading1"/>
      </w:pPr>
      <w:r>
        <w:t>2. Go-to-Market</w:t>
      </w:r>
    </w:p>
    <w:p>
      <w:r>
        <w:rPr>
          <w:i/>
          <w:color w:val="64748B"/>
          <w:sz w:val="22"/>
        </w:rPr>
        <w:t>Die ersten 5 zahlenden Kunden (KW15–KW22)</w:t>
      </w:r>
    </w:p>
    <w:p>
      <w:pPr>
        <w:spacing w:before="0" w:after="240"/>
        <w:pBdr>
          <w:bottom w:val="single" w:sz="12" w:space="1" w:color="1e40af"/>
        </w:pBdr>
      </w:pPr>
    </w:p>
    <w:p>
      <w:pPr>
        <w:pStyle w:val="Heading2"/>
      </w:pPr>
      <w:r>
        <w:t>Kanal 1: Persönliches Netzwerk (KW15)</w:t>
      </w:r>
    </w:p>
    <w:p>
      <w:r>
        <w:rPr>
          <w:i/>
        </w:rPr>
        <w:t>Die allerersten Kunden kommen nie über Marketing. Sie kommen über persönliche Beziehungen.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1"/>
        </w:rPr>
        <w:t>Ruf deinen Steuerberater an: „Ich habe ein Tool gebaut das dir Zeit spart. 15 Minuten?“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1"/>
        </w:rPr>
        <w:t>Frage Bekannte nach Intros zu Steuerberatern oder Steuerfachangestellten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1"/>
        </w:rPr>
        <w:t>Steuerfachangestellte sind oft die wahren Entscheider für neue Tools</w:t>
      </w:r>
    </w:p>
    <w:p>
      <w:pPr>
        <w:spacing w:before="160" w:after="160"/>
        <w:pBdr>
          <w:left w:val="single" w:sz="24" w:space="8" w:color="1e40af"/>
        </w:pBdr>
        <w:shd w:val="clear" w:fill="e8f0fe"/>
        <w:ind w:left="284" w:right="284"/>
      </w:pPr>
      <w:r>
        <w:rPr>
          <w:rFonts w:ascii="Calibri" w:hAnsi="Calibri"/>
          <w:color w:val="1A1A2E"/>
          <w:sz w:val="20"/>
        </w:rPr>
        <w:t>Ziel: 3 persönliche Demos in KW15–KW16</w:t>
      </w:r>
    </w:p>
    <w:p>
      <w:pPr>
        <w:pStyle w:val="Heading2"/>
      </w:pPr>
      <w:r>
        <w:t>Kanal 2: LinkedIn Outreach (KW16–KW18)</w:t>
      </w:r>
    </w:p>
    <w:p>
      <w:r>
        <w:t>89.000 Steuerberater in Deutschland. Die jüngeren, innovativeren Kanzleiinhaber sind auf LinkedIn — genau deine Early Adopter.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sz w:val="21"/>
        </w:rPr>
        <w:t xml:space="preserve">Zielgruppe: </w:t>
      </w:r>
      <w:r>
        <w:rPr>
          <w:rFonts w:ascii="Calibri" w:hAnsi="Calibri"/>
          <w:sz w:val="21"/>
        </w:rPr>
        <w:t>Titel: „Steuerberater“, „Kanzleiinhaber“, „Partner Steuerkanzlei“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1"/>
        </w:rPr>
        <w:t>Standort Deutschland, Firmengröße 1–50 Mitarbeiter</w:t>
      </w:r>
    </w:p>
    <w:p>
      <w:pPr>
        <w:pStyle w:val="ListBullet"/>
        <w:spacing w:after="60"/>
        <w:ind w:left="425"/>
      </w:pPr>
      <w:r>
        <w:rPr>
          <w:rFonts w:ascii="Calibri" w:hAnsi="Calibri"/>
          <w:b/>
          <w:sz w:val="21"/>
        </w:rPr>
        <w:t xml:space="preserve">Volumen: </w:t>
      </w:r>
      <w:r>
        <w:rPr>
          <w:rFonts w:ascii="Calibri" w:hAnsi="Calibri"/>
          <w:sz w:val="21"/>
        </w:rPr>
        <w:t>10 Nachrichten pro Tag = 50/Woche → bei 10% Antwortrate = 5 Gespräche/Woche</w:t>
      </w:r>
    </w:p>
    <w:p>
      <w:pPr>
        <w:spacing w:before="160" w:after="160"/>
        <w:pBdr>
          <w:left w:val="single" w:sz="24" w:space="8" w:color="1e40af"/>
        </w:pBdr>
        <w:shd w:val="clear" w:fill="e8f0fe"/>
        <w:ind w:left="284" w:right="284"/>
      </w:pPr>
      <w:r>
        <w:rPr>
          <w:rFonts w:ascii="Calibri" w:hAnsi="Calibri"/>
          <w:color w:val="1A1A2E"/>
          <w:sz w:val="20"/>
        </w:rPr>
        <w:t>OUTREACH-NACHRICHT:</w:t>
        <w:br/>
        <w:br/>
        <w:t>„Hallo [Vorname], ich entwickle gerade ein digitales Mandantenportal speziell für kleinere Kanzleien. Mandanten schicken Unterlagen nicht mehr per E-Mail, sondern über einen einfachen Link — inkl. Foto-Upload, digitaler Unterschrift und automatischer Erinnerungen.</w:t>
        <w:br/>
        <w:br/>
        <w:t>Ich suche 3–5 Steuerberater für ehrliches Feedback. Dafür: 6 Monate kostenlose Nutzung.</w:t>
        <w:br/>
        <w:br/>
        <w:t>Hätten Sie 15 Minuten?“</w:t>
      </w:r>
    </w:p>
    <w:p>
      <w:pPr>
        <w:pStyle w:val="Heading2"/>
      </w:pPr>
      <w:r>
        <w:t>Kanal 3: Communities &amp; Verbände (KW17–KW20)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1"/>
        </w:rPr>
        <w:t>21 regionale Steuerberaterkammern anschreiben (bstbk.de) → Stammtisch-Vorstellung anbieten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1"/>
        </w:rPr>
        <w:t>stb-web.de (größtes Fachportal) → Forum + Fachbeiträge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1"/>
        </w:rPr>
        <w:t>LinkedIn: „Steuerberater Stammtisch [Stadt]“ suchen</w:t>
      </w:r>
    </w:p>
    <w:p>
      <w:pPr>
        <w:pStyle w:val="Heading2"/>
      </w:pPr>
      <w:r>
        <w:t>Kanal 4: Steuerberaterkongress (4.–5. Mai, Berlin)</w:t>
      </w:r>
    </w:p>
    <w:p>
      <w:pPr>
        <w:spacing w:before="160" w:after="160"/>
        <w:pBdr>
          <w:left w:val="single" w:sz="24" w:space="8" w:color="d4a017"/>
        </w:pBdr>
        <w:shd w:val="clear" w:fill="fef9e7"/>
        <w:ind w:left="284" w:right="284"/>
      </w:pPr>
      <w:r>
        <w:rPr>
          <w:rFonts w:ascii="Calibri" w:hAnsi="Calibri"/>
          <w:color w:val="1A1A2E"/>
          <w:sz w:val="20"/>
        </w:rPr>
        <w:t>⭐ DEIN WICHTIGSTES EVENT</w:t>
        <w:br/>
        <w:br/>
        <w:t>Deutscher Steuerberaterkongress, 4.–5. Mai 2026, Berlin</w:t>
        <w:br/>
        <w:t>Ticket: ~300–500€ | Kein Stand nötig, geh als Besucher</w:t>
        <w:br/>
        <w:t>50 Visitenkarten mit QR-Code zur Landing Page</w:t>
        <w:br/>
        <w:t>Frage in Pausen: „Wie sammeln Sie Unterlagen von Ihren Mandanten ein?“</w:t>
        <w:br/>
        <w:br/>
        <w:t>Ziel: 10 Kontakte, 5 Demo-Termine</w:t>
      </w:r>
    </w:p>
    <w:p>
      <w:pPr>
        <w:pStyle w:val="Heading2"/>
      </w:pPr>
      <w:r>
        <w:t>Kanal 5: Kaltakquise per E-Mail (KW18+)</w:t>
      </w:r>
    </w:p>
    <w:p>
      <w:r>
        <w:rPr>
          <w:i/>
        </w:rPr>
        <w:t>Erst NACHDEM du 2–3 Testnutzer und mindestens 1 Testimonial hast.</w:t>
      </w:r>
    </w:p>
    <w:p>
      <w:pPr>
        <w:spacing w:before="160" w:after="160"/>
        <w:pBdr>
          <w:left w:val="single" w:sz="24" w:space="8" w:color="1e40af"/>
        </w:pBdr>
        <w:shd w:val="clear" w:fill="e8f0fe"/>
        <w:ind w:left="284" w:right="284"/>
      </w:pPr>
      <w:r>
        <w:rPr>
          <w:rFonts w:ascii="Calibri" w:hAnsi="Calibri"/>
          <w:color w:val="1A1A2E"/>
          <w:sz w:val="20"/>
        </w:rPr>
        <w:t>BETREFF: „Mandantenunterlagen — 4 Stunden pro Woche gespart?“</w:t>
        <w:br/>
        <w:br/>
        <w:t>„Guten Tag Herr/Frau [Name],</w:t>
        <w:br/>
        <w:br/>
        <w:t>wir haben Clario gebaut — ein Portal, über das Ihre Mandanten Unterlagen per Link hochladen, Fotos mit KI-Qualitätsprüfung machen und Vollmachten digital unterschreiben. Kein Account, kein DATEV-Vertrag.</w:t>
        <w:br/>
        <w:br/>
        <w:t>[Steuerberater X] nutzt Clario seit [Zeitraum] und spart ~[X] Stunden/Woche.</w:t>
        <w:br/>
        <w:br/>
        <w:t>30 Tage kostenlos testen?“</w:t>
      </w:r>
    </w:p>
    <w:p>
      <w:pPr>
        <w:pStyle w:val="Heading2"/>
      </w:pPr>
      <w:r>
        <w:t>Conversion-Ziel Monat 1–2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35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Kanal</w:t>
            </w:r>
          </w:p>
        </w:tc>
        <w:tc>
          <w:tcPr>
            <w:tcW w:type="dxa" w:w="1417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Kontakte</w:t>
            </w:r>
          </w:p>
        </w:tc>
        <w:tc>
          <w:tcPr>
            <w:tcW w:type="dxa" w:w="1134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Demos</w:t>
            </w:r>
          </w:p>
        </w:tc>
        <w:tc>
          <w:tcPr>
            <w:tcW w:type="dxa" w:w="1701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Testnutzer</w:t>
            </w:r>
          </w:p>
        </w:tc>
        <w:tc>
          <w:tcPr>
            <w:tcW w:type="dxa" w:w="1417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Zahlend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Persönliches Netzwerk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1</w:t>
            </w:r>
          </w:p>
        </w:tc>
      </w:tr>
      <w:tr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LinkedIn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150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Events / Stammtische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1</w:t>
            </w:r>
          </w:p>
        </w:tc>
      </w:tr>
      <w:tr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Kaltakquise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50</w:t>
            </w:r>
          </w:p>
        </w:tc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0–1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GESAMT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225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4–5</w:t>
            </w:r>
          </w:p>
        </w:tc>
      </w:tr>
    </w:tbl>
    <w:p/>
    <w:p>
      <w:r>
        <w:rPr>
          <w:i/>
          <w:color w:val="64748B"/>
          <w:sz w:val="18"/>
        </w:rPr>
        <w:t>Disclaimer: Schätzungen basierend auf typischen B2B-SaaS Conversion-Rates (10–15% Kontakt→Demo, 40–50% Demo→Test, 30–40% Test→Zahlung). Echte Zahlen nach den ersten 50 Kontakten validieren.</w:t>
      </w:r>
    </w:p>
    <w:p>
      <w:r>
        <w:br w:type="page"/>
      </w:r>
    </w:p>
    <w:p>
      <w:pPr>
        <w:pStyle w:val="Heading1"/>
      </w:pPr>
      <w:r>
        <w:t>3. Pricing</w:t>
      </w:r>
    </w:p>
    <w:p>
      <w:pPr>
        <w:spacing w:before="0" w:after="240"/>
        <w:pBdr>
          <w:bottom w:val="single" w:sz="12" w:space="1" w:color="1e40af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1984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Starter</w:t>
            </w:r>
          </w:p>
        </w:tc>
        <w:tc>
          <w:tcPr>
            <w:tcW w:type="dxa" w:w="1984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Pro</w:t>
            </w:r>
          </w:p>
        </w:tc>
        <w:tc>
          <w:tcPr>
            <w:tcW w:type="dxa" w:w="2551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Kanzlei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Preis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€49 / Monat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€99 / Monat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€199 / Monat</w:t>
            </w:r>
          </w:p>
        </w:tc>
      </w:tr>
      <w:tr>
        <w:tc>
          <w:tcPr>
            <w:tcW w:type="dxa" w:w="255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Mandanten</w:t>
            </w:r>
          </w:p>
        </w:tc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bis 30</w:t>
            </w:r>
          </w:p>
        </w:tc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bis 100</w:t>
            </w:r>
          </w:p>
        </w:tc>
        <w:tc>
          <w:tcPr>
            <w:tcW w:type="dxa" w:w="255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unbegrenzt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Checklisten-Vorlagen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3 Standard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Alle 7 + eigene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Alle 7 + eigene + Import</w:t>
            </w:r>
          </w:p>
        </w:tc>
      </w:tr>
      <w:tr>
        <w:tc>
          <w:tcPr>
            <w:tcW w:type="dxa" w:w="255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Digitale Unterschrift</w:t>
            </w:r>
          </w:p>
        </w:tc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✓</w:t>
            </w:r>
          </w:p>
        </w:tc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✓</w:t>
            </w:r>
          </w:p>
        </w:tc>
        <w:tc>
          <w:tcPr>
            <w:tcW w:type="dxa" w:w="255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✓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KI-Bildprüfung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50 / Monat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500 / Monat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unbegrenzt</w:t>
            </w:r>
          </w:p>
        </w:tc>
      </w:tr>
      <w:tr>
        <w:tc>
          <w:tcPr>
            <w:tcW w:type="dxa" w:w="255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Erinnerungen</w:t>
            </w:r>
          </w:p>
        </w:tc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Manuell</w:t>
            </w:r>
          </w:p>
        </w:tc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Automatisch</w:t>
            </w:r>
          </w:p>
        </w:tc>
        <w:tc>
          <w:tcPr>
            <w:tcW w:type="dxa" w:w="255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Automatisch + individuell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Wiederkehrende Checklisten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✗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✓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✓</w:t>
            </w:r>
          </w:p>
        </w:tc>
      </w:tr>
      <w:tr>
        <w:tc>
          <w:tcPr>
            <w:tcW w:type="dxa" w:w="255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Support</w:t>
            </w:r>
          </w:p>
        </w:tc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E-Mail</w:t>
            </w:r>
          </w:p>
        </w:tc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E-Mail + Chat</w:t>
            </w:r>
          </w:p>
        </w:tc>
        <w:tc>
          <w:tcPr>
            <w:tcW w:type="dxa" w:w="255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E-Mail + Chat + Onboarding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Jährlich (20% Rabatt)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€470 / Jahr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€950 / Jahr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€1.900 / Jahr</w:t>
            </w:r>
          </w:p>
        </w:tc>
      </w:tr>
    </w:tbl>
    <w:p/>
    <w:p>
      <w:pPr>
        <w:pStyle w:val="Heading2"/>
      </w:pPr>
      <w:r>
        <w:t>Begründung</w:t>
      </w:r>
    </w:p>
    <w:p>
      <w:r>
        <w:rPr>
          <w:rFonts w:ascii="Calibri" w:hAnsi="Calibri"/>
          <w:b/>
        </w:rPr>
        <w:t xml:space="preserve">€49 Starter: </w:t>
      </w:r>
      <w:r>
        <w:rPr>
          <w:rFonts w:ascii="Calibri" w:hAnsi="Calibri"/>
        </w:rPr>
        <w:t>Für 1-Person-Kanzleien mit 20–30 Mandanten. Ein Steuerberater verdient €3.000–4.500 pro Mandant/Jahr. €49/Monat ist irrelevant im Vergleich. DATEV kostet €200–400+/Monat — Clario ist deutlich günstiger und einfacher.</w:t>
      </w:r>
    </w:p>
    <w:p>
      <w:r>
        <w:rPr>
          <w:rFonts w:ascii="Calibri" w:hAnsi="Calibri"/>
          <w:b/>
        </w:rPr>
        <w:t xml:space="preserve">€99 Pro (Sweet Spot): </w:t>
      </w:r>
      <w:r>
        <w:rPr>
          <w:rFonts w:ascii="Calibri" w:hAnsi="Calibri"/>
        </w:rPr>
        <w:t>Für 2–5 Mitarbeiter, 50–100 Mandanten. Automatische Erinnerungen + wiederkehrende Checklisten sparen 3–5h/Woche. Bei €35/h Steuerfachangestellten-Stundensatz = €420–700/Monat Zeitersparnis. €99 ist ein 5–7x ROI.</w:t>
      </w:r>
    </w:p>
    <w:p>
      <w:r>
        <w:rPr>
          <w:rFonts w:ascii="Calibri" w:hAnsi="Calibri"/>
          <w:b/>
        </w:rPr>
        <w:t xml:space="preserve">€199 Kanzlei: </w:t>
      </w:r>
      <w:r>
        <w:rPr>
          <w:rFonts w:ascii="Calibri" w:hAnsi="Calibri"/>
        </w:rPr>
        <w:t>Für 5–10 Mitarbeiter, 100+ Mandanten. Der Onboarding-Call macht den Unterschied — Steuerberater kaufen Vertrauen, nicht Features.</w:t>
      </w:r>
    </w:p>
    <w:p>
      <w:pPr>
        <w:pStyle w:val="Heading2"/>
      </w:pPr>
      <w:r>
        <w:t>Marktvergleich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Anbieter</w:t>
            </w:r>
          </w:p>
        </w:tc>
        <w:tc>
          <w:tcPr>
            <w:tcW w:type="dxa" w:w="1984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Preis</w:t>
            </w:r>
          </w:p>
        </w:tc>
        <w:tc>
          <w:tcPr>
            <w:tcW w:type="dxa" w:w="2268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Fokus</w:t>
            </w:r>
          </w:p>
        </w:tc>
        <w:tc>
          <w:tcPr>
            <w:tcW w:type="dxa" w:w="2551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Clario-Vorteil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DATEV Meine Steuern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€200–400+/Mo (Gesamtpaket)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Monolithisch, alles-in-einem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Günstiger, einfacher, schneller</w:t>
            </w:r>
          </w:p>
        </w:tc>
      </w:tr>
      <w:tr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GetMyInvoices</w:t>
            </w:r>
          </w:p>
        </w:tc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ab €15/Mo</w:t>
            </w:r>
          </w:p>
        </w:tc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Nur Belegerfassung</w:t>
            </w:r>
          </w:p>
        </w:tc>
        <w:tc>
          <w:tcPr>
            <w:tcW w:type="dxa" w:w="255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Mehr Features (Unterschrift, GwG)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SmartTransfer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nicht öffentlich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sz w:val="19"/>
              </w:rPr>
              <w:t>Ähnlich wie Clario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Bessere UX, KI-Features</w:t>
            </w:r>
          </w:p>
        </w:tc>
      </w:tr>
      <w:tr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E-Mail + Excel</w:t>
            </w:r>
          </w:p>
        </w:tc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€0</w:t>
            </w:r>
          </w:p>
        </w:tc>
        <w:tc>
          <w:tcPr>
            <w:tcW w:type="dxa" w:w="226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Status quo der meisten</w:t>
            </w:r>
          </w:p>
        </w:tc>
        <w:tc>
          <w:tcPr>
            <w:tcW w:type="dxa" w:w="255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Automatisierung, kein Chaos</w:t>
            </w:r>
          </w:p>
        </w:tc>
      </w:tr>
    </w:tbl>
    <w:p/>
    <w:p>
      <w:pPr>
        <w:spacing w:before="160" w:after="160"/>
        <w:pBdr>
          <w:left w:val="single" w:sz="24" w:space="8" w:color="1e40af"/>
        </w:pBdr>
        <w:shd w:val="clear" w:fill="e8f0fe"/>
        <w:ind w:left="284" w:right="284"/>
      </w:pPr>
      <w:r>
        <w:rPr>
          <w:rFonts w:ascii="Calibri" w:hAnsi="Calibri"/>
          <w:color w:val="1A1A2E"/>
          <w:sz w:val="20"/>
        </w:rPr>
        <w:t>LAUNCH-EMPFEHLUNG: 30-Tage-Trial ohne Kreditkarte. Ersten 10 Kunden „Founding Member“-Pricing: 50% dauerhaft (EUR 25/50/100). Schafft Loyalitaet und Testimonials.</w:t>
      </w:r>
    </w:p>
    <w:p>
      <w:r>
        <w:br w:type="page"/>
      </w:r>
    </w:p>
    <w:p>
      <w:pPr>
        <w:pStyle w:val="Heading1"/>
      </w:pPr>
      <w:r>
        <w:t>4. Rechtliches</w:t>
      </w:r>
    </w:p>
    <w:p>
      <w:pPr>
        <w:spacing w:before="0" w:after="240"/>
        <w:pBdr>
          <w:bottom w:val="single" w:sz="12" w:space="1" w:color="1e40af"/>
        </w:pBdr>
      </w:pPr>
    </w:p>
    <w:p>
      <w:pPr>
        <w:pStyle w:val="Heading2"/>
      </w:pPr>
      <w:r>
        <w:t>Pflicht vor Go-Live (Blocker)</w:t>
      </w:r>
    </w:p>
    <w:p>
      <w:pPr>
        <w:spacing w:after="160"/>
      </w:pPr>
      <w:r>
        <w:rPr>
          <w:rFonts w:ascii="Calibri" w:hAnsi="Calibri"/>
          <w:b/>
          <w:sz w:val="21"/>
        </w:rPr>
        <w:t>1. Impressum (§5 TMG)</w:t>
        <w:br/>
      </w:r>
      <w:r>
        <w:rPr>
          <w:rFonts w:ascii="Calibri" w:hAnsi="Calibri"/>
          <w:sz w:val="20"/>
        </w:rPr>
        <w:t>Name, Anschrift, Telefon, E-Mail, USt-ID. Gewerbeanmeldung ~20–30€.</w:t>
      </w:r>
    </w:p>
    <w:p>
      <w:pPr>
        <w:spacing w:after="160"/>
      </w:pPr>
      <w:r>
        <w:rPr>
          <w:rFonts w:ascii="Calibri" w:hAnsi="Calibri"/>
          <w:b/>
          <w:sz w:val="21"/>
        </w:rPr>
        <w:t>2. Datenschutzerklärung (Art. 13 DSGVO)</w:t>
        <w:br/>
      </w:r>
      <w:r>
        <w:rPr>
          <w:rFonts w:ascii="Calibri" w:hAnsi="Calibri"/>
          <w:sz w:val="20"/>
        </w:rPr>
        <w:t>Verarbeitete Daten, Rechtsgrundlage, Auftragsverarbeiter (Supabase, Resend, Anthropic), Speicherdauer, Betroffenenrechte.</w:t>
      </w:r>
    </w:p>
    <w:p>
      <w:pPr>
        <w:spacing w:after="160"/>
      </w:pPr>
      <w:r>
        <w:rPr>
          <w:rFonts w:ascii="Calibri" w:hAnsi="Calibri"/>
          <w:b/>
          <w:sz w:val="21"/>
        </w:rPr>
        <w:t>3. AVV nach Art. 28 DSGVO</w:t>
        <w:br/>
      </w:r>
      <w:r>
        <w:rPr>
          <w:rFonts w:ascii="Calibri" w:hAnsi="Calibri"/>
          <w:sz w:val="20"/>
        </w:rPr>
        <w:t>PFLICHT mit Supabase (supabase.com/legal/dpa), Resend (resend.com/legal/dpa), Anthropic. DPAs downloaden und aufbewahren — Steuerberater werden danach fragen.</w:t>
      </w:r>
    </w:p>
    <w:p>
      <w:pPr>
        <w:spacing w:after="160"/>
      </w:pPr>
      <w:r>
        <w:rPr>
          <w:rFonts w:ascii="Calibri" w:hAnsi="Calibri"/>
          <w:b/>
          <w:sz w:val="21"/>
        </w:rPr>
        <w:t>4. Personalausweis (PersAuswG §20)</w:t>
        <w:br/>
      </w:r>
      <w:r>
        <w:rPr>
          <w:rFonts w:ascii="Calibri" w:hAnsi="Calibri"/>
          <w:sz w:val="20"/>
        </w:rPr>
        <w:t>Steuerberater dürfen Kopien unter GwG §8 Abs. 2. Kopie MUSS als solche erkennbar sein (Wasserzeichen „KOPIE“). Löschfrist: 5 Jahre nach Geschäftsende.</w:t>
      </w:r>
    </w:p>
    <w:p>
      <w:pPr>
        <w:spacing w:after="160"/>
      </w:pPr>
      <w:r>
        <w:rPr>
          <w:rFonts w:ascii="Calibri" w:hAnsi="Calibri"/>
          <w:b/>
          <w:sz w:val="21"/>
        </w:rPr>
        <w:t>5. AGB</w:t>
        <w:br/>
      </w:r>
      <w:r>
        <w:rPr>
          <w:rFonts w:ascii="Calibri" w:hAnsi="Calibri"/>
          <w:sz w:val="20"/>
        </w:rPr>
        <w:t>Beta: einfache Seite reicht. Zahlende Kunden: IT-Recht Kanzlei (~30€/Mo) oder Anwalt (500–1.500€).</w:t>
      </w:r>
    </w:p>
    <w:p>
      <w:pPr>
        <w:pStyle w:val="Heading2"/>
      </w:pPr>
      <w:r>
        <w:t>Nach erstem zahlenden Kunden</w:t>
      </w:r>
    </w:p>
    <w:p>
      <w:pPr>
        <w:spacing w:after="160"/>
      </w:pPr>
      <w:r>
        <w:rPr>
          <w:rFonts w:ascii="Calibri" w:hAnsi="Calibri"/>
          <w:b/>
          <w:sz w:val="21"/>
        </w:rPr>
        <w:t>6. Rechtsform</w:t>
        <w:br/>
      </w:r>
      <w:r>
        <w:rPr>
          <w:rFonts w:ascii="Calibri" w:hAnsi="Calibri"/>
          <w:sz w:val="20"/>
        </w:rPr>
        <w:t>Einzelunternehmen reicht. Ab ~50.000€ Umsatz: UG gründen (~500€ Notar). GmbH erst bei Investoren.</w:t>
      </w:r>
    </w:p>
    <w:p>
      <w:pPr>
        <w:spacing w:after="160"/>
      </w:pPr>
      <w:r>
        <w:rPr>
          <w:rFonts w:ascii="Calibri" w:hAnsi="Calibri"/>
          <w:b/>
          <w:sz w:val="21"/>
        </w:rPr>
        <w:t>7. Buchhaltung</w:t>
        <w:br/>
      </w:r>
      <w:r>
        <w:rPr>
          <w:rFonts w:ascii="Calibri" w:hAnsi="Calibri"/>
          <w:sz w:val="20"/>
        </w:rPr>
        <w:t>19% USt auf SaaS. Kleinunternehmerregelung möglich bis 25.000€ (verifizieren). Stripe erstellt Rechnungen automatisch.</w:t>
      </w:r>
    </w:p>
    <w:p>
      <w:pPr>
        <w:spacing w:after="160"/>
      </w:pPr>
      <w:r>
        <w:rPr>
          <w:rFonts w:ascii="Calibri" w:hAnsi="Calibri"/>
          <w:b/>
          <w:sz w:val="21"/>
        </w:rPr>
        <w:t>8. IT-Sicherheitskonzept</w:t>
        <w:br/>
      </w:r>
      <w:r>
        <w:rPr>
          <w:rFonts w:ascii="Calibri" w:hAnsi="Calibri"/>
          <w:sz w:val="20"/>
        </w:rPr>
        <w:t>2-Seiten-Dokument: Verschlüsselung, Serverstandort Frankfurt, RLS, Backups, kein Mitarbeiter-Zugriff.</w:t>
      </w:r>
    </w:p>
    <w:p>
      <w:pPr>
        <w:spacing w:before="160" w:after="160"/>
        <w:pBdr>
          <w:left w:val="single" w:sz="24" w:space="8" w:color="e65100"/>
        </w:pBdr>
        <w:shd w:val="clear" w:fill="fff3e0"/>
        <w:ind w:left="284" w:right="284"/>
      </w:pPr>
      <w:r>
        <w:rPr>
          <w:rFonts w:ascii="Calibri" w:hAnsi="Calibri"/>
          <w:color w:val="1A1A2E"/>
          <w:sz w:val="20"/>
        </w:rPr>
        <w:t>⚠️ DISCLAIMER: Keine Rechtsberatung. Für AVV, PersAuswG und Steuer einen auf IT-Recht spezialisierten Anwalt konsultieren (~200–400€ Erstberatung). Gut investiertes Geld.</w:t>
      </w:r>
    </w:p>
    <w:p>
      <w:r>
        <w:br w:type="page"/>
      </w:r>
    </w:p>
    <w:p>
      <w:pPr>
        <w:pStyle w:val="Heading1"/>
      </w:pPr>
      <w:r>
        <w:t>5. Feature-Roadmap</w:t>
      </w:r>
    </w:p>
    <w:p>
      <w:r>
        <w:rPr>
          <w:i/>
          <w:color w:val="64748B"/>
          <w:sz w:val="22"/>
        </w:rPr>
        <w:t>Monat 3–6, ab Juni 2026 — Priorisiert nach Kundenwert</w:t>
      </w:r>
    </w:p>
    <w:p>
      <w:pPr>
        <w:spacing w:before="0" w:after="240"/>
        <w:pBdr>
          <w:bottom w:val="single" w:sz="12" w:space="1" w:color="1e40af"/>
        </w:pBdr>
      </w:pPr>
    </w:p>
    <w:p>
      <w:pPr>
        <w:pStyle w:val="Heading2"/>
      </w:pPr>
      <w:r>
        <w:t>Priorität 1: Kunden werden das verlangen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1417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Zeitraum</w:t>
            </w:r>
          </w:p>
        </w:tc>
        <w:tc>
          <w:tcPr>
            <w:tcW w:type="dxa" w:w="3118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Warum</w:t>
            </w:r>
          </w:p>
        </w:tc>
        <w:tc>
          <w:tcPr>
            <w:tcW w:type="dxa" w:w="1984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Impact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Dokument-Ablehnung durch Kanzlei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KW22–24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9"/>
              </w:rPr>
              <w:t>Ohne das müssen Kanzleien per E-Mail nachfragen — genau das Chaos das Clario löst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Hoch — #1 Feature-Anfrage</w:t>
            </w:r>
          </w:p>
        </w:tc>
      </w:tr>
      <w:tr>
        <w:tc>
          <w:tcPr>
            <w:tcW w:type="dxa" w:w="255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DATEV-Export / Schnittstelle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KW24–28</w:t>
            </w:r>
          </w:p>
        </w:tc>
        <w:tc>
          <w:tcPr>
            <w:tcW w:type="dxa" w:w="311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80%+ nutzen DATEV. Ohne Export halbiert sich die Zeitersparnis.</w:t>
            </w:r>
          </w:p>
        </w:tc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Sehr hoch — Kaufentscheidung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Mandanten-Ansicht für Kanzlei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KW24–26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9"/>
              </w:rPr>
              <w:t>Support: „Ich sehe nicht wo ich hochladen soll“ → Kanzlei kann es sehen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Mittel</w:t>
            </w:r>
          </w:p>
        </w:tc>
      </w:tr>
    </w:tbl>
    <w:p/>
    <w:p>
      <w:pPr>
        <w:pStyle w:val="Heading2"/>
      </w:pPr>
      <w:r>
        <w:t>Priorität 2: Wachstums-Features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1417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Zeitraum</w:t>
            </w:r>
          </w:p>
        </w:tc>
        <w:tc>
          <w:tcPr>
            <w:tcW w:type="dxa" w:w="3118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Warum</w:t>
            </w:r>
          </w:p>
        </w:tc>
        <w:tc>
          <w:tcPr>
            <w:tcW w:type="dxa" w:w="1984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Impact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WhatsApp-Erinnerungen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KW26–28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9"/>
              </w:rPr>
              <w:t>E-Mails werden ignoriert. WhatsApp hat 90%+ Öffnungsrate.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Hoch — USP</w:t>
            </w:r>
          </w:p>
        </w:tc>
      </w:tr>
      <w:tr>
        <w:tc>
          <w:tcPr>
            <w:tcW w:type="dxa" w:w="255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Mehrsprachigkeit (TR/RU/AR/EN)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KW28–30</w:t>
            </w:r>
          </w:p>
        </w:tc>
        <w:tc>
          <w:tcPr>
            <w:tcW w:type="dxa" w:w="311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Viele Mandanten sprechen kein fließendes Deutsch.</w:t>
            </w:r>
          </w:p>
        </w:tc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Mittel-Hoch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Kanzlei-Branding / White-Label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KW30–32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9"/>
              </w:rPr>
              <w:t>Steuerberater wollen professionell auftreten.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Mittel — Upsell</w:t>
            </w:r>
          </w:p>
        </w:tc>
      </w:tr>
    </w:tbl>
    <w:p/>
    <w:p>
      <w:pPr>
        <w:pStyle w:val="Heading2"/>
      </w:pPr>
      <w:r>
        <w:t>Priorität 3: Ab 50+ Kunden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1"/>
        </w:rPr>
        <w:t>Chat zwischen Kanzlei und Mandant im Portal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1"/>
        </w:rPr>
        <w:t>OCR / automatische Dokumentenerkennung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1"/>
        </w:rPr>
        <w:t>Dashboard-Analytics (Bearbeitungszeit, Top-Nachzügler)</w:t>
      </w:r>
    </w:p>
    <w:p>
      <w:pPr>
        <w:pStyle w:val="ListBullet"/>
        <w:spacing w:after="60"/>
        <w:ind w:left="425"/>
      </w:pPr>
      <w:r>
        <w:rPr>
          <w:rFonts w:ascii="Calibri" w:hAnsi="Calibri"/>
          <w:sz w:val="21"/>
        </w:rPr>
        <w:t>API für Integration (ADDISON, Agenda, Simba)</w:t>
      </w:r>
    </w:p>
    <w:p>
      <w:r>
        <w:br w:type="page"/>
      </w:r>
    </w:p>
    <w:p>
      <w:pPr>
        <w:pStyle w:val="Heading1"/>
      </w:pPr>
      <w:r>
        <w:t>6. Finanzplan</w:t>
      </w:r>
    </w:p>
    <w:p>
      <w:pPr>
        <w:spacing w:before="0" w:after="240"/>
        <w:pBdr>
          <w:bottom w:val="single" w:sz="12" w:space="1" w:color="1e40af"/>
        </w:pBdr>
      </w:pPr>
    </w:p>
    <w:p>
      <w:pPr>
        <w:pStyle w:val="Heading2"/>
      </w:pPr>
      <w:r>
        <w:t>Monatliche Infrastrukturkosten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Posten</w:t>
            </w:r>
          </w:p>
        </w:tc>
        <w:tc>
          <w:tcPr>
            <w:tcW w:type="dxa" w:w="1701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Kosten/Monat</w:t>
            </w:r>
          </w:p>
        </w:tc>
        <w:tc>
          <w:tcPr>
            <w:tcW w:type="dxa" w:w="4819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Anmerkung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Supabase Pro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~€115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19"/>
              </w:rPr>
              <w:t>$125 (Base + Micro Compute)</w:t>
            </w:r>
          </w:p>
        </w:tc>
      </w:tr>
      <w:tr>
        <w:tc>
          <w:tcPr>
            <w:tcW w:type="dxa" w:w="255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Vercel Pro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~€18</w:t>
            </w:r>
          </w:p>
        </w:tc>
        <w:tc>
          <w:tcPr>
            <w:tcW w:type="dxa" w:w="4819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$20 / Seat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Resend Pro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~€18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19"/>
              </w:rPr>
              <w:t>$20 (50K Mails reichen für Start)</w:t>
            </w:r>
          </w:p>
        </w:tc>
      </w:tr>
      <w:tr>
        <w:tc>
          <w:tcPr>
            <w:tcW w:type="dxa" w:w="255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Claude API (Sonnet)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~€20–50</w:t>
            </w:r>
          </w:p>
        </w:tc>
        <w:tc>
          <w:tcPr>
            <w:tcW w:type="dxa" w:w="4819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500 Bildprüfungen × ~€0,05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Domain + E-Mail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~€6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sz w:val="19"/>
              </w:rPr>
              <w:t>€12/Jahr Domain + Google Workspace</w:t>
            </w:r>
          </w:p>
        </w:tc>
      </w:tr>
      <w:tr>
        <w:tc>
          <w:tcPr>
            <w:tcW w:type="dxa" w:w="255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GESAMT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~€180</w:t>
            </w:r>
          </w:p>
        </w:tc>
        <w:tc>
          <w:tcPr>
            <w:tcW w:type="dxa" w:w="4819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t>Einmalige Kosten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Posten</w:t>
            </w:r>
          </w:p>
        </w:tc>
        <w:tc>
          <w:tcPr>
            <w:tcW w:type="dxa" w:w="1984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Kosten</w:t>
            </w:r>
          </w:p>
        </w:tc>
        <w:tc>
          <w:tcPr>
            <w:tcW w:type="dxa" w:w="1984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Wann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Domain-Registrierung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€12–30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KW14</w:t>
            </w:r>
          </w:p>
        </w:tc>
      </w:tr>
      <w:tr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Gewerbeanmeldung</w:t>
            </w:r>
          </w:p>
        </w:tc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€20–30</w:t>
            </w:r>
          </w:p>
        </w:tc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KW15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AGB (IT-Recht Kanzlei)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€30/Monat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Ab 1. Kunde</w:t>
            </w:r>
          </w:p>
        </w:tc>
      </w:tr>
      <w:tr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Anwalt Erstberatung</w:t>
            </w:r>
          </w:p>
        </w:tc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€200–400</w:t>
            </w:r>
          </w:p>
        </w:tc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KW16–17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Steuerberaterkongress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~€300–500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Mai 2026</w:t>
            </w:r>
          </w:p>
        </w:tc>
      </w:tr>
      <w:tr>
        <w:tc>
          <w:tcPr>
            <w:tcW w:type="dxa" w:w="2835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Visitenkarten + Flyer</w:t>
            </w:r>
          </w:p>
        </w:tc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€50–100</w:t>
            </w:r>
          </w:p>
        </w:tc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KW17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19"/>
              </w:rPr>
              <w:t>GESAMT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~€650–1.100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pPr>
        <w:pStyle w:val="Heading2"/>
      </w:pPr>
      <w:r>
        <w:t>Revenue-Projektion (konservativ)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Monat</w:t>
            </w:r>
          </w:p>
        </w:tc>
        <w:tc>
          <w:tcPr>
            <w:tcW w:type="dxa" w:w="1701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Kunden</w:t>
            </w:r>
          </w:p>
        </w:tc>
        <w:tc>
          <w:tcPr>
            <w:tcW w:type="dxa" w:w="1417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MRR</w:t>
            </w:r>
          </w:p>
        </w:tc>
        <w:tc>
          <w:tcPr>
            <w:tcW w:type="dxa" w:w="1417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Kosten</w:t>
            </w:r>
          </w:p>
        </w:tc>
        <w:tc>
          <w:tcPr>
            <w:tcW w:type="dxa" w:w="1417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Netto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Apr 2026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0 (Beta)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€0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€180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-€180</w:t>
            </w:r>
          </w:p>
        </w:tc>
      </w:tr>
      <w:tr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Mai 2026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2 (Founding)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€75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€180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-€105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Jun 2026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€250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€200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+€50</w:t>
            </w:r>
          </w:p>
        </w:tc>
      </w:tr>
      <w:tr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Jul 2026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€500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€200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+€300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Aug 2026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€800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€220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+€580</w:t>
            </w:r>
          </w:p>
        </w:tc>
      </w:tr>
      <w:tr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Sep 2026</w:t>
            </w:r>
          </w:p>
        </w:tc>
        <w:tc>
          <w:tcPr>
            <w:tcW w:type="dxa" w:w="170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€1.200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€250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+€950</w:t>
            </w:r>
          </w:p>
        </w:tc>
      </w:tr>
    </w:tbl>
    <w:p/>
    <w:p>
      <w:pPr>
        <w:spacing w:before="160" w:after="160"/>
        <w:pBdr>
          <w:left w:val="single" w:sz="24" w:space="8" w:color="2e7d32"/>
        </w:pBdr>
        <w:shd w:val="clear" w:fill="e8f5e9"/>
        <w:ind w:left="284" w:right="284"/>
      </w:pPr>
      <w:r>
        <w:rPr>
          <w:rFonts w:ascii="Calibri" w:hAnsi="Calibri"/>
          <w:color w:val="1A1A2E"/>
          <w:sz w:val="20"/>
        </w:rPr>
        <w:t>BREAKEVEN: ~Monat 3 bei ~€200 MRR (3 Kunden)</w:t>
        <w:br/>
        <w:br/>
        <w:t>• Ab 10 Kunden: ~€700/Mo Gewinn (Nebenjob-Modus)</w:t>
        <w:br/>
        <w:t>• Ab 30 Kunden: ~€2.100/Mo (Vollzeit-Einkommen)</w:t>
        <w:br/>
        <w:t>• Ab 100 Kunden: ~€7.000/Mo (echtes SaaS-Territorium)</w:t>
        <w:br/>
        <w:br/>
        <w:t>Alle Zahlen sind Schätzungen. Die ersten 5 Gespräche zeigen ob realistisch.</w:t>
      </w:r>
    </w:p>
    <w:p>
      <w:r>
        <w:br w:type="page"/>
      </w:r>
    </w:p>
    <w:p>
      <w:pPr>
        <w:pStyle w:val="Heading1"/>
      </w:pPr>
      <w:r>
        <w:t>7. Risiken &amp; Plan B</w:t>
      </w:r>
    </w:p>
    <w:p>
      <w:pPr>
        <w:spacing w:before="0" w:after="240"/>
        <w:pBdr>
          <w:bottom w:val="single" w:sz="12" w:space="1" w:color="1e40af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Risiko</w:t>
            </w:r>
          </w:p>
        </w:tc>
        <w:tc>
          <w:tcPr>
            <w:tcW w:type="dxa" w:w="1417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Wahrsch.</w:t>
            </w:r>
          </w:p>
        </w:tc>
        <w:tc>
          <w:tcPr>
            <w:tcW w:type="dxa" w:w="2551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Szenario</w:t>
            </w:r>
          </w:p>
        </w:tc>
        <w:tc>
          <w:tcPr>
            <w:tcW w:type="dxa" w:w="3118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Plan B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Kein Product-Market-Fit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Mittel (30–40%)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Steuerberater sagen „nett, aber E-Mail reicht“.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9"/>
              </w:rPr>
              <w:t>Pivote auf GwG-Only (gesetzliche Pflicht). Oder: andere Branchen (Anwälte, Makler).</w:t>
            </w:r>
          </w:p>
        </w:tc>
      </w:tr>
      <w:tr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DATEV baut das Gleiche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Hoch (60%+ langfristig)</w:t>
            </w:r>
          </w:p>
        </w:tc>
        <w:tc>
          <w:tcPr>
            <w:tcW w:type="dxa" w:w="255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DATEV verbessert „Meine Steuern“ mit GwG-Features.</w:t>
            </w:r>
          </w:p>
        </w:tc>
        <w:tc>
          <w:tcPr>
            <w:tcW w:type="dxa" w:w="311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Geschwindigkeit + UX-Vorsprung. Nische: Kanzleien ohne DATEV (~30%). Langfristig: Portal-Layer über DATEV.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Sicherheitsvorfall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Niedrig-Mittel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Personalausweis-Leak = Todessstoß im deutschen Markt.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9"/>
              </w:rPr>
              <w:t>Security Fixes SOFORT. Ab 10 Kunden: Pentest (2–5K€). Cyber-Versicherung (~40€/Mo).</w:t>
            </w:r>
          </w:p>
        </w:tc>
      </w:tr>
      <w:tr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Supabase-Abhängigkeit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Niedrig</w:t>
            </w:r>
          </w:p>
        </w:tc>
        <w:tc>
          <w:tcPr>
            <w:tcW w:type="dxa" w:w="255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Preiserhöhung oder Ausfall.</w:t>
            </w:r>
          </w:p>
        </w:tc>
        <w:tc>
          <w:tcPr>
            <w:tcW w:type="dxa" w:w="311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Supabase ist Open Source. Self-Hosting auf Hetzner (~30€/Mo) jederzeit möglich.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sz w:val="19"/>
              </w:rPr>
              <w:t>Solo-Founder-Burnout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sz w:val="19"/>
              </w:rPr>
              <w:t>Hoch (70%+)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19"/>
              </w:rPr>
              <w:t>Code + Sales + Support + Legal allein ist nicht nachhaltig.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sz w:val="19"/>
              </w:rPr>
              <w:t>Ab 15 Kunden: Werkstudent für Support. Ab 30: Co-Founder suchen. Feste Arbeitszeiten.</w:t>
            </w:r>
          </w:p>
        </w:tc>
      </w:tr>
      <w:tr>
        <w:tc>
          <w:tcPr>
            <w:tcW w:type="dxa" w:w="198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Digitale Signatur nicht anerkannt</w:t>
            </w:r>
          </w:p>
        </w:tc>
        <w:tc>
          <w:tcPr>
            <w:tcW w:type="dxa" w:w="1417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Niedrig-Mittel</w:t>
            </w:r>
          </w:p>
        </w:tc>
        <w:tc>
          <w:tcPr>
            <w:tcW w:type="dxa" w:w="2551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Finanzamt akzeptiert einfache eSignatur nicht.</w:t>
            </w:r>
          </w:p>
        </w:tc>
        <w:tc>
          <w:tcPr>
            <w:tcW w:type="dxa" w:w="3118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Disclaimer einbauen. Notfalls: qualifizierten Anbieter integrieren (sign-me, ~0,50–2€/Signatur).</w:t>
            </w:r>
          </w:p>
        </w:tc>
      </w:tr>
    </w:tbl>
    <w:p/>
    <w:p>
      <w:r>
        <w:br w:type="page"/>
      </w:r>
    </w:p>
    <w:p>
      <w:pPr>
        <w:pStyle w:val="Heading1"/>
      </w:pPr>
      <w:r>
        <w:t>Zusammenfassung: Die nächsten 4 Wochen</w:t>
      </w:r>
    </w:p>
    <w:p>
      <w:pPr>
        <w:spacing w:before="0" w:after="240"/>
        <w:pBdr>
          <w:bottom w:val="single" w:sz="12" w:space="1" w:color="1e40af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KW</w:t>
            </w:r>
          </w:p>
        </w:tc>
        <w:tc>
          <w:tcPr>
            <w:tcW w:type="dxa" w:w="3969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Fokus</w:t>
            </w:r>
          </w:p>
        </w:tc>
        <w:tc>
          <w:tcPr>
            <w:tcW w:type="dxa" w:w="3969"/>
            <w:shd w:fill="1e40a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Ergebnis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KW14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9"/>
              </w:rPr>
              <w:t>Security Fixes + Browsertest + Hosting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9"/>
              </w:rPr>
              <w:t>App läuft auf eigener Domain</w:t>
            </w:r>
          </w:p>
        </w:tc>
      </w:tr>
      <w:tr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KW15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Stripe + Landing Page + Impressum/DSGVO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Registrierung und Zahlung möglich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sz w:val="19"/>
              </w:rPr>
              <w:t>KW16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9"/>
              </w:rPr>
              <w:t>LinkedIn-Outreach starten (10/Tag) + Netzwerk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sz w:val="19"/>
              </w:rPr>
              <w:t>Erste 3 Demo-Termine</w:t>
            </w:r>
          </w:p>
        </w:tc>
      </w:tr>
      <w:tr>
        <w:tc>
          <w:tcPr>
            <w:tcW w:type="dxa" w:w="1134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KW17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Demos halten + Feedback einarbeiten</w:t>
            </w:r>
          </w:p>
        </w:tc>
        <w:tc>
          <w:tcPr>
            <w:tcW w:type="dxa" w:w="3969"/>
            <w:shd w:fill="f0f4ff" w:val="clear"/>
          </w:tcPr>
          <w:p>
            <w:r/>
            <w:r>
              <w:rPr>
                <w:rFonts w:ascii="Calibri" w:hAnsi="Calibri"/>
                <w:sz w:val="19"/>
              </w:rPr>
              <w:t>Erste 2 Testnutzer</w:t>
            </w:r>
          </w:p>
        </w:tc>
      </w:tr>
    </w:tbl>
    <w:p/>
    <w:p/>
    <w:p/>
    <w:p>
      <w:pPr>
        <w:spacing w:before="160" w:after="160"/>
        <w:pBdr>
          <w:left w:val="single" w:sz="24" w:space="8" w:color="1e40af"/>
        </w:pBdr>
        <w:shd w:val="clear" w:fill="e8f0fe"/>
        <w:ind w:left="284" w:right="284"/>
      </w:pPr>
      <w:r>
        <w:rPr>
          <w:rFonts w:ascii="Calibri" w:hAnsi="Calibri"/>
          <w:color w:val="1A1A2E"/>
          <w:sz w:val="20"/>
        </w:rPr>
        <w:t>⭐ NORDSTERN</w:t>
        <w:br/>
        <w:br/>
        <w:t>Am 5. Mai stehst du auf dem Deutschen Steuerberaterkongress in Berlin mit einer funktionierenden App, 3–5 Testnutzern, und einer Story die du erzählen kannst.</w:t>
      </w:r>
    </w:p>
    <w:p/>
    <w:p/>
    <w:p/>
    <w:p>
      <w:pPr>
        <w:jc w:val="center"/>
      </w:pPr>
      <w:r>
        <w:rPr>
          <w:rFonts w:ascii="Calibri" w:hAnsi="Calibri"/>
          <w:i/>
          <w:color w:val="999999"/>
          <w:sz w:val="17"/>
        </w:rPr>
        <w:t>Dieser Plan basiert auf recherchierten Marktdaten (53.803 Kanzleien lt. Bundessteuerberaterkammer 2025, Preise Stand März 2026) sowie Schätzungen. Alle Zahlen durch echte Marktvalidierung überprüfen.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E40A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