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人工费率卡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对应功能架构：Cost Management / Labor Rate Card　｜　对应原型：成本管理 → 人工费率卡（TCO Configuration → Labor Rate Card）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权威依据：源文档《Labor rate card-Cost Mgmt》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成本管理 / 人工费率卡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`/cost/labor-rate-card`（列表）、`/cost/labor-rate-card/new`（创建）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《Labor rate card-Cost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产品（Vivian）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新建人工费率卡：TCO Configuration 入口、列表页、创建页字段与优先级规则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Labor Rate Card（人工费率卡）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定义不同角色/岗位每小时工时成本的费率卡，用于标准化人工成本核算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Hourly rate（小时费率）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符合条件时员工每小时的工时成本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Order（优先级）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多个费率卡匹配同一任务时，按 Order 由低到高选择优先级最高的费率卡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Condition（条件）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通过过滤条件精确控制费率卡应用范围，数据来源为 User 表所有字段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任务费率卡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任务费率卡的 Default labor rate 在员工无个人费率卡时兜底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费用条目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流程节点按工时计费时引用人工费率卡小时费率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资产总拥有成本 TCO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人工成本计入资产 TCO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企业在核算服务/项目的人工成本时，需要为不同岗位或角色（如工程师、项目经理、技术支持）定义标准工时成本，以确保内部或对外服务定价的一致性，避免人为估算导致的成本偏差。人工费率卡（Labor Rate Card）是标准化人工成本核算的基础数据，在流程节点按工时计费时被引用，直接影响费用条目金额与资产 TCO。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标准化成本核算</w:t>
      </w:r>
      <w:r>
        <w:rPr>
          <w:rFonts w:ascii="Calibri" w:hAnsi="Calibri" w:eastAsia="PingFang SC"/>
        </w:rPr>
        <w:t>：明确不同角色的工时成本，统一计价基准，提升财务数据准确性与可比性。</w:t>
      </w:r>
    </w:p>
    <w:p>
      <w:pPr>
        <w:pStyle w:val="ListBullet"/>
      </w:pPr>
      <w:r>
        <w:rPr>
          <w:rFonts w:ascii="Calibri" w:hAnsi="Calibri" w:eastAsia="PingFang SC"/>
          <w:b/>
        </w:rPr>
        <w:t>预算管理与成本控制</w:t>
      </w:r>
      <w:r>
        <w:rPr>
          <w:rFonts w:ascii="Calibri" w:hAnsi="Calibri" w:eastAsia="PingFang SC"/>
        </w:rPr>
        <w:t>：基于费率卡快速估算人力成本，实时对比实际工时识别超支。</w:t>
      </w:r>
    </w:p>
    <w:p>
      <w:pPr>
        <w:pStyle w:val="ListBullet"/>
      </w:pPr>
      <w:r>
        <w:rPr>
          <w:rFonts w:ascii="Calibri" w:hAnsi="Calibri" w:eastAsia="PingFang SC"/>
          <w:b/>
        </w:rPr>
        <w:t>资源优化配置</w:t>
      </w:r>
      <w:r>
        <w:rPr>
          <w:rFonts w:ascii="Calibri" w:hAnsi="Calibri" w:eastAsia="PingFang SC"/>
        </w:rPr>
        <w:t>：按任务复杂度匹配角色，平衡成本与效率，支持多项目优先级排序。</w:t>
      </w:r>
    </w:p>
    <w:p>
      <w:pPr>
        <w:pStyle w:val="ListBullet"/>
      </w:pPr>
      <w:r>
        <w:rPr>
          <w:rFonts w:ascii="Calibri" w:hAnsi="Calibri" w:eastAsia="PingFang SC"/>
          <w:b/>
        </w:rPr>
        <w:t>客户透明化计费</w:t>
      </w:r>
      <w:r>
        <w:rPr>
          <w:rFonts w:ascii="Calibri" w:hAnsi="Calibri" w:eastAsia="PingFang SC"/>
        </w:rPr>
        <w:t>：对外服务时展示基于费率卡的成本拆分，支持灵活定价（折扣/溢价）。</w:t>
      </w:r>
    </w:p>
    <w:p>
      <w:pPr>
        <w:pStyle w:val="ListBullet"/>
      </w:pPr>
      <w:r>
        <w:rPr>
          <w:rFonts w:ascii="Calibri" w:hAnsi="Calibri" w:eastAsia="PingFang SC"/>
          <w:b/>
        </w:rPr>
        <w:t>合规与审计支持</w:t>
      </w:r>
      <w:r>
        <w:rPr>
          <w:rFonts w:ascii="Calibri" w:hAnsi="Calibri" w:eastAsia="PingFang SC"/>
        </w:rPr>
        <w:t>：标准化流程、记录费率卡历史版本与调整依据，便于审计。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的 Rate card 模型：费率卡按条件匹配任务、以优先级（order）择优，并支持币种配置。本期人工费率卡对齐该模型，条件来源为 User 表字段。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，我希望为不同角色定义标准小时费率，以便统一核算人工成本。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成本管理员</w:t>
      </w:r>
      <w:r>
        <w:rPr>
          <w:rFonts w:ascii="Calibri" w:hAnsi="Calibri" w:eastAsia="PingFang SC"/>
        </w:rPr>
        <w:t>，我希望通过条件与优先级控制费率卡的适用范围，以便在多卡匹配时择优使用。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运维负责人</w:t>
      </w:r>
      <w:r>
        <w:rPr>
          <w:rFonts w:ascii="Calibri" w:hAnsi="Calibri" w:eastAsia="PingFang SC"/>
        </w:rPr>
        <w:t>，我希望流程按执行人的费率卡自动计费，以便真实反映任务人工成本。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设置人工费率卡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`labor_rate_card`（人工费率卡表）</w:t>
      </w:r>
    </w:p>
    <w:p>
      <w:pPr>
        <w:pStyle w:val="ListBullet"/>
      </w:pPr>
      <w:r>
        <w:rPr>
          <w:rFonts w:ascii="Calibri" w:hAnsi="Calibri" w:eastAsia="PingFang SC"/>
        </w:rPr>
        <w:t>`user`（用户表，Condition 过滤条件数据来源）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在配置中增加入口 TCO Configuration，点击一级菜单后可见 Labor Rate Card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一级菜单项 TCO Configuration → Labor Rate Card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Labor Rate Card 进入列表页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展示已创建费率卡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创建费率卡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New 进入创建 Labor rate card 页面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填写下述字段，Number 系统默认生成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Number 生成规则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费率卡唯一标识，规则为「LBRC+7 位数字」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点击新增时由系统默认生成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优先级匹配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多个费率卡匹配同一任务时，按 Order 由低到高择优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Order 值越小优先级越高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Condition 应用范围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通过过滤条件精确控制费率卡应用范围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数据来源为 User 表所有字段，设置页面与当前系统一致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勾选项，代表费率卡是否处于活跃状态；未勾选则不生效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费率卡唯一标识，生成规则「LBRC+7 位数字」，新增时系统默认生成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费率卡名称，用于描述用途或适用场景（如：高级工程师费率）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Rate 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根据业务场景（部门/角色/地区）对费率卡进行分类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Hourly 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符合条件时员工每小时工时成本（如 $75/小时）；币种可选值与当前系统相同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Order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多个费率卡匹配同一任务时，按 Order 由低到高择优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Condition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Conditions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过滤条件，基于任务属性/员工角色/地理位置等维度定义；数据来源为 User 表所有字段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Short 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对该费率卡的描述补充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True=费率卡生效；False=费率卡不生效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Number 前缀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LBRC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人工费率卡编号前缀，后接 7 位数字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列表页</w:t>
      </w:r>
    </w:p>
    <w:p>
      <w:pPr>
        <w:pStyle w:val="ListBullet"/>
      </w:pPr>
      <w:r>
        <w:rPr>
          <w:rFonts w:ascii="Calibri" w:hAnsi="Calibri" w:eastAsia="PingFang SC"/>
        </w:rPr>
        <w:t>入口：TCO Configuration → Labor Rate Card。</w:t>
      </w:r>
    </w:p>
    <w:p>
      <w:pPr>
        <w:pStyle w:val="ListBullet"/>
      </w:pPr>
      <w:r>
        <w:rPr>
          <w:rFonts w:ascii="Calibri" w:hAnsi="Calibri" w:eastAsia="PingFang SC"/>
        </w:rPr>
        <w:t>展示费率卡记录（Active、Number、Name、Rate code、Hourly rate、Order 等）。</w:t>
      </w:r>
    </w:p>
    <w:p>
      <w:pPr>
        <w:pStyle w:val="ListBullet"/>
      </w:pPr>
      <w:r>
        <w:rPr>
          <w:rFonts w:ascii="Calibri" w:hAnsi="Calibri" w:eastAsia="PingFang SC"/>
        </w:rPr>
        <w:t>操作：新建（New）、编辑、查看；Number 只读由系统生成。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创建/编辑页</w:t>
      </w:r>
    </w:p>
    <w:p>
      <w:pPr>
        <w:pStyle w:val="ListBullet"/>
      </w:pPr>
      <w:r>
        <w:rPr>
          <w:rFonts w:ascii="Calibri" w:hAnsi="Calibri" w:eastAsia="PingFang SC"/>
        </w:rPr>
        <w:t>填写 Name、Rate code、Hourly rate、Order、Condition、Short description；Active 勾选；Number 系统生成。</w:t>
      </w:r>
    </w:p>
    <w:p>
      <w:pPr>
        <w:pStyle w:val="ListBullet"/>
      </w:pPr>
      <w:r>
        <w:rPr>
          <w:rFonts w:ascii="Calibri" w:hAnsi="Calibri" w:eastAsia="PingFang SC"/>
        </w:rPr>
        <w:t>Condition 设置页面与当前系统条件构建器一致，字段来源 User 表。</w:t>
      </w:r>
    </w:p>
    <w:p>
      <w:pPr>
        <w:pStyle w:val="ListBullet"/>
      </w:pPr>
      <w:r>
        <w:rPr>
          <w:rFonts w:ascii="Calibri" w:hAnsi="Calibri" w:eastAsia="PingFang SC"/>
        </w:rPr>
        <w:t>Hourly rate 币种可选值与系统一致。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计费应用逻辑（与费用条目/TCO 联动）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工时计费引用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流程节点按工时计费时，引用执行人匹配到的人工费率卡 Hourly 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多卡择优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执行人关联的单小时费用有多条记录时，以 Order 小的为准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兜底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执行人未定义人工费率卡时，以任务费率卡中的 Default rate card 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生效条件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仅 Active=True 且 Condition 命中的费率卡参与匹配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校验与约束</w:t>
      </w:r>
    </w:p>
    <w:p>
      <w:pPr>
        <w:pStyle w:val="ListBullet"/>
      </w:pPr>
      <w:r>
        <w:rPr>
          <w:rFonts w:ascii="Calibri" w:hAnsi="Calibri" w:eastAsia="PingFang SC"/>
        </w:rPr>
        <w:t>Number 全局唯一，遵循「LBRC+7 位数字」规则，系统生成只读。</w:t>
      </w:r>
    </w:p>
    <w:p>
      <w:pPr>
        <w:pStyle w:val="ListBullet"/>
      </w:pPr>
      <w:r>
        <w:rPr>
          <w:rFonts w:ascii="Calibri" w:hAnsi="Calibri" w:eastAsia="PingFang SC"/>
        </w:rPr>
        <w:t>仅 Active=True 的费率卡生效。</w:t>
      </w:r>
    </w:p>
    <w:p>
      <w:pPr>
        <w:pStyle w:val="ListBullet"/>
      </w:pPr>
      <w:r>
        <w:rPr>
          <w:rFonts w:ascii="Calibri" w:hAnsi="Calibri" w:eastAsia="PingFang SC"/>
        </w:rPr>
        <w:t>多卡匹配以 Order 由低到高择优。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可从 TCO Configuration → Labor Rate Card 进入列表并创建费率卡，字段与字典值符合本文定义。</w:t>
      </w:r>
    </w:p>
    <w:p>
      <w:pPr>
        <w:pStyle w:val="ListBullet"/>
      </w:pPr>
      <w:r>
        <w:rPr>
          <w:rFonts w:ascii="Calibri" w:hAnsi="Calibri" w:eastAsia="PingFang SC"/>
        </w:rPr>
        <w:t>Number 按「LBRC+7 位数字」自动生成且唯一。</w:t>
      </w:r>
    </w:p>
    <w:p>
      <w:pPr>
        <w:pStyle w:val="ListBullet"/>
      </w:pPr>
      <w:r>
        <w:rPr>
          <w:rFonts w:ascii="Calibri" w:hAnsi="Calibri" w:eastAsia="PingFang SC"/>
        </w:rPr>
        <w:t>Condition 条件来源 User 表；Hourly rate 币种与系统一致。</w:t>
      </w:r>
    </w:p>
    <w:p>
      <w:pPr>
        <w:pStyle w:val="ListBullet"/>
      </w:pPr>
      <w:r>
        <w:rPr>
          <w:rFonts w:ascii="Calibri" w:hAnsi="Calibri" w:eastAsia="PingFang SC"/>
        </w:rPr>
        <w:t>流程按工时计费时正确引用费率卡，多卡按 Order 择优，未匹配走任务费率卡兜底。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