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任务费率卡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对应功能架构：Cost Management / Task Rate Card　｜　对应原型：成本管理 → 任务费率卡（TCO Configuration → Task Rate Card）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权威依据：源文档《Task rate card-Cost Mgmt》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任务费率卡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`/cost/task-rate-card`（列表）、`/cost/task-rate-card/new`（创建）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《Task rate card-Cost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新建任务费率卡：TCO Configuration 入口、按工时/固定费率两种计费、Default labor rate 兜底、优先级规则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Task Rate Card（任务费率卡）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为不同任务预定义费率（固定费率或基于工时的动态费率），明确每项任务的成本结构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Use time worked（按实际工时）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勾选后按任务实际工时计算成本（关联员工人工费率卡）；未勾选按固定费率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Task rate（任务固定费率）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任务的固定成本（如「服务器巡检」每次 $300）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Default labor rate（默认小时费率）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员工未分配个人费率卡时使用的默认小时费率（兜底），仅勾选 Use time worked 时显示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Order（优先级）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由低到高择优；创建时不同记录 Order 不相同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人工费率卡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 Use time worked 时关联员工人工费率卡计算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任务费率卡计算结果生成流程节点费用条目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资产总拥有成本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任务成本计入资产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企业在处理运维/服务任务时，需要对每项任务的成本进行透明化与精准核算。通过任务费率卡（Task Rate Card）为不同任务预定义费率（固定费率或基于工时的动态费率），可清晰追踪每项任务的成本来源（人力、资源或工具费用），减少因未明确定价导致的意外支出。例如 IT 部门处理「服务器故障修复」任务时，系统可自动按工程师工时费率（如 $80/小时）或固定费率（如 $500/次）核算成本。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成本透明化与精准核算</w:t>
      </w:r>
      <w:r>
        <w:rPr>
          <w:rFonts w:ascii="Calibri" w:hAnsi="Calibri" w:eastAsia="PingFang SC"/>
        </w:rPr>
        <w:t>：预定义任务费率，明确任务成本结构，提升财务可视性。</w:t>
      </w:r>
    </w:p>
    <w:p>
      <w:pPr>
        <w:pStyle w:val="ListBullet"/>
      </w:pPr>
      <w:r>
        <w:rPr>
          <w:rFonts w:ascii="Calibri" w:hAnsi="Calibri" w:eastAsia="PingFang SC"/>
          <w:b/>
        </w:rPr>
        <w:t>避免隐性成本</w:t>
      </w:r>
      <w:r>
        <w:rPr>
          <w:rFonts w:ascii="Calibri" w:hAnsi="Calibri" w:eastAsia="PingFang SC"/>
        </w:rPr>
        <w:t>：减少因未明确定价导致的意外支出（如超时服务、资源浪费）。</w:t>
      </w:r>
    </w:p>
    <w:p>
      <w:pPr>
        <w:pStyle w:val="ListBullet"/>
      </w:pPr>
      <w:r>
        <w:rPr>
          <w:rFonts w:ascii="Calibri" w:hAnsi="Calibri" w:eastAsia="PingFang SC"/>
          <w:b/>
        </w:rPr>
        <w:t>两种计费模式</w:t>
      </w:r>
      <w:r>
        <w:rPr>
          <w:rFonts w:ascii="Calibri" w:hAnsi="Calibri" w:eastAsia="PingFang SC"/>
        </w:rPr>
        <w:t>：支持按实际工时（关联人工费率卡）与按固定费率两种方式。</w:t>
      </w:r>
    </w:p>
    <w:p>
      <w:pPr>
        <w:pStyle w:val="ListBullet"/>
      </w:pPr>
      <w:r>
        <w:rPr>
          <w:rFonts w:ascii="Calibri" w:hAnsi="Calibri" w:eastAsia="PingFang SC"/>
          <w:b/>
        </w:rPr>
        <w:t>兜底机制</w:t>
      </w:r>
      <w:r>
        <w:rPr>
          <w:rFonts w:ascii="Calibri" w:hAnsi="Calibri" w:eastAsia="PingFang SC"/>
        </w:rPr>
        <w:t>：员工无个人费率卡时使用 Default labor rate 保障计费不中断。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的任务/费率卡模型：按任务与节点匹配费率，支持固定费率与工时费率、优先级择优与币种配置。本期任务费率卡对齐该模型，节点来源为 DOSM 流程节点。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成本管理员</w:t>
      </w:r>
      <w:r>
        <w:rPr>
          <w:rFonts w:ascii="Calibri" w:hAnsi="Calibri" w:eastAsia="PingFang SC"/>
        </w:rPr>
        <w:t>，我希望为每类任务/节点配置固定或工时费率，以便自动核算任务成本。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运维负责人</w:t>
      </w:r>
      <w:r>
        <w:rPr>
          <w:rFonts w:ascii="Calibri" w:hAnsi="Calibri" w:eastAsia="PingFang SC"/>
        </w:rPr>
        <w:t>，我希望员工无个人费率卡时有默认小时费率兜底，以便计费不中断。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，我希望多卡匹配时按优先级择优，以便计费口径唯一可控。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设置任务费率卡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`task_rate_card`（任务费率卡表）</w:t>
      </w:r>
    </w:p>
    <w:p>
      <w:pPr>
        <w:pStyle w:val="ListBullet"/>
      </w:pPr>
      <w:r>
        <w:rPr>
          <w:rFonts w:ascii="Calibri" w:hAnsi="Calibri" w:eastAsia="PingFang SC"/>
        </w:rPr>
        <w:t>`labor_rate_card`（人工费率卡表，Use time worked 时关联）</w:t>
      </w:r>
    </w:p>
    <w:p>
      <w:pPr>
        <w:pStyle w:val="ListBullet"/>
      </w:pPr>
      <w:r>
        <w:rPr>
          <w:rFonts w:ascii="Calibri" w:hAnsi="Calibri" w:eastAsia="PingFang SC"/>
        </w:rPr>
        <w:t>DOSM 流程/节点接口（Taskname、Nodename 下拉来源）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在配置中增加入口 TCO Configuration，点击一级菜单后可见 Task Rate Card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一级菜单项 TCO Configuration → Task Rate 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Task Rate Card 进入列表页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展示已创建任务费率卡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创建费率卡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New 进入创建 Task rate card 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填写下述字段，Number 系统默认生成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Number 生成规则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费率卡唯一标识，规则为「TKRC+7 位数字」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点击新增时由系统默认生成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计费模式联动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 Use time worked 显示 Default labor rate；未勾选显示 Task rate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两字段互斥显示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节点下拉来源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Taskname/Nodename 通过 DOSM 接口获取流程名/节点名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Nodename 下拉仅含人工节点，不含自动化节点（DOSM 可区分）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优先级匹配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由低到高择优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创建时不同记录 Order 不相同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Condition 应用范围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通过过滤条件精确控制费率卡应用范围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数据来源为所选流程节点中的所有表单属性字段，设置页面与当前系统一致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勾选项，代表费率卡是否处于活跃状态；未勾选则不生效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费率卡唯一标识，生成规则「TKRC+7 位数字」，新增时系统默认生成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费率卡名称，用于描述用途或适用场景（如：高级工程师费率）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 DOSM 接口获取的流程名称，下拉可选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Nodename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 DOSM 接口获取的流程节点名称，关联流程名称的节点名；下拉仅含人工节点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 time worked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勾选=按实际工时计算成本（关联员工人工费率卡）；未勾选=按固定费率 Task rate 计算，与工时无关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Task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任务固定成本，支持多货币配置（如「服务器巡检」每次 $300）；币种与系统一致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Default labor 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员工未分配个人费率卡时使用的默认小时费率（兜底），仅勾选 Use time worked 时显示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Order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多个费率卡匹配同一任务时，按 Order 由低到高择优；创建时不同记录 Order 不相同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Conditions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过滤条件，基于任务属性/员工角色/地理位置等维度定义；数据来源为所选流程节点中的所有表单属性字段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对该费率卡的描述补充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 / 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True=费率卡生效；False=费率卡不生效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 time worked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按实际工时计算成本，显示 Default labor rate，关联员工人工费率卡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 time worked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按固定费率 Task rate 计算，与工时无关，显示 Task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Nodename 范围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仅人工节点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节点下拉不包含自动化节点（DOSM 可区分人工/自动化节点）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Number 前缀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TKRC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任务费率卡编号前缀，后接 7 位数字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</w:t>
      </w:r>
    </w:p>
    <w:p>
      <w:pPr>
        <w:pStyle w:val="ListBullet"/>
      </w:pPr>
      <w:r>
        <w:rPr>
          <w:rFonts w:ascii="Calibri" w:hAnsi="Calibri" w:eastAsia="PingFang SC"/>
        </w:rPr>
        <w:t>入口：TCO Configuration → Task Rate Card。</w:t>
      </w:r>
    </w:p>
    <w:p>
      <w:pPr>
        <w:pStyle w:val="ListBullet"/>
      </w:pPr>
      <w:r>
        <w:rPr>
          <w:rFonts w:ascii="Calibri" w:hAnsi="Calibri" w:eastAsia="PingFang SC"/>
        </w:rPr>
        <w:t>展示费率卡记录（Active、Number、Name、Taskname、Nodename、Use time worked、Order 等）。</w:t>
      </w:r>
    </w:p>
    <w:p>
      <w:pPr>
        <w:pStyle w:val="ListBullet"/>
      </w:pPr>
      <w:r>
        <w:rPr>
          <w:rFonts w:ascii="Calibri" w:hAnsi="Calibri" w:eastAsia="PingFang SC"/>
        </w:rPr>
        <w:t>操作：新建（New）、编辑、查看；Number 只读由系统生成。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创建/编辑页</w:t>
      </w:r>
    </w:p>
    <w:p>
      <w:pPr>
        <w:pStyle w:val="ListBullet"/>
      </w:pPr>
      <w:r>
        <w:rPr>
          <w:rFonts w:ascii="Calibri" w:hAnsi="Calibri" w:eastAsia="PingFang SC"/>
        </w:rPr>
        <w:t>选择 Taskname、Nodename（DOSM 提供，Nodename 仅人工节点）。</w:t>
      </w:r>
    </w:p>
    <w:p>
      <w:pPr>
        <w:pStyle w:val="ListBullet"/>
      </w:pPr>
      <w:r>
        <w:rPr>
          <w:rFonts w:ascii="Calibri" w:hAnsi="Calibri" w:eastAsia="PingFang SC"/>
        </w:rPr>
        <w:t>勾选 Use time worked：显示 Default labor rate（工时计费兜底）；取消勾选：显示 Task rate（固定费率）。</w:t>
      </w:r>
    </w:p>
    <w:p>
      <w:pPr>
        <w:pStyle w:val="ListBullet"/>
      </w:pPr>
      <w:r>
        <w:rPr>
          <w:rFonts w:ascii="Calibri" w:hAnsi="Calibri" w:eastAsia="PingFang SC"/>
        </w:rPr>
        <w:t>填写 Order（不同记录不相同）、Condition（来源所选节点表单属性字段）、Short description。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计费应用逻辑（与费用条目/TCO 联动）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工时计费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勾选 Use time worked：按员工工时 × 人工费率卡 Hourly rate 计算；员工无个人费率卡时用 Default labor rate 兜底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固定费率计费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未勾选 Use time worked：按 Task rate 固定值计算，与工时无关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固定费用多卡择优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关联到的固定节点费用有多条时，以任务定义中 Order 小的为准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生效条件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仅 Active=True 且 Condition 命中、Taskname/Nodename 匹配的费率卡参与计算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校验与约束</w:t>
      </w:r>
    </w:p>
    <w:p>
      <w:pPr>
        <w:pStyle w:val="ListBullet"/>
      </w:pPr>
      <w:r>
        <w:rPr>
          <w:rFonts w:ascii="Calibri" w:hAnsi="Calibri" w:eastAsia="PingFang SC"/>
        </w:rPr>
        <w:t>Number 全局唯一，遵循「TKRC+7 位数字」规则，系统生成只读。</w:t>
      </w:r>
    </w:p>
    <w:p>
      <w:pPr>
        <w:pStyle w:val="ListBullet"/>
      </w:pPr>
      <w:r>
        <w:rPr>
          <w:rFonts w:ascii="Calibri" w:hAnsi="Calibri" w:eastAsia="PingFang SC"/>
        </w:rPr>
        <w:t>同一批次不同费率卡的 Order 值不得相同。</w:t>
      </w:r>
    </w:p>
    <w:p>
      <w:pPr>
        <w:pStyle w:val="ListBullet"/>
      </w:pPr>
      <w:r>
        <w:rPr>
          <w:rFonts w:ascii="Calibri" w:hAnsi="Calibri" w:eastAsia="PingFang SC"/>
        </w:rPr>
        <w:t>Nodename 仅允许人工节点。</w:t>
      </w:r>
    </w:p>
    <w:p>
      <w:pPr>
        <w:pStyle w:val="ListBullet"/>
      </w:pPr>
      <w:r>
        <w:rPr>
          <w:rFonts w:ascii="Calibri" w:hAnsi="Calibri" w:eastAsia="PingFang SC"/>
        </w:rPr>
        <w:t>Use time worked 与固定费率互斥：勾选显示 Default labor rate，未勾选显示 Task rate。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可从 TCO Configuration → Task Rate Card 进入列表并创建费率卡，字段与字典值符合本文定义。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Number 按「TKRC+7 位数字」自动生成且唯一；不同记录 Order 不相同。</w:t>
      </w:r>
    </w:p>
    <w:p>
      <w:pPr>
        <w:pStyle w:val="ListBullet"/>
      </w:pPr>
      <w:r>
        <w:rPr>
          <w:rFonts w:ascii="Calibri" w:hAnsi="Calibri" w:eastAsia="PingFang SC"/>
        </w:rPr>
        <w:t>Taskname/Nodename 来源 DOSM，Nodename 仅人工节点；勾选 Use time worked 显示 Default labor rate，否则显示 Task rate。</w:t>
      </w:r>
    </w:p>
    <w:p>
      <w:pPr>
        <w:pStyle w:val="ListBullet"/>
      </w:pPr>
      <w:r>
        <w:rPr>
          <w:rFonts w:ascii="Calibri" w:hAnsi="Calibri" w:eastAsia="PingFang SC"/>
        </w:rPr>
        <w:t>计费时按工时/固定费率正确核算，员工无个人费率卡走 Default labor rate 兜底，多卡按 Order 择优。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