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PingFang SC"/>
        </w:rPr>
      </w:r>
      <w:r>
        <w:rPr>
          <w:rFonts w:ascii="Calibri" w:hAnsi="Calibri" w:eastAsia="PingFang SC"/>
        </w:rPr>
        <w:t>资产总拥有成本 TCO PRD</w:t>
      </w:r>
    </w:p>
    <w:p>
      <w:pPr>
        <w:ind w:left="360"/>
      </w:pPr>
      <w:r>
        <w:rPr>
          <w:rFonts w:ascii="Calibri" w:hAnsi="Calibri" w:eastAsia="PingFang SC"/>
          <w:color w:val="8C8C8C"/>
        </w:rPr>
        <w:t xml:space="preserve">▍ </w:t>
      </w:r>
      <w:r>
        <w:rPr>
          <w:rFonts w:ascii="Calibri" w:hAnsi="Calibri" w:eastAsia="PingFang SC"/>
        </w:rPr>
        <w:t>对应功能架构：Cost Management / Asset TCO　｜　对应原型：成本管理 → 固定资产 / 资产台账（Financials 模块）+ 资产洞察（TCO 看板）</w:t>
      </w:r>
    </w:p>
    <w:p>
      <w:pPr>
        <w:ind w:left="360"/>
      </w:pPr>
      <w:r>
        <w:rPr>
          <w:rFonts w:ascii="Calibri" w:hAnsi="Calibri" w:eastAsia="PingFang SC"/>
          <w:color w:val="8C8C8C"/>
        </w:rPr>
        <w:t xml:space="preserve">▍ </w:t>
      </w:r>
      <w:r>
        <w:rPr>
          <w:rFonts w:ascii="Calibri" w:hAnsi="Calibri" w:eastAsia="PingFang SC"/>
        </w:rPr>
        <w:t>文档性质：产品需求说明书（PRD）　｜　权威依据：源文档《TCO-Cost Mgmt》《Asset Total Cost of Onwership 资产总拥有成本》 + 最新系统截图 + ITAM 操作手册 + 系统原型</w:t>
      </w:r>
    </w:p>
    <w:p>
      <w:pPr>
        <w:pStyle w:val="Heading2"/>
      </w:pPr>
      <w:r>
        <w:rPr>
          <w:rFonts w:ascii="Calibri" w:hAnsi="Calibri" w:eastAsia="PingFang SC"/>
        </w:rPr>
      </w:r>
      <w:r>
        <w:rPr>
          <w:rFonts w:ascii="Calibri" w:hAnsi="Calibri" w:eastAsia="PingFang SC"/>
        </w:rPr>
        <w:t>1. 前言</w:t>
      </w:r>
    </w:p>
    <w:p>
      <w:pPr>
        <w:pStyle w:val="Heading3"/>
      </w:pPr>
      <w:r>
        <w:rPr>
          <w:rFonts w:ascii="Calibri" w:hAnsi="Calibri" w:eastAsia="PingFang SC"/>
        </w:rPr>
      </w:r>
      <w:r>
        <w:rPr>
          <w:rFonts w:ascii="Calibri" w:hAnsi="Calibri" w:eastAsia="PingFang SC"/>
        </w:rPr>
        <w:t>1.1 需求基本信息</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项目</w:t>
            </w:r>
          </w:p>
        </w:tc>
        <w:tc>
          <w:tcPr>
            <w:tcW w:type="dxa" w:w="4320"/>
          </w:tcPr>
          <w:p>
            <w:r>
              <w:rPr>
                <w:b/>
              </w:rPr>
            </w:r>
            <w:r>
              <w:rPr>
                <w:rFonts w:ascii="Calibri" w:hAnsi="Calibri" w:eastAsia="PingFang SC"/>
                <w:b/>
              </w:rPr>
              <w:t>内容</w:t>
            </w:r>
          </w:p>
        </w:tc>
      </w:tr>
      <w:tr>
        <w:tc>
          <w:tcPr>
            <w:tcW w:type="dxa" w:w="4320"/>
          </w:tcPr>
          <w:p>
            <w:r/>
            <w:r>
              <w:rPr>
                <w:rFonts w:ascii="Calibri" w:hAnsi="Calibri" w:eastAsia="PingFang SC"/>
              </w:rPr>
              <w:t>交付版本</w:t>
            </w:r>
          </w:p>
        </w:tc>
        <w:tc>
          <w:tcPr>
            <w:tcW w:type="dxa" w:w="4320"/>
          </w:tcPr>
          <w:p>
            <w:r/>
            <w:r>
              <w:rPr>
                <w:rFonts w:ascii="Calibri" w:hAnsi="Calibri" w:eastAsia="PingFang SC"/>
              </w:rPr>
              <w:t>标品 Demo 版本</w:t>
            </w:r>
          </w:p>
        </w:tc>
      </w:tr>
      <w:tr>
        <w:tc>
          <w:tcPr>
            <w:tcW w:type="dxa" w:w="4320"/>
          </w:tcPr>
          <w:p>
            <w:r/>
            <w:r>
              <w:rPr>
                <w:rFonts w:ascii="Calibri" w:hAnsi="Calibri" w:eastAsia="PingFang SC"/>
              </w:rPr>
              <w:t>模块归属</w:t>
            </w:r>
          </w:p>
        </w:tc>
        <w:tc>
          <w:tcPr>
            <w:tcW w:type="dxa" w:w="4320"/>
          </w:tcPr>
          <w:p>
            <w:r/>
            <w:r>
              <w:rPr>
                <w:rFonts w:ascii="Calibri" w:hAnsi="Calibri" w:eastAsia="PingFang SC"/>
              </w:rPr>
              <w:t>成本管理 / 资产总拥有成本（TCO）</w:t>
            </w:r>
          </w:p>
        </w:tc>
      </w:tr>
      <w:tr>
        <w:tc>
          <w:tcPr>
            <w:tcW w:type="dxa" w:w="4320"/>
          </w:tcPr>
          <w:p>
            <w:r/>
            <w:r>
              <w:rPr>
                <w:rFonts w:ascii="Calibri" w:hAnsi="Calibri" w:eastAsia="PingFang SC"/>
              </w:rPr>
              <w:t>优先级</w:t>
            </w:r>
          </w:p>
        </w:tc>
        <w:tc>
          <w:tcPr>
            <w:tcW w:type="dxa" w:w="4320"/>
          </w:tcPr>
          <w:p>
            <w:r/>
            <w:r>
              <w:rPr>
                <w:rFonts w:ascii="Calibri" w:hAnsi="Calibri" w:eastAsia="PingFang SC"/>
              </w:rPr>
              <w:t>P0</w:t>
            </w:r>
          </w:p>
        </w:tc>
      </w:tr>
      <w:tr>
        <w:tc>
          <w:tcPr>
            <w:tcW w:type="dxa" w:w="4320"/>
          </w:tcPr>
          <w:p>
            <w:r/>
            <w:r>
              <w:rPr>
                <w:rFonts w:ascii="Calibri" w:hAnsi="Calibri" w:eastAsia="PingFang SC"/>
              </w:rPr>
              <w:t>关联原型页面</w:t>
            </w:r>
          </w:p>
        </w:tc>
        <w:tc>
          <w:tcPr>
            <w:tcW w:type="dxa" w:w="4320"/>
          </w:tcPr>
          <w:p>
            <w:r/>
            <w:r>
              <w:rPr>
                <w:rFonts w:ascii="Calibri" w:hAnsi="Calibri" w:eastAsia="PingFang SC"/>
              </w:rPr>
              <w:t>`/cost/asset-tco`（TCO 看板）、`/asset/ledger/:id`（资产详情-Financials）、`/model/hardware/:id`（硬件规格）</w:t>
            </w:r>
          </w:p>
        </w:tc>
      </w:tr>
      <w:tr>
        <w:tc>
          <w:tcPr>
            <w:tcW w:type="dxa" w:w="4320"/>
          </w:tcPr>
          <w:p>
            <w:r/>
            <w:r>
              <w:rPr>
                <w:rFonts w:ascii="Calibri" w:hAnsi="Calibri" w:eastAsia="PingFang SC"/>
              </w:rPr>
              <w:t>关联源文档</w:t>
            </w:r>
          </w:p>
        </w:tc>
        <w:tc>
          <w:tcPr>
            <w:tcW w:type="dxa" w:w="4320"/>
          </w:tcPr>
          <w:p>
            <w:r/>
            <w:r>
              <w:rPr>
                <w:rFonts w:ascii="Calibri" w:hAnsi="Calibri" w:eastAsia="PingFang SC"/>
              </w:rPr>
              <w:t>《TCO-Cost Mgmt》《Asset Total Cost of Onwership 资产总拥有成本》《费用条目属性扩展》《人工费率卡》《任务费率卡》</w:t>
            </w:r>
          </w:p>
        </w:tc>
      </w:tr>
    </w:tbl>
    <w:p/>
    <w:p>
      <w:pPr>
        <w:pStyle w:val="Heading3"/>
      </w:pPr>
      <w:r>
        <w:rPr>
          <w:rFonts w:ascii="Calibri" w:hAnsi="Calibri" w:eastAsia="PingFang SC"/>
        </w:rPr>
      </w:r>
      <w:r>
        <w:rPr>
          <w:rFonts w:ascii="Calibri" w:hAnsi="Calibri" w:eastAsia="PingFang SC"/>
        </w:rPr>
        <w:t>1.2 文档变更记录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时间</w:t>
            </w:r>
          </w:p>
        </w:tc>
        <w:tc>
          <w:tcPr>
            <w:tcW w:type="dxa" w:w="2880"/>
          </w:tcPr>
          <w:p>
            <w:r>
              <w:rPr>
                <w:b/>
              </w:rPr>
            </w:r>
            <w:r>
              <w:rPr>
                <w:rFonts w:ascii="Calibri" w:hAnsi="Calibri" w:eastAsia="PingFang SC"/>
                <w:b/>
              </w:rPr>
              <w:t>变更人</w:t>
            </w:r>
          </w:p>
        </w:tc>
        <w:tc>
          <w:tcPr>
            <w:tcW w:type="dxa" w:w="2880"/>
          </w:tcPr>
          <w:p>
            <w:r>
              <w:rPr>
                <w:b/>
              </w:rPr>
            </w:r>
            <w:r>
              <w:rPr>
                <w:rFonts w:ascii="Calibri" w:hAnsi="Calibri" w:eastAsia="PingFang SC"/>
                <w:b/>
              </w:rPr>
              <w:t>变更内容</w:t>
            </w:r>
          </w:p>
        </w:tc>
      </w:tr>
      <w:tr>
        <w:tc>
          <w:tcPr>
            <w:tcW w:type="dxa" w:w="2880"/>
          </w:tcPr>
          <w:p>
            <w:r/>
            <w:r>
              <w:rPr>
                <w:rFonts w:ascii="Calibri" w:hAnsi="Calibri" w:eastAsia="PingFang SC"/>
              </w:rPr>
              <w:t>初版</w:t>
            </w:r>
          </w:p>
        </w:tc>
        <w:tc>
          <w:tcPr>
            <w:tcW w:type="dxa" w:w="2880"/>
          </w:tcPr>
          <w:p>
            <w:r/>
            <w:r>
              <w:rPr>
                <w:rFonts w:ascii="Calibri" w:hAnsi="Calibri" w:eastAsia="PingFang SC"/>
              </w:rPr>
              <w:t>产品（Vivian）</w:t>
            </w:r>
          </w:p>
        </w:tc>
        <w:tc>
          <w:tcPr>
            <w:tcW w:type="dxa" w:w="2880"/>
          </w:tcPr>
          <w:p>
            <w:r/>
            <w:r>
              <w:rPr>
                <w:rFonts w:ascii="Calibri" w:hAnsi="Calibri" w:eastAsia="PingFang SC"/>
              </w:rPr>
              <w:t>新建 TCO 需求：Model 设置基准成本/阈值、资产展示 TCO 字段、Asset TCO 计算规则、流程节点费用自动生成</w:t>
            </w:r>
          </w:p>
        </w:tc>
      </w:tr>
      <w:tr>
        <w:tc>
          <w:tcPr>
            <w:tcW w:type="dxa" w:w="2880"/>
          </w:tcPr>
          <w:p>
            <w:r/>
            <w:r>
              <w:rPr>
                <w:rFonts w:ascii="Calibri" w:hAnsi="Calibri" w:eastAsia="PingFang SC"/>
              </w:rPr>
              <w:t>迭代</w:t>
            </w:r>
          </w:p>
        </w:tc>
        <w:tc>
          <w:tcPr>
            <w:tcW w:type="dxa" w:w="2880"/>
          </w:tcPr>
          <w:p>
            <w:r/>
            <w:r>
              <w:rPr>
                <w:rFonts w:ascii="Calibri" w:hAnsi="Calibri" w:eastAsia="PingFang SC"/>
              </w:rPr>
              <w:t>产品</w:t>
            </w:r>
          </w:p>
        </w:tc>
        <w:tc>
          <w:tcPr>
            <w:tcW w:type="dxa" w:w="2880"/>
          </w:tcPr>
          <w:p>
            <w:r/>
            <w:r>
              <w:rPr>
                <w:rFonts w:ascii="Calibri" w:hAnsi="Calibri" w:eastAsia="PingFang SC"/>
              </w:rPr>
              <w:t>补充父子资产 TCO 汇总、One-time/Recurring 分类、TCO 看板报表清单（参考 ServiceNow HAM）</w:t>
            </w:r>
          </w:p>
        </w:tc>
      </w:tr>
    </w:tbl>
    <w:p/>
    <w:p>
      <w:pPr>
        <w:pStyle w:val="Heading3"/>
      </w:pPr>
      <w:r>
        <w:rPr>
          <w:rFonts w:ascii="Calibri" w:hAnsi="Calibri" w:eastAsia="PingFang SC"/>
        </w:rPr>
      </w:r>
      <w:r>
        <w:rPr>
          <w:rFonts w:ascii="Calibri" w:hAnsi="Calibri" w:eastAsia="PingFang SC"/>
        </w:rPr>
        <w:t>1.3 名词解释</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术语</w:t>
            </w:r>
          </w:p>
        </w:tc>
        <w:tc>
          <w:tcPr>
            <w:tcW w:type="dxa" w:w="4320"/>
          </w:tcPr>
          <w:p>
            <w:r>
              <w:rPr>
                <w:b/>
              </w:rPr>
            </w:r>
            <w:r>
              <w:rPr>
                <w:rFonts w:ascii="Calibri" w:hAnsi="Calibri" w:eastAsia="PingFang SC"/>
                <w:b/>
              </w:rPr>
              <w:t>含义</w:t>
            </w:r>
          </w:p>
        </w:tc>
      </w:tr>
      <w:tr>
        <w:tc>
          <w:tcPr>
            <w:tcW w:type="dxa" w:w="4320"/>
          </w:tcPr>
          <w:p>
            <w:r/>
            <w:r>
              <w:rPr>
                <w:rFonts w:ascii="Calibri" w:hAnsi="Calibri" w:eastAsia="PingFang SC"/>
              </w:rPr>
              <w:t>TCO（Total Cost of Ownership，总拥有成本）</w:t>
            </w:r>
          </w:p>
        </w:tc>
        <w:tc>
          <w:tcPr>
            <w:tcW w:type="dxa" w:w="4320"/>
          </w:tcPr>
          <w:p>
            <w:r/>
            <w:r>
              <w:rPr>
                <w:rFonts w:ascii="Calibri" w:hAnsi="Calibri" w:eastAsia="PingFang SC"/>
              </w:rPr>
              <w:t>企业拥有并使用某项资产在其全生命周期内的所有直接与间接成本总和，覆盖采购、部署、运营、维护、退役全流程，兼含显性与隐性成本</w:t>
            </w:r>
          </w:p>
        </w:tc>
      </w:tr>
      <w:tr>
        <w:tc>
          <w:tcPr>
            <w:tcW w:type="dxa" w:w="4320"/>
          </w:tcPr>
          <w:p>
            <w:r/>
            <w:r>
              <w:rPr>
                <w:rFonts w:ascii="Calibri" w:hAnsi="Calibri" w:eastAsia="PingFang SC"/>
              </w:rPr>
              <w:t>TCO Benchmark Cost（基准成本）</w:t>
            </w:r>
          </w:p>
        </w:tc>
        <w:tc>
          <w:tcPr>
            <w:tcW w:type="dxa" w:w="4320"/>
          </w:tcPr>
          <w:p>
            <w:r/>
            <w:r>
              <w:rPr>
                <w:rFonts w:ascii="Calibri" w:hAnsi="Calibri" w:eastAsia="PingFang SC"/>
              </w:rPr>
              <w:t>行业同类设备的合理成本区间值（含隐性成本），在硬件 Model 上设置</w:t>
            </w:r>
          </w:p>
        </w:tc>
      </w:tr>
      <w:tr>
        <w:tc>
          <w:tcPr>
            <w:tcW w:type="dxa" w:w="4320"/>
          </w:tcPr>
          <w:p>
            <w:r/>
            <w:r>
              <w:rPr>
                <w:rFonts w:ascii="Calibri" w:hAnsi="Calibri" w:eastAsia="PingFang SC"/>
              </w:rPr>
              <w:t>TCO Benchmark Threshold（基准阈值）</w:t>
            </w:r>
          </w:p>
        </w:tc>
        <w:tc>
          <w:tcPr>
            <w:tcW w:type="dxa" w:w="4320"/>
          </w:tcPr>
          <w:p>
            <w:r/>
            <w:r>
              <w:rPr>
                <w:rFonts w:ascii="Calibri" w:hAnsi="Calibri" w:eastAsia="PingFang SC"/>
              </w:rPr>
              <w:t>企业设定的 TCO 警戒线，超过需触发成本优化流程，通常为 benchmark cost 的 75%</w:t>
            </w:r>
          </w:p>
        </w:tc>
      </w:tr>
      <w:tr>
        <w:tc>
          <w:tcPr>
            <w:tcW w:type="dxa" w:w="4320"/>
          </w:tcPr>
          <w:p>
            <w:r/>
            <w:r>
              <w:rPr>
                <w:rFonts w:ascii="Calibri" w:hAnsi="Calibri" w:eastAsia="PingFang SC"/>
              </w:rPr>
              <w:t>Asset TCO</w:t>
            </w:r>
          </w:p>
        </w:tc>
        <w:tc>
          <w:tcPr>
            <w:tcW w:type="dxa" w:w="4320"/>
          </w:tcPr>
          <w:p>
            <w:r/>
            <w:r>
              <w:rPr>
                <w:rFonts w:ascii="Calibri" w:hAnsi="Calibri" w:eastAsia="PingFang SC"/>
              </w:rPr>
              <w:t>系统计算得到的单个资产的实际总拥有成本</w:t>
            </w:r>
          </w:p>
        </w:tc>
      </w:tr>
      <w:tr>
        <w:tc>
          <w:tcPr>
            <w:tcW w:type="dxa" w:w="4320"/>
          </w:tcPr>
          <w:p>
            <w:r/>
            <w:r>
              <w:rPr>
                <w:rFonts w:ascii="Calibri" w:hAnsi="Calibri" w:eastAsia="PingFang SC"/>
              </w:rPr>
              <w:t>Expense line（费用条目）</w:t>
            </w:r>
          </w:p>
        </w:tc>
        <w:tc>
          <w:tcPr>
            <w:tcW w:type="dxa" w:w="4320"/>
          </w:tcPr>
          <w:p>
            <w:r/>
            <w:r>
              <w:rPr>
                <w:rFonts w:ascii="Calibri" w:hAnsi="Calibri" w:eastAsia="PingFang SC"/>
              </w:rPr>
              <w:t>挂载在资产下的费用记录，是 Asset TCO 的计算来源，详见《费用条目》PRD</w:t>
            </w:r>
          </w:p>
        </w:tc>
      </w:tr>
      <w:tr>
        <w:tc>
          <w:tcPr>
            <w:tcW w:type="dxa" w:w="4320"/>
          </w:tcPr>
          <w:p>
            <w:r/>
            <w:r>
              <w:rPr>
                <w:rFonts w:ascii="Calibri" w:hAnsi="Calibri" w:eastAsia="PingFang SC"/>
              </w:rPr>
              <w:t>One-time / Recurring</w:t>
            </w:r>
          </w:p>
        </w:tc>
        <w:tc>
          <w:tcPr>
            <w:tcW w:type="dxa" w:w="4320"/>
          </w:tcPr>
          <w:p>
            <w:r/>
            <w:r>
              <w:rPr>
                <w:rFonts w:ascii="Calibri" w:hAnsi="Calibri" w:eastAsia="PingFang SC"/>
              </w:rPr>
              <w:t>一次性费用 / 周期性费用，用于 TCO 柱状图颜色区分</w:t>
            </w:r>
          </w:p>
        </w:tc>
      </w:tr>
      <w:tr>
        <w:tc>
          <w:tcPr>
            <w:tcW w:type="dxa" w:w="4320"/>
          </w:tcPr>
          <w:p>
            <w:r/>
            <w:r>
              <w:rPr>
                <w:rFonts w:ascii="Calibri" w:hAnsi="Calibri" w:eastAsia="PingFang SC"/>
              </w:rPr>
              <w:t>DOSM</w:t>
            </w:r>
          </w:p>
        </w:tc>
        <w:tc>
          <w:tcPr>
            <w:tcW w:type="dxa" w:w="4320"/>
          </w:tcPr>
          <w:p>
            <w:r/>
            <w:r>
              <w:rPr>
                <w:rFonts w:ascii="Calibri" w:hAnsi="Calibri" w:eastAsia="PingFang SC"/>
              </w:rPr>
              <w:t>运维流程系统，提供流程任务/节点、执行时长与工单 ID，是流程节点费用自动生成的数据来源</w:t>
            </w:r>
          </w:p>
        </w:tc>
      </w:tr>
    </w:tbl>
    <w:p/>
    <w:p>
      <w:pPr>
        <w:pStyle w:val="Heading3"/>
      </w:pPr>
      <w:r>
        <w:rPr>
          <w:rFonts w:ascii="Calibri" w:hAnsi="Calibri" w:eastAsia="PingFang SC"/>
        </w:rPr>
      </w:r>
      <w:r>
        <w:rPr>
          <w:rFonts w:ascii="Calibri" w:hAnsi="Calibri" w:eastAsia="PingFang SC"/>
        </w:rPr>
        <w:t>1.4 关联需求清单</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序号</w:t>
            </w:r>
          </w:p>
        </w:tc>
        <w:tc>
          <w:tcPr>
            <w:tcW w:type="dxa" w:w="2160"/>
          </w:tcPr>
          <w:p>
            <w:r>
              <w:rPr>
                <w:b/>
              </w:rPr>
            </w:r>
            <w:r>
              <w:rPr>
                <w:rFonts w:ascii="Calibri" w:hAnsi="Calibri" w:eastAsia="PingFang SC"/>
                <w:b/>
              </w:rPr>
              <w:t>需求名称</w:t>
            </w:r>
          </w:p>
        </w:tc>
        <w:tc>
          <w:tcPr>
            <w:tcW w:type="dxa" w:w="2160"/>
          </w:tcPr>
          <w:p>
            <w:r>
              <w:rPr>
                <w:b/>
              </w:rPr>
            </w:r>
            <w:r>
              <w:rPr>
                <w:rFonts w:ascii="Calibri" w:hAnsi="Calibri" w:eastAsia="PingFang SC"/>
                <w:b/>
              </w:rPr>
              <w:t>需求描述</w:t>
            </w:r>
          </w:p>
        </w:tc>
        <w:tc>
          <w:tcPr>
            <w:tcW w:type="dxa" w:w="2160"/>
          </w:tcPr>
          <w:p>
            <w:r>
              <w:rPr>
                <w:b/>
              </w:rPr>
            </w:r>
            <w:r>
              <w:rPr>
                <w:rFonts w:ascii="Calibri" w:hAnsi="Calibri" w:eastAsia="PingFang SC"/>
                <w:b/>
              </w:rPr>
              <w:t>当前进度</w:t>
            </w:r>
          </w:p>
        </w:tc>
      </w:tr>
      <w:tr>
        <w:tc>
          <w:tcPr>
            <w:tcW w:type="dxa" w:w="2160"/>
          </w:tcPr>
          <w:p>
            <w:r/>
            <w:r>
              <w:rPr>
                <w:rFonts w:ascii="Calibri" w:hAnsi="Calibri" w:eastAsia="PingFang SC"/>
              </w:rPr>
              <w:t>1</w:t>
            </w:r>
          </w:p>
        </w:tc>
        <w:tc>
          <w:tcPr>
            <w:tcW w:type="dxa" w:w="2160"/>
          </w:tcPr>
          <w:p>
            <w:r/>
            <w:r>
              <w:rPr>
                <w:rFonts w:ascii="Calibri" w:hAnsi="Calibri" w:eastAsia="PingFang SC"/>
              </w:rPr>
              <w:t>费用条目</w:t>
            </w:r>
          </w:p>
        </w:tc>
        <w:tc>
          <w:tcPr>
            <w:tcW w:type="dxa" w:w="2160"/>
          </w:tcPr>
          <w:p>
            <w:r/>
            <w:r>
              <w:rPr>
                <w:rFonts w:ascii="Calibri" w:hAnsi="Calibri" w:eastAsia="PingFang SC"/>
              </w:rPr>
              <w:t>Asset TCO 由资产关联的 Expense line 汇总而来</w:t>
            </w:r>
          </w:p>
        </w:tc>
        <w:tc>
          <w:tcPr>
            <w:tcW w:type="dxa" w:w="2160"/>
          </w:tcPr>
          <w:p>
            <w:r/>
            <w:r>
              <w:rPr>
                <w:rFonts w:ascii="Calibri" w:hAnsi="Calibri" w:eastAsia="PingFang SC"/>
              </w:rPr>
              <w:t>关联</w:t>
            </w:r>
          </w:p>
        </w:tc>
      </w:tr>
      <w:tr>
        <w:tc>
          <w:tcPr>
            <w:tcW w:type="dxa" w:w="2160"/>
          </w:tcPr>
          <w:p>
            <w:r/>
            <w:r>
              <w:rPr>
                <w:rFonts w:ascii="Calibri" w:hAnsi="Calibri" w:eastAsia="PingFang SC"/>
              </w:rPr>
              <w:t>2</w:t>
            </w:r>
          </w:p>
        </w:tc>
        <w:tc>
          <w:tcPr>
            <w:tcW w:type="dxa" w:w="2160"/>
          </w:tcPr>
          <w:p>
            <w:r/>
            <w:r>
              <w:rPr>
                <w:rFonts w:ascii="Calibri" w:hAnsi="Calibri" w:eastAsia="PingFang SC"/>
              </w:rPr>
              <w:t>人工费率卡</w:t>
            </w:r>
          </w:p>
        </w:tc>
        <w:tc>
          <w:tcPr>
            <w:tcW w:type="dxa" w:w="2160"/>
          </w:tcPr>
          <w:p>
            <w:r/>
            <w:r>
              <w:rPr>
                <w:rFonts w:ascii="Calibri" w:hAnsi="Calibri" w:eastAsia="PingFang SC"/>
              </w:rPr>
              <w:t>流程节点按工时计费时引用人工费率卡的小时费率</w:t>
            </w:r>
          </w:p>
        </w:tc>
        <w:tc>
          <w:tcPr>
            <w:tcW w:type="dxa" w:w="2160"/>
          </w:tcPr>
          <w:p>
            <w:r/>
            <w:r>
              <w:rPr>
                <w:rFonts w:ascii="Calibri" w:hAnsi="Calibri" w:eastAsia="PingFang SC"/>
              </w:rPr>
              <w:t>关联</w:t>
            </w:r>
          </w:p>
        </w:tc>
      </w:tr>
      <w:tr>
        <w:tc>
          <w:tcPr>
            <w:tcW w:type="dxa" w:w="2160"/>
          </w:tcPr>
          <w:p>
            <w:r/>
            <w:r>
              <w:rPr>
                <w:rFonts w:ascii="Calibri" w:hAnsi="Calibri" w:eastAsia="PingFang SC"/>
              </w:rPr>
              <w:t>3</w:t>
            </w:r>
          </w:p>
        </w:tc>
        <w:tc>
          <w:tcPr>
            <w:tcW w:type="dxa" w:w="2160"/>
          </w:tcPr>
          <w:p>
            <w:r/>
            <w:r>
              <w:rPr>
                <w:rFonts w:ascii="Calibri" w:hAnsi="Calibri" w:eastAsia="PingFang SC"/>
              </w:rPr>
              <w:t>任务费率卡</w:t>
            </w:r>
          </w:p>
        </w:tc>
        <w:tc>
          <w:tcPr>
            <w:tcW w:type="dxa" w:w="2160"/>
          </w:tcPr>
          <w:p>
            <w:r/>
            <w:r>
              <w:rPr>
                <w:rFonts w:ascii="Calibri" w:hAnsi="Calibri" w:eastAsia="PingFang SC"/>
              </w:rPr>
              <w:t>流程节点费用引用任务费率卡（固定费率/工时/兜底）</w:t>
            </w:r>
          </w:p>
        </w:tc>
        <w:tc>
          <w:tcPr>
            <w:tcW w:type="dxa" w:w="2160"/>
          </w:tcPr>
          <w:p>
            <w:r/>
            <w:r>
              <w:rPr>
                <w:rFonts w:ascii="Calibri" w:hAnsi="Calibri" w:eastAsia="PingFang SC"/>
              </w:rPr>
              <w:t>关联</w:t>
            </w:r>
          </w:p>
        </w:tc>
      </w:tr>
      <w:tr>
        <w:tc>
          <w:tcPr>
            <w:tcW w:type="dxa" w:w="2160"/>
          </w:tcPr>
          <w:p>
            <w:r/>
            <w:r>
              <w:rPr>
                <w:rFonts w:ascii="Calibri" w:hAnsi="Calibri" w:eastAsia="PingFang SC"/>
              </w:rPr>
              <w:t>4</w:t>
            </w:r>
          </w:p>
        </w:tc>
        <w:tc>
          <w:tcPr>
            <w:tcW w:type="dxa" w:w="2160"/>
          </w:tcPr>
          <w:p>
            <w:r/>
            <w:r>
              <w:rPr>
                <w:rFonts w:ascii="Calibri" w:hAnsi="Calibri" w:eastAsia="PingFang SC"/>
              </w:rPr>
              <w:t>折旧方案</w:t>
            </w:r>
          </w:p>
        </w:tc>
        <w:tc>
          <w:tcPr>
            <w:tcW w:type="dxa" w:w="2160"/>
          </w:tcPr>
          <w:p>
            <w:r/>
            <w:r>
              <w:rPr>
                <w:rFonts w:ascii="Calibri" w:hAnsi="Calibri" w:eastAsia="PingFang SC"/>
              </w:rPr>
              <w:t>硬件资产 Cost/Salvage 影响财务价值，与 TCO 并列展示</w:t>
            </w:r>
          </w:p>
        </w:tc>
        <w:tc>
          <w:tcPr>
            <w:tcW w:type="dxa" w:w="2160"/>
          </w:tcPr>
          <w:p>
            <w:r/>
            <w:r>
              <w:rPr>
                <w:rFonts w:ascii="Calibri" w:hAnsi="Calibri" w:eastAsia="PingFang SC"/>
              </w:rPr>
              <w:t>关联</w:t>
            </w:r>
          </w:p>
        </w:tc>
      </w:tr>
      <w:tr>
        <w:tc>
          <w:tcPr>
            <w:tcW w:type="dxa" w:w="2160"/>
          </w:tcPr>
          <w:p>
            <w:r/>
            <w:r>
              <w:rPr>
                <w:rFonts w:ascii="Calibri" w:hAnsi="Calibri" w:eastAsia="PingFang SC"/>
              </w:rPr>
              <w:t>5</w:t>
            </w:r>
          </w:p>
        </w:tc>
        <w:tc>
          <w:tcPr>
            <w:tcW w:type="dxa" w:w="2160"/>
          </w:tcPr>
          <w:p>
            <w:r/>
            <w:r>
              <w:rPr>
                <w:rFonts w:ascii="Calibri" w:hAnsi="Calibri" w:eastAsia="PingFang SC"/>
              </w:rPr>
              <w:t>资产洞察看板</w:t>
            </w:r>
          </w:p>
        </w:tc>
        <w:tc>
          <w:tcPr>
            <w:tcW w:type="dxa" w:w="2160"/>
          </w:tcPr>
          <w:p>
            <w:r/>
            <w:r>
              <w:rPr>
                <w:rFonts w:ascii="Calibri" w:hAnsi="Calibri" w:eastAsia="PingFang SC"/>
              </w:rPr>
              <w:t>TCO 相关报表在洞察看板呈现</w:t>
            </w:r>
          </w:p>
        </w:tc>
        <w:tc>
          <w:tcPr>
            <w:tcW w:type="dxa" w:w="2160"/>
          </w:tcPr>
          <w:p>
            <w:r/>
            <w:r>
              <w:rPr>
                <w:rFonts w:ascii="Calibri" w:hAnsi="Calibri" w:eastAsia="PingFang SC"/>
              </w:rPr>
              <w:t>关联</w:t>
            </w:r>
          </w:p>
        </w:tc>
      </w:tr>
    </w:tbl>
    <w:p/>
    <w:p>
      <w:pPr>
        <w:pStyle w:val="Heading2"/>
      </w:pPr>
      <w:r>
        <w:rPr>
          <w:rFonts w:ascii="Calibri" w:hAnsi="Calibri" w:eastAsia="PingFang SC"/>
        </w:rPr>
      </w:r>
      <w:r>
        <w:rPr>
          <w:rFonts w:ascii="Calibri" w:hAnsi="Calibri" w:eastAsia="PingFang SC"/>
        </w:rPr>
        <w:t>2. 需求分析</w:t>
      </w:r>
    </w:p>
    <w:p>
      <w:pPr>
        <w:pStyle w:val="Heading3"/>
      </w:pPr>
      <w:r>
        <w:rPr>
          <w:rFonts w:ascii="Calibri" w:hAnsi="Calibri" w:eastAsia="PingFang SC"/>
        </w:rPr>
      </w:r>
      <w:r>
        <w:rPr>
          <w:rFonts w:ascii="Calibri" w:hAnsi="Calibri" w:eastAsia="PingFang SC"/>
        </w:rPr>
        <w:t>2.1 业务背景</w:t>
      </w:r>
    </w:p>
    <w:p>
      <w:r>
        <w:rPr>
          <w:rFonts w:ascii="Calibri" w:hAnsi="Calibri" w:eastAsia="PingFang SC"/>
        </w:rPr>
        <w:t>传统资产管理只关注「采购成本」，无法反映资产在全生命周期中的真实开销（部署、运营、维护、停机、退役等）。企业需要突破采购成本的局限，通过全面归集资产各阶段的直接与间接成本，量化资产的总拥有成本（TCO），支持「低价采购、高价维护」陷阱的识别与替换决策。系统基于 Model 层设置的基准成本/阈值，结合资产实际发生的费用条目（含流程节点自动产生的费用），计算出每个资产的 Asset TCO，并与基准比对给出预警状态，最终在洞察看板中多维度呈现。</w:t>
      </w:r>
    </w:p>
    <w:p>
      <w:pPr>
        <w:pStyle w:val="Heading3"/>
      </w:pPr>
      <w:r>
        <w:rPr>
          <w:rFonts w:ascii="Calibri" w:hAnsi="Calibri" w:eastAsia="PingFang SC"/>
        </w:rPr>
      </w:r>
      <w:r>
        <w:rPr>
          <w:rFonts w:ascii="Calibri" w:hAnsi="Calibri" w:eastAsia="PingFang SC"/>
        </w:rPr>
        <w:t>2.2 需求价值</w:t>
      </w:r>
    </w:p>
    <w:p>
      <w:pPr>
        <w:pStyle w:val="Heading4"/>
      </w:pPr>
      <w:r>
        <w:rPr>
          <w:rFonts w:ascii="Calibri" w:hAnsi="Calibri" w:eastAsia="PingFang SC"/>
        </w:rPr>
      </w:r>
      <w:r>
        <w:rPr>
          <w:rFonts w:ascii="Calibri" w:hAnsi="Calibri" w:eastAsia="PingFang SC"/>
        </w:rPr>
        <w:t>2.2.1 模块价值点</w:t>
      </w:r>
    </w:p>
    <w:p>
      <w:pPr>
        <w:pStyle w:val="ListBullet"/>
      </w:pPr>
      <w:r>
        <w:rPr>
          <w:rFonts w:ascii="Calibri" w:hAnsi="Calibri" w:eastAsia="PingFang SC"/>
          <w:b/>
        </w:rPr>
        <w:t>全生命周期成本可视</w:t>
      </w:r>
      <w:r>
        <w:rPr>
          <w:rFonts w:ascii="Calibri" w:hAnsi="Calibri" w:eastAsia="PingFang SC"/>
        </w:rPr>
        <w:t>：从采购、部署、运营、维护到退役，逐阶段归集成本，覆盖显性与隐性成本。</w:t>
      </w:r>
    </w:p>
    <w:p>
      <w:pPr>
        <w:pStyle w:val="ListBullet"/>
      </w:pPr>
      <w:r>
        <w:rPr>
          <w:rFonts w:ascii="Calibri" w:hAnsi="Calibri" w:eastAsia="PingFang SC"/>
          <w:b/>
        </w:rPr>
        <w:t>基准对标与预警</w:t>
      </w:r>
      <w:r>
        <w:rPr>
          <w:rFonts w:ascii="Calibri" w:hAnsi="Calibri" w:eastAsia="PingFang SC"/>
        </w:rPr>
        <w:t>：以 Model 的基准成本/阈值为对标线，自动判定资产 TCO 是否 Reached / Approaching / Not reached，触发成本优化。</w:t>
      </w:r>
    </w:p>
    <w:p>
      <w:pPr>
        <w:pStyle w:val="ListBullet"/>
      </w:pPr>
      <w:r>
        <w:rPr>
          <w:rFonts w:ascii="Calibri" w:hAnsi="Calibri" w:eastAsia="PingFang SC"/>
          <w:b/>
        </w:rPr>
        <w:t>父子资产成本穿透</w:t>
      </w:r>
      <w:r>
        <w:rPr>
          <w:rFonts w:ascii="Calibri" w:hAnsi="Calibri" w:eastAsia="PingFang SC"/>
        </w:rPr>
        <w:t>：机柜等父资产的 TCO 自动包含其子资产（服务器、交换机、SSD 等）成本，支持层级化成本核算。</w:t>
      </w:r>
    </w:p>
    <w:p>
      <w:pPr>
        <w:pStyle w:val="ListBullet"/>
      </w:pPr>
      <w:r>
        <w:rPr>
          <w:rFonts w:ascii="Calibri" w:hAnsi="Calibri" w:eastAsia="PingFang SC"/>
          <w:b/>
        </w:rPr>
        <w:t>流程费用自动归集</w:t>
      </w:r>
      <w:r>
        <w:rPr>
          <w:rFonts w:ascii="Calibri" w:hAnsi="Calibri" w:eastAsia="PingFang SC"/>
        </w:rPr>
        <w:t>：资产涉及的流程节点完成后自动生成费用条目并挂载到资产，减少人工登记。</w:t>
      </w:r>
    </w:p>
    <w:p>
      <w:pPr>
        <w:pStyle w:val="ListBullet"/>
      </w:pPr>
      <w:r>
        <w:rPr>
          <w:rFonts w:ascii="Calibri" w:hAnsi="Calibri" w:eastAsia="PingFang SC"/>
          <w:b/>
        </w:rPr>
        <w:t>决策支持</w:t>
      </w:r>
      <w:r>
        <w:rPr>
          <w:rFonts w:ascii="Calibri" w:hAnsi="Calibri" w:eastAsia="PingFang SC"/>
        </w:rPr>
        <w:t>：识别高 TCO 型号、按成本中心/类别分布分析，辅助资本规划与替换决策。</w:t>
      </w:r>
    </w:p>
    <w:p>
      <w:pPr>
        <w:pStyle w:val="Heading4"/>
      </w:pPr>
      <w:r>
        <w:rPr>
          <w:rFonts w:ascii="Calibri" w:hAnsi="Calibri" w:eastAsia="PingFang SC"/>
        </w:rPr>
      </w:r>
      <w:r>
        <w:rPr>
          <w:rFonts w:ascii="Calibri" w:hAnsi="Calibri" w:eastAsia="PingFang SC"/>
        </w:rPr>
        <w:t>2.2.2 调研结论及竞品分析</w:t>
      </w:r>
    </w:p>
    <w:p>
      <w:r>
        <w:rPr>
          <w:rFonts w:ascii="Calibri" w:hAnsi="Calibri" w:eastAsia="PingFang SC"/>
        </w:rPr>
        <w:t>参考 ServiceNow HAM 的 Asset Analytics View：提供「达到/接近 TCO 基准成本」概要数字与饼图、按成本中心分布、平均 TCO 最高的 Top 10 型号、按类别达到基准、资产费用分配（人工/发货/采购）、每月费用分布、资本规划（生命周期&gt;60 天未停用）等报表。本期 TCO 看板对齐该套报表口径，报表明细见 3.5。</w:t>
      </w:r>
    </w:p>
    <w:p>
      <w:pPr>
        <w:pStyle w:val="Heading3"/>
      </w:pPr>
      <w:r>
        <w:rPr>
          <w:rFonts w:ascii="Calibri" w:hAnsi="Calibri" w:eastAsia="PingFang SC"/>
        </w:rPr>
      </w:r>
      <w:r>
        <w:rPr>
          <w:rFonts w:ascii="Calibri" w:hAnsi="Calibri" w:eastAsia="PingFang SC"/>
        </w:rPr>
        <w:t>2.3 用户故事</w:t>
      </w:r>
    </w:p>
    <w:p>
      <w:pPr>
        <w:pStyle w:val="ListBullet"/>
      </w:pPr>
      <w:r>
        <w:rPr>
          <w:rFonts w:ascii="Calibri" w:hAnsi="Calibri" w:eastAsia="PingFang SC"/>
        </w:rPr>
        <w:t>作为</w:t>
      </w:r>
      <w:r>
        <w:rPr>
          <w:rFonts w:ascii="Calibri" w:hAnsi="Calibri" w:eastAsia="PingFang SC"/>
          <w:b/>
        </w:rPr>
        <w:t>财务人员</w:t>
      </w:r>
      <w:r>
        <w:rPr>
          <w:rFonts w:ascii="Calibri" w:hAnsi="Calibri" w:eastAsia="PingFang SC"/>
        </w:rPr>
        <w:t>，我希望资产自动归集其全生命周期的所有费用条目并算出 Asset TCO，以便进行资产价值核算与预算复盘。</w:t>
      </w:r>
    </w:p>
    <w:p>
      <w:pPr>
        <w:pStyle w:val="ListBullet"/>
      </w:pPr>
      <w:r>
        <w:rPr>
          <w:rFonts w:ascii="Calibri" w:hAnsi="Calibri" w:eastAsia="PingFang SC"/>
        </w:rPr>
        <w:t>作为</w:t>
      </w:r>
      <w:r>
        <w:rPr>
          <w:rFonts w:ascii="Calibri" w:hAnsi="Calibri" w:eastAsia="PingFang SC"/>
          <w:b/>
        </w:rPr>
        <w:t>资产管理员</w:t>
      </w:r>
      <w:r>
        <w:rPr>
          <w:rFonts w:ascii="Calibri" w:hAnsi="Calibri" w:eastAsia="PingFang SC"/>
        </w:rPr>
        <w:t>，我希望在硬件 Model 上设置基准成本与阈值，系统自动判定资产 TCO 状态，以便及时发现成本超标的资产。</w:t>
      </w:r>
    </w:p>
    <w:p>
      <w:pPr>
        <w:pStyle w:val="ListBullet"/>
      </w:pPr>
      <w:r>
        <w:rPr>
          <w:rFonts w:ascii="Calibri" w:hAnsi="Calibri" w:eastAsia="PingFang SC"/>
        </w:rPr>
        <w:t>作为</w:t>
      </w:r>
      <w:r>
        <w:rPr>
          <w:rFonts w:ascii="Calibri" w:hAnsi="Calibri" w:eastAsia="PingFang SC"/>
          <w:b/>
        </w:rPr>
        <w:t>IT 经理</w:t>
      </w:r>
      <w:r>
        <w:rPr>
          <w:rFonts w:ascii="Calibri" w:hAnsi="Calibri" w:eastAsia="PingFang SC"/>
        </w:rPr>
        <w:t>，我希望看到平均 TCO 最高的 Top 10 型号与按成本中心的 TCO 分布，以便优化采购与替换策略。</w:t>
      </w:r>
    </w:p>
    <w:p>
      <w:pPr>
        <w:pStyle w:val="Heading2"/>
      </w:pPr>
      <w:r>
        <w:rPr>
          <w:rFonts w:ascii="Calibri" w:hAnsi="Calibri" w:eastAsia="PingFang SC"/>
        </w:rPr>
      </w:r>
      <w:r>
        <w:rPr>
          <w:rFonts w:ascii="Calibri" w:hAnsi="Calibri" w:eastAsia="PingFang SC"/>
        </w:rPr>
        <w:t>3. 需求设计</w:t>
      </w:r>
    </w:p>
    <w:p>
      <w:pPr>
        <w:pStyle w:val="Heading3"/>
      </w:pPr>
      <w:r>
        <w:rPr>
          <w:rFonts w:ascii="Calibri" w:hAnsi="Calibri" w:eastAsia="PingFang SC"/>
        </w:rPr>
      </w:r>
      <w:r>
        <w:rPr>
          <w:rFonts w:ascii="Calibri" w:hAnsi="Calibri" w:eastAsia="PingFang SC"/>
        </w:rPr>
        <w:t>3.1 硬件 Model 设置 TCO 基准成本与阈值</w:t>
      </w:r>
    </w:p>
    <w:p>
      <w:pPr>
        <w:pStyle w:val="Heading4"/>
      </w:pPr>
      <w:r>
        <w:rPr>
          <w:rFonts w:ascii="Calibri" w:hAnsi="Calibri" w:eastAsia="PingFang SC"/>
        </w:rPr>
      </w:r>
      <w:r>
        <w:rPr>
          <w:rFonts w:ascii="Calibri" w:hAnsi="Calibri" w:eastAsia="PingFang SC"/>
        </w:rPr>
        <w:t>3.1.1 涉及到的表</w:t>
      </w:r>
    </w:p>
    <w:p>
      <w:pPr>
        <w:pStyle w:val="ListBullet"/>
      </w:pPr>
      <w:r>
        <w:rPr>
          <w:rFonts w:ascii="Calibri" w:hAnsi="Calibri" w:eastAsia="PingFang SC"/>
        </w:rPr>
        <w:t>`model`（规格模型表，硬件 Model 新增 TCO 基准字段）</w:t>
      </w:r>
    </w:p>
    <w:p>
      <w:pPr>
        <w:pStyle w:val="ListBullet"/>
      </w:pPr>
      <w:r>
        <w:rPr>
          <w:rFonts w:ascii="Calibri" w:hAnsi="Calibri" w:eastAsia="PingFang SC"/>
        </w:rPr>
        <w:t>`asset`（资产主表，展示/计算 TCO 字段）</w:t>
      </w:r>
    </w:p>
    <w:p>
      <w:pPr>
        <w:pStyle w:val="Heading4"/>
      </w:pPr>
      <w:r>
        <w:rPr>
          <w:rFonts w:ascii="Calibri" w:hAnsi="Calibri" w:eastAsia="PingFang SC"/>
        </w:rPr>
      </w:r>
      <w:r>
        <w:rPr>
          <w:rFonts w:ascii="Calibri" w:hAnsi="Calibri" w:eastAsia="PingFang SC"/>
        </w:rPr>
        <w:t>3.1.2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Model 设置基准字段</w:t>
            </w:r>
          </w:p>
        </w:tc>
        <w:tc>
          <w:tcPr>
            <w:tcW w:type="dxa" w:w="2880"/>
          </w:tcPr>
          <w:p>
            <w:r/>
            <w:r>
              <w:rPr>
                <w:rFonts w:ascii="Calibri" w:hAnsi="Calibri" w:eastAsia="PingFang SC"/>
              </w:rPr>
              <w:t>在 hardware model 创建页新增 TCO Benchmark Cost、TCO Benchmark Threshold 两个字段</w:t>
            </w:r>
          </w:p>
        </w:tc>
        <w:tc>
          <w:tcPr>
            <w:tcW w:type="dxa" w:w="2880"/>
          </w:tcPr>
          <w:p>
            <w:r/>
            <w:r>
              <w:rPr>
                <w:rFonts w:ascii="Calibri" w:hAnsi="Calibri" w:eastAsia="PingFang SC"/>
              </w:rPr>
              <w:t>入口：hardware model 点击创建 Model 后可见两字段</w:t>
            </w:r>
          </w:p>
        </w:tc>
      </w:tr>
      <w:tr>
        <w:tc>
          <w:tcPr>
            <w:tcW w:type="dxa" w:w="2880"/>
          </w:tcPr>
          <w:p>
            <w:r/>
            <w:r>
              <w:rPr>
                <w:rFonts w:ascii="Calibri" w:hAnsi="Calibri" w:eastAsia="PingFang SC"/>
              </w:rPr>
              <w:t>阈值自动填充</w:t>
            </w:r>
          </w:p>
        </w:tc>
        <w:tc>
          <w:tcPr>
            <w:tcW w:type="dxa" w:w="2880"/>
          </w:tcPr>
          <w:p>
            <w:r/>
            <w:r>
              <w:rPr>
                <w:rFonts w:ascii="Calibri" w:hAnsi="Calibri" w:eastAsia="PingFang SC"/>
              </w:rPr>
              <w:t>用户输入 benchmark cost 后，benchmark threshold 自动填充</w:t>
            </w:r>
          </w:p>
        </w:tc>
        <w:tc>
          <w:tcPr>
            <w:tcW w:type="dxa" w:w="2880"/>
          </w:tcPr>
          <w:p>
            <w:r/>
            <w:r>
              <w:rPr>
                <w:rFonts w:ascii="Calibri" w:hAnsi="Calibri" w:eastAsia="PingFang SC"/>
              </w:rPr>
              <w:t>默认按 benchmark cost 的 75% 自动填充，支持人工修改</w:t>
            </w:r>
          </w:p>
        </w:tc>
      </w:tr>
    </w:tbl>
    <w:p/>
    <w:p>
      <w:pPr>
        <w:pStyle w:val="Heading4"/>
      </w:pPr>
      <w:r>
        <w:rPr>
          <w:rFonts w:ascii="Calibri" w:hAnsi="Calibri" w:eastAsia="PingFang SC"/>
        </w:rPr>
      </w:r>
      <w:r>
        <w:rPr>
          <w:rFonts w:ascii="Calibri" w:hAnsi="Calibri" w:eastAsia="PingFang SC"/>
        </w:rPr>
        <w:t>3.1.3 字段说明</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字段名</w:t>
            </w:r>
          </w:p>
        </w:tc>
        <w:tc>
          <w:tcPr>
            <w:tcW w:type="dxa" w:w="2160"/>
          </w:tcPr>
          <w:p>
            <w:r>
              <w:rPr>
                <w:b/>
              </w:rPr>
            </w:r>
            <w:r>
              <w:rPr>
                <w:rFonts w:ascii="Calibri" w:hAnsi="Calibri" w:eastAsia="PingFang SC"/>
                <w:b/>
              </w:rPr>
              <w:t>数据类型</w:t>
            </w:r>
          </w:p>
        </w:tc>
        <w:tc>
          <w:tcPr>
            <w:tcW w:type="dxa" w:w="2160"/>
          </w:tcPr>
          <w:p>
            <w:r>
              <w:rPr>
                <w:b/>
              </w:rPr>
            </w:r>
            <w:r>
              <w:rPr>
                <w:rFonts w:ascii="Calibri" w:hAnsi="Calibri" w:eastAsia="PingFang SC"/>
                <w:b/>
              </w:rPr>
              <w:t>长度</w:t>
            </w:r>
          </w:p>
        </w:tc>
        <w:tc>
          <w:tcPr>
            <w:tcW w:type="dxa" w:w="2160"/>
          </w:tcPr>
          <w:p>
            <w:r>
              <w:rPr>
                <w:b/>
              </w:rPr>
            </w:r>
            <w:r>
              <w:rPr>
                <w:rFonts w:ascii="Calibri" w:hAnsi="Calibri" w:eastAsia="PingFang SC"/>
                <w:b/>
              </w:rPr>
              <w:t>备注说明</w:t>
            </w:r>
          </w:p>
        </w:tc>
      </w:tr>
      <w:tr>
        <w:tc>
          <w:tcPr>
            <w:tcW w:type="dxa" w:w="2160"/>
          </w:tcPr>
          <w:p>
            <w:r/>
            <w:r>
              <w:rPr>
                <w:rFonts w:ascii="Calibri" w:hAnsi="Calibri" w:eastAsia="PingFang SC"/>
              </w:rPr>
              <w:t>TCO Benchmark Cost</w:t>
            </w:r>
          </w:p>
        </w:tc>
        <w:tc>
          <w:tcPr>
            <w:tcW w:type="dxa" w:w="2160"/>
          </w:tcPr>
          <w:p>
            <w:r/>
            <w:r>
              <w:rPr>
                <w:rFonts w:ascii="Calibri" w:hAnsi="Calibri" w:eastAsia="PingFang SC"/>
              </w:rPr>
              <w:t>Currency</w:t>
            </w:r>
          </w:p>
        </w:tc>
        <w:tc>
          <w:tcPr>
            <w:tcW w:type="dxa" w:w="2160"/>
          </w:tcPr>
          <w:p>
            <w:r/>
            <w:r>
              <w:rPr>
                <w:rFonts w:ascii="Calibri" w:hAnsi="Calibri" w:eastAsia="PingFang SC"/>
              </w:rPr>
              <w:t>20</w:t>
            </w:r>
          </w:p>
        </w:tc>
        <w:tc>
          <w:tcPr>
            <w:tcW w:type="dxa" w:w="2160"/>
          </w:tcPr>
          <w:p>
            <w:r/>
            <w:r>
              <w:rPr>
                <w:rFonts w:ascii="Calibri" w:hAnsi="Calibri" w:eastAsia="PingFang SC"/>
              </w:rPr>
              <w:t>基准成本：行业同类设备的合理成本区间值（含隐性成本）</w:t>
            </w:r>
          </w:p>
        </w:tc>
      </w:tr>
      <w:tr>
        <w:tc>
          <w:tcPr>
            <w:tcW w:type="dxa" w:w="2160"/>
          </w:tcPr>
          <w:p>
            <w:r/>
            <w:r>
              <w:rPr>
                <w:rFonts w:ascii="Calibri" w:hAnsi="Calibri" w:eastAsia="PingFang SC"/>
              </w:rPr>
              <w:t>TCO Benchmark Threshold</w:t>
            </w:r>
          </w:p>
        </w:tc>
        <w:tc>
          <w:tcPr>
            <w:tcW w:type="dxa" w:w="2160"/>
          </w:tcPr>
          <w:p>
            <w:r/>
            <w:r>
              <w:rPr>
                <w:rFonts w:ascii="Calibri" w:hAnsi="Calibri" w:eastAsia="PingFang SC"/>
              </w:rPr>
              <w:t>Currency</w:t>
            </w:r>
          </w:p>
        </w:tc>
        <w:tc>
          <w:tcPr>
            <w:tcW w:type="dxa" w:w="2160"/>
          </w:tcPr>
          <w:p>
            <w:r/>
            <w:r>
              <w:rPr>
                <w:rFonts w:ascii="Calibri" w:hAnsi="Calibri" w:eastAsia="PingFang SC"/>
              </w:rPr>
              <w:t>20</w:t>
            </w:r>
          </w:p>
        </w:tc>
        <w:tc>
          <w:tcPr>
            <w:tcW w:type="dxa" w:w="2160"/>
          </w:tcPr>
          <w:p>
            <w:r/>
            <w:r>
              <w:rPr>
                <w:rFonts w:ascii="Calibri" w:hAnsi="Calibri" w:eastAsia="PingFang SC"/>
              </w:rPr>
              <w:t>基准阈值：企业设定的 TCO 警戒线，默认 = benchmark cost × 75%，可人工修改；超过需触发成本优化流程</w:t>
            </w:r>
          </w:p>
        </w:tc>
      </w:tr>
    </w:tbl>
    <w:p/>
    <w:p>
      <w:pPr>
        <w:pStyle w:val="Heading3"/>
      </w:pPr>
      <w:r>
        <w:rPr>
          <w:rFonts w:ascii="Calibri" w:hAnsi="Calibri" w:eastAsia="PingFang SC"/>
        </w:rPr>
      </w:r>
      <w:r>
        <w:rPr>
          <w:rFonts w:ascii="Calibri" w:hAnsi="Calibri" w:eastAsia="PingFang SC"/>
        </w:rPr>
        <w:t>3.2 硬件资产展示 TCO 相关字段</w:t>
      </w:r>
    </w:p>
    <w:p>
      <w:pPr>
        <w:pStyle w:val="Heading4"/>
      </w:pPr>
      <w:r>
        <w:rPr>
          <w:rFonts w:ascii="Calibri" w:hAnsi="Calibri" w:eastAsia="PingFang SC"/>
        </w:rPr>
      </w:r>
      <w:r>
        <w:rPr>
          <w:rFonts w:ascii="Calibri" w:hAnsi="Calibri" w:eastAsia="PingFang SC"/>
        </w:rPr>
        <w:t>3.2.1 涉及到的表</w:t>
      </w:r>
    </w:p>
    <w:p>
      <w:pPr>
        <w:pStyle w:val="ListBullet"/>
      </w:pPr>
      <w:r>
        <w:rPr>
          <w:rFonts w:ascii="Calibri" w:hAnsi="Calibri" w:eastAsia="PingFang SC"/>
        </w:rPr>
        <w:t>`asset`（资产主表，Financial 模块）</w:t>
      </w:r>
    </w:p>
    <w:p>
      <w:pPr>
        <w:pStyle w:val="ListBullet"/>
      </w:pPr>
      <w:r>
        <w:rPr>
          <w:rFonts w:ascii="Calibri" w:hAnsi="Calibri" w:eastAsia="PingFang SC"/>
        </w:rPr>
        <w:t>`model`（提供基准成本/阈值填充值）</w:t>
      </w:r>
    </w:p>
    <w:p>
      <w:pPr>
        <w:pStyle w:val="ListBullet"/>
      </w:pPr>
      <w:r>
        <w:rPr>
          <w:rFonts w:ascii="Calibri" w:hAnsi="Calibri" w:eastAsia="PingFang SC"/>
        </w:rPr>
        <w:t>`expense_line`（费用条目表，Asset TCO 计算来源）</w:t>
      </w:r>
    </w:p>
    <w:p>
      <w:pPr>
        <w:pStyle w:val="Heading4"/>
      </w:pPr>
      <w:r>
        <w:rPr>
          <w:rFonts w:ascii="Calibri" w:hAnsi="Calibri" w:eastAsia="PingFang SC"/>
        </w:rPr>
      </w:r>
      <w:r>
        <w:rPr>
          <w:rFonts w:ascii="Calibri" w:hAnsi="Calibri" w:eastAsia="PingFang SC"/>
        </w:rPr>
        <w:t>3.2.2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展示 TCO 字段</w:t>
            </w:r>
          </w:p>
        </w:tc>
        <w:tc>
          <w:tcPr>
            <w:tcW w:type="dxa" w:w="2880"/>
          </w:tcPr>
          <w:p>
            <w:r/>
            <w:r>
              <w:rPr>
                <w:rFonts w:ascii="Calibri" w:hAnsi="Calibri" w:eastAsia="PingFang SC"/>
              </w:rPr>
              <w:t>在资产 Financial 模块增加 4 个字段：Asset TCO、TCO Benchmark Cost、TCO Benchmark Threshold、TCO Benchmark Status</w:t>
            </w:r>
          </w:p>
        </w:tc>
        <w:tc>
          <w:tcPr>
            <w:tcW w:type="dxa" w:w="2880"/>
          </w:tcPr>
          <w:p>
            <w:r/>
            <w:r>
              <w:rPr>
                <w:rFonts w:ascii="Calibri" w:hAnsi="Calibri" w:eastAsia="PingFang SC"/>
              </w:rPr>
              <w:t>展示位置为资产详情 Financials 分组</w:t>
            </w:r>
          </w:p>
        </w:tc>
      </w:tr>
      <w:tr>
        <w:tc>
          <w:tcPr>
            <w:tcW w:type="dxa" w:w="2880"/>
          </w:tcPr>
          <w:p>
            <w:r/>
            <w:r>
              <w:rPr>
                <w:rFonts w:ascii="Calibri" w:hAnsi="Calibri" w:eastAsia="PingFang SC"/>
              </w:rPr>
              <w:t>Asset TCO 取值</w:t>
            </w:r>
          </w:p>
        </w:tc>
        <w:tc>
          <w:tcPr>
            <w:tcW w:type="dxa" w:w="2880"/>
          </w:tcPr>
          <w:p>
            <w:r/>
            <w:r>
              <w:rPr>
                <w:rFonts w:ascii="Calibri" w:hAnsi="Calibri" w:eastAsia="PingFang SC"/>
              </w:rPr>
              <w:t>由系统按 3.3 规则计算得到</w:t>
            </w:r>
          </w:p>
        </w:tc>
        <w:tc>
          <w:tcPr>
            <w:tcW w:type="dxa" w:w="2880"/>
          </w:tcPr>
          <w:p>
            <w:r/>
            <w:r>
              <w:rPr>
                <w:rFonts w:ascii="Calibri" w:hAnsi="Calibri" w:eastAsia="PingFang SC"/>
              </w:rPr>
              <w:t>汇总本资产及子资产的 Expense line（Parent 为空）金额</w:t>
            </w:r>
          </w:p>
        </w:tc>
      </w:tr>
      <w:tr>
        <w:tc>
          <w:tcPr>
            <w:tcW w:type="dxa" w:w="2880"/>
          </w:tcPr>
          <w:p>
            <w:r/>
            <w:r>
              <w:rPr>
                <w:rFonts w:ascii="Calibri" w:hAnsi="Calibri" w:eastAsia="PingFang SC"/>
              </w:rPr>
              <w:t>基准字段填充</w:t>
            </w:r>
          </w:p>
        </w:tc>
        <w:tc>
          <w:tcPr>
            <w:tcW w:type="dxa" w:w="2880"/>
          </w:tcPr>
          <w:p>
            <w:r/>
            <w:r>
              <w:rPr>
                <w:rFonts w:ascii="Calibri" w:hAnsi="Calibri" w:eastAsia="PingFang SC"/>
              </w:rPr>
              <w:t>Benchmark Cost / Threshold 由对应 Model 字段值直接填充</w:t>
            </w:r>
          </w:p>
        </w:tc>
        <w:tc>
          <w:tcPr>
            <w:tcW w:type="dxa" w:w="2880"/>
          </w:tcPr>
          <w:p>
            <w:r/>
            <w:r>
              <w:rPr>
                <w:rFonts w:ascii="Calibri" w:hAnsi="Calibri" w:eastAsia="PingFang SC"/>
              </w:rPr>
              <w:t>取所属 Model 的 TCO Benchmark Cost / Threshold</w:t>
            </w:r>
          </w:p>
        </w:tc>
      </w:tr>
      <w:tr>
        <w:tc>
          <w:tcPr>
            <w:tcW w:type="dxa" w:w="2880"/>
          </w:tcPr>
          <w:p>
            <w:r/>
            <w:r>
              <w:rPr>
                <w:rFonts w:ascii="Calibri" w:hAnsi="Calibri" w:eastAsia="PingFang SC"/>
              </w:rPr>
              <w:t>状态判定</w:t>
            </w:r>
          </w:p>
        </w:tc>
        <w:tc>
          <w:tcPr>
            <w:tcW w:type="dxa" w:w="2880"/>
          </w:tcPr>
          <w:p>
            <w:r/>
            <w:r>
              <w:rPr>
                <w:rFonts w:ascii="Calibri" w:hAnsi="Calibri" w:eastAsia="PingFang SC"/>
              </w:rPr>
              <w:t>TCO Benchmark Status 按 Asset TCO 与基准比较自动判定</w:t>
            </w:r>
          </w:p>
        </w:tc>
        <w:tc>
          <w:tcPr>
            <w:tcW w:type="dxa" w:w="2880"/>
          </w:tcPr>
          <w:p>
            <w:r/>
            <w:r>
              <w:rPr>
                <w:rFonts w:ascii="Calibri" w:hAnsi="Calibri" w:eastAsia="PingFang SC"/>
              </w:rPr>
              <w:t>见 3.2.4 状态判定规则</w:t>
            </w:r>
          </w:p>
        </w:tc>
      </w:tr>
    </w:tbl>
    <w:p/>
    <w:p>
      <w:pPr>
        <w:pStyle w:val="Heading4"/>
      </w:pPr>
      <w:r>
        <w:rPr>
          <w:rFonts w:ascii="Calibri" w:hAnsi="Calibri" w:eastAsia="PingFang SC"/>
        </w:rPr>
      </w:r>
      <w:r>
        <w:rPr>
          <w:rFonts w:ascii="Calibri" w:hAnsi="Calibri" w:eastAsia="PingFang SC"/>
        </w:rPr>
        <w:t>3.2.3 字段说明</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字段名</w:t>
            </w:r>
          </w:p>
        </w:tc>
        <w:tc>
          <w:tcPr>
            <w:tcW w:type="dxa" w:w="2160"/>
          </w:tcPr>
          <w:p>
            <w:r>
              <w:rPr>
                <w:b/>
              </w:rPr>
            </w:r>
            <w:r>
              <w:rPr>
                <w:rFonts w:ascii="Calibri" w:hAnsi="Calibri" w:eastAsia="PingFang SC"/>
                <w:b/>
              </w:rPr>
              <w:t>数据类型</w:t>
            </w:r>
          </w:p>
        </w:tc>
        <w:tc>
          <w:tcPr>
            <w:tcW w:type="dxa" w:w="2160"/>
          </w:tcPr>
          <w:p>
            <w:r>
              <w:rPr>
                <w:b/>
              </w:rPr>
            </w:r>
            <w:r>
              <w:rPr>
                <w:rFonts w:ascii="Calibri" w:hAnsi="Calibri" w:eastAsia="PingFang SC"/>
                <w:b/>
              </w:rPr>
              <w:t>长度</w:t>
            </w:r>
          </w:p>
        </w:tc>
        <w:tc>
          <w:tcPr>
            <w:tcW w:type="dxa" w:w="2160"/>
          </w:tcPr>
          <w:p>
            <w:r>
              <w:rPr>
                <w:b/>
              </w:rPr>
            </w:r>
            <w:r>
              <w:rPr>
                <w:rFonts w:ascii="Calibri" w:hAnsi="Calibri" w:eastAsia="PingFang SC"/>
                <w:b/>
              </w:rPr>
              <w:t>备注说明</w:t>
            </w:r>
          </w:p>
        </w:tc>
      </w:tr>
      <w:tr>
        <w:tc>
          <w:tcPr>
            <w:tcW w:type="dxa" w:w="2160"/>
          </w:tcPr>
          <w:p>
            <w:r/>
            <w:r>
              <w:rPr>
                <w:rFonts w:ascii="Calibri" w:hAnsi="Calibri" w:eastAsia="PingFang SC"/>
              </w:rPr>
              <w:t>Asset TCO</w:t>
            </w:r>
          </w:p>
        </w:tc>
        <w:tc>
          <w:tcPr>
            <w:tcW w:type="dxa" w:w="2160"/>
          </w:tcPr>
          <w:p>
            <w:r/>
            <w:r>
              <w:rPr>
                <w:rFonts w:ascii="Calibri" w:hAnsi="Calibri" w:eastAsia="PingFang SC"/>
              </w:rPr>
              <w:t>Currency</w:t>
            </w:r>
          </w:p>
        </w:tc>
        <w:tc>
          <w:tcPr>
            <w:tcW w:type="dxa" w:w="2160"/>
          </w:tcPr>
          <w:p>
            <w:r/>
            <w:r>
              <w:rPr>
                <w:rFonts w:ascii="Calibri" w:hAnsi="Calibri" w:eastAsia="PingFang SC"/>
              </w:rPr>
              <w:t>20</w:t>
            </w:r>
          </w:p>
        </w:tc>
        <w:tc>
          <w:tcPr>
            <w:tcW w:type="dxa" w:w="2160"/>
          </w:tcPr>
          <w:p>
            <w:r/>
            <w:r>
              <w:rPr>
                <w:rFonts w:ascii="Calibri" w:hAnsi="Calibri" w:eastAsia="PingFang SC"/>
              </w:rPr>
              <w:t>系统计算的资产实际总拥有成本</w:t>
            </w:r>
          </w:p>
        </w:tc>
      </w:tr>
      <w:tr>
        <w:tc>
          <w:tcPr>
            <w:tcW w:type="dxa" w:w="2160"/>
          </w:tcPr>
          <w:p>
            <w:r/>
            <w:r>
              <w:rPr>
                <w:rFonts w:ascii="Calibri" w:hAnsi="Calibri" w:eastAsia="PingFang SC"/>
              </w:rPr>
              <w:t>TCO Benchmark Cost</w:t>
            </w:r>
          </w:p>
        </w:tc>
        <w:tc>
          <w:tcPr>
            <w:tcW w:type="dxa" w:w="2160"/>
          </w:tcPr>
          <w:p>
            <w:r/>
            <w:r>
              <w:rPr>
                <w:rFonts w:ascii="Calibri" w:hAnsi="Calibri" w:eastAsia="PingFang SC"/>
              </w:rPr>
              <w:t>Currency</w:t>
            </w:r>
          </w:p>
        </w:tc>
        <w:tc>
          <w:tcPr>
            <w:tcW w:type="dxa" w:w="2160"/>
          </w:tcPr>
          <w:p>
            <w:r/>
            <w:r>
              <w:rPr>
                <w:rFonts w:ascii="Calibri" w:hAnsi="Calibri" w:eastAsia="PingFang SC"/>
              </w:rPr>
              <w:t>20</w:t>
            </w:r>
          </w:p>
        </w:tc>
        <w:tc>
          <w:tcPr>
            <w:tcW w:type="dxa" w:w="2160"/>
          </w:tcPr>
          <w:p>
            <w:r/>
            <w:r>
              <w:rPr>
                <w:rFonts w:ascii="Calibri" w:hAnsi="Calibri" w:eastAsia="PingFang SC"/>
              </w:rPr>
              <w:t>由对应 Model 的基准成本字段直接填充</w:t>
            </w:r>
          </w:p>
        </w:tc>
      </w:tr>
      <w:tr>
        <w:tc>
          <w:tcPr>
            <w:tcW w:type="dxa" w:w="2160"/>
          </w:tcPr>
          <w:p>
            <w:r/>
            <w:r>
              <w:rPr>
                <w:rFonts w:ascii="Calibri" w:hAnsi="Calibri" w:eastAsia="PingFang SC"/>
              </w:rPr>
              <w:t>TCO Benchmark Threshold</w:t>
            </w:r>
          </w:p>
        </w:tc>
        <w:tc>
          <w:tcPr>
            <w:tcW w:type="dxa" w:w="2160"/>
          </w:tcPr>
          <w:p>
            <w:r/>
            <w:r>
              <w:rPr>
                <w:rFonts w:ascii="Calibri" w:hAnsi="Calibri" w:eastAsia="PingFang SC"/>
              </w:rPr>
              <w:t>Currency</w:t>
            </w:r>
          </w:p>
        </w:tc>
        <w:tc>
          <w:tcPr>
            <w:tcW w:type="dxa" w:w="2160"/>
          </w:tcPr>
          <w:p>
            <w:r/>
            <w:r>
              <w:rPr>
                <w:rFonts w:ascii="Calibri" w:hAnsi="Calibri" w:eastAsia="PingFang SC"/>
              </w:rPr>
              <w:t>20</w:t>
            </w:r>
          </w:p>
        </w:tc>
        <w:tc>
          <w:tcPr>
            <w:tcW w:type="dxa" w:w="2160"/>
          </w:tcPr>
          <w:p>
            <w:r/>
            <w:r>
              <w:rPr>
                <w:rFonts w:ascii="Calibri" w:hAnsi="Calibri" w:eastAsia="PingFang SC"/>
              </w:rPr>
              <w:t>由对应 Model 的基准阈值字段直接填充</w:t>
            </w:r>
          </w:p>
        </w:tc>
      </w:tr>
      <w:tr>
        <w:tc>
          <w:tcPr>
            <w:tcW w:type="dxa" w:w="2160"/>
          </w:tcPr>
          <w:p>
            <w:r/>
            <w:r>
              <w:rPr>
                <w:rFonts w:ascii="Calibri" w:hAnsi="Calibri" w:eastAsia="PingFang SC"/>
              </w:rPr>
              <w:t>TCO Benchmark Status</w:t>
            </w:r>
          </w:p>
        </w:tc>
        <w:tc>
          <w:tcPr>
            <w:tcW w:type="dxa" w:w="2160"/>
          </w:tcPr>
          <w:p>
            <w:r/>
            <w:r>
              <w:rPr>
                <w:rFonts w:ascii="Calibri" w:hAnsi="Calibri" w:eastAsia="PingFang SC"/>
              </w:rPr>
              <w:t>VARCHAR</w:t>
            </w:r>
          </w:p>
        </w:tc>
        <w:tc>
          <w:tcPr>
            <w:tcW w:type="dxa" w:w="2160"/>
          </w:tcPr>
          <w:p>
            <w:r/>
            <w:r>
              <w:rPr>
                <w:rFonts w:ascii="Calibri" w:hAnsi="Calibri" w:eastAsia="PingFang SC"/>
              </w:rPr>
              <w:t>40</w:t>
            </w:r>
          </w:p>
        </w:tc>
        <w:tc>
          <w:tcPr>
            <w:tcW w:type="dxa" w:w="2160"/>
          </w:tcPr>
          <w:p>
            <w:r/>
            <w:r>
              <w:rPr>
                <w:rFonts w:ascii="Calibri" w:hAnsi="Calibri" w:eastAsia="PingFang SC"/>
              </w:rPr>
              <w:t>字典值：Reached / Approaching / Not reached，反映资产 TCO 是否需采取成本优化措施</w:t>
            </w:r>
          </w:p>
        </w:tc>
      </w:tr>
    </w:tbl>
    <w:p/>
    <w:p>
      <w:pPr>
        <w:pStyle w:val="Heading4"/>
      </w:pPr>
      <w:r>
        <w:rPr>
          <w:rFonts w:ascii="Calibri" w:hAnsi="Calibri" w:eastAsia="PingFang SC"/>
        </w:rPr>
      </w:r>
      <w:r>
        <w:rPr>
          <w:rFonts w:ascii="Calibri" w:hAnsi="Calibri" w:eastAsia="PingFang SC"/>
        </w:rPr>
        <w:t>3.2.4 字段字典值说明（TCO Benchmark Status 状态判定）</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字段名</w:t>
            </w:r>
          </w:p>
        </w:tc>
        <w:tc>
          <w:tcPr>
            <w:tcW w:type="dxa" w:w="2880"/>
          </w:tcPr>
          <w:p>
            <w:r>
              <w:rPr>
                <w:b/>
              </w:rPr>
            </w:r>
            <w:r>
              <w:rPr>
                <w:rFonts w:ascii="Calibri" w:hAnsi="Calibri" w:eastAsia="PingFang SC"/>
                <w:b/>
              </w:rPr>
              <w:t>字典值</w:t>
            </w:r>
          </w:p>
        </w:tc>
        <w:tc>
          <w:tcPr>
            <w:tcW w:type="dxa" w:w="2880"/>
          </w:tcPr>
          <w:p>
            <w:r>
              <w:rPr>
                <w:b/>
              </w:rPr>
            </w:r>
            <w:r>
              <w:rPr>
                <w:rFonts w:ascii="Calibri" w:hAnsi="Calibri" w:eastAsia="PingFang SC"/>
                <w:b/>
              </w:rPr>
              <w:t>说明</w:t>
            </w:r>
          </w:p>
        </w:tc>
      </w:tr>
      <w:tr>
        <w:tc>
          <w:tcPr>
            <w:tcW w:type="dxa" w:w="2880"/>
          </w:tcPr>
          <w:p>
            <w:r/>
            <w:r>
              <w:rPr>
                <w:rFonts w:ascii="Calibri" w:hAnsi="Calibri" w:eastAsia="PingFang SC"/>
              </w:rPr>
              <w:t>TCO Benchmark Status</w:t>
            </w:r>
          </w:p>
        </w:tc>
        <w:tc>
          <w:tcPr>
            <w:tcW w:type="dxa" w:w="2880"/>
          </w:tcPr>
          <w:p>
            <w:r/>
            <w:r>
              <w:rPr>
                <w:rFonts w:ascii="Calibri" w:hAnsi="Calibri" w:eastAsia="PingFang SC"/>
              </w:rPr>
              <w:t>Reached</w:t>
            </w:r>
          </w:p>
        </w:tc>
        <w:tc>
          <w:tcPr>
            <w:tcW w:type="dxa" w:w="2880"/>
          </w:tcPr>
          <w:p>
            <w:r/>
            <w:r>
              <w:rPr>
                <w:rFonts w:ascii="Calibri" w:hAnsi="Calibri" w:eastAsia="PingFang SC"/>
              </w:rPr>
              <w:t>当 `Asset TCO &gt;= TCO Benchmark Cost`，表示已达到基准成本，需采取成本优化措施</w:t>
            </w:r>
          </w:p>
        </w:tc>
      </w:tr>
      <w:tr>
        <w:tc>
          <w:tcPr>
            <w:tcW w:type="dxa" w:w="2880"/>
          </w:tcPr>
          <w:p>
            <w:r/>
            <w:r>
              <w:rPr>
                <w:rFonts w:ascii="Calibri" w:hAnsi="Calibri" w:eastAsia="PingFang SC"/>
              </w:rPr>
              <w:t>TCO Benchmark Status</w:t>
            </w:r>
          </w:p>
        </w:tc>
        <w:tc>
          <w:tcPr>
            <w:tcW w:type="dxa" w:w="2880"/>
          </w:tcPr>
          <w:p>
            <w:r/>
            <w:r>
              <w:rPr>
                <w:rFonts w:ascii="Calibri" w:hAnsi="Calibri" w:eastAsia="PingFang SC"/>
              </w:rPr>
              <w:t>Approaching</w:t>
            </w:r>
          </w:p>
        </w:tc>
        <w:tc>
          <w:tcPr>
            <w:tcW w:type="dxa" w:w="2880"/>
          </w:tcPr>
          <w:p>
            <w:r/>
            <w:r>
              <w:rPr>
                <w:rFonts w:ascii="Calibri" w:hAnsi="Calibri" w:eastAsia="PingFang SC"/>
              </w:rPr>
              <w:t>当 `TCO Benchmark Threshold &lt;= Asset TCO &lt; TCO Benchmark Cost`，表示接近基准，需关注</w:t>
            </w:r>
          </w:p>
        </w:tc>
      </w:tr>
      <w:tr>
        <w:tc>
          <w:tcPr>
            <w:tcW w:type="dxa" w:w="2880"/>
          </w:tcPr>
          <w:p>
            <w:r/>
            <w:r>
              <w:rPr>
                <w:rFonts w:ascii="Calibri" w:hAnsi="Calibri" w:eastAsia="PingFang SC"/>
              </w:rPr>
              <w:t>TCO Benchmark Status</w:t>
            </w:r>
          </w:p>
        </w:tc>
        <w:tc>
          <w:tcPr>
            <w:tcW w:type="dxa" w:w="2880"/>
          </w:tcPr>
          <w:p>
            <w:r/>
            <w:r>
              <w:rPr>
                <w:rFonts w:ascii="Calibri" w:hAnsi="Calibri" w:eastAsia="PingFang SC"/>
              </w:rPr>
              <w:t>Not reached</w:t>
            </w:r>
          </w:p>
        </w:tc>
        <w:tc>
          <w:tcPr>
            <w:tcW w:type="dxa" w:w="2880"/>
          </w:tcPr>
          <w:p>
            <w:r/>
            <w:r>
              <w:rPr>
                <w:rFonts w:ascii="Calibri" w:hAnsi="Calibri" w:eastAsia="PingFang SC"/>
              </w:rPr>
              <w:t>当 `Asset TCO &lt; TCO Benchmark Threshold`，表示成本正常</w:t>
            </w:r>
          </w:p>
        </w:tc>
      </w:tr>
    </w:tbl>
    <w:p/>
    <w:p>
      <w:pPr>
        <w:pStyle w:val="Heading3"/>
      </w:pPr>
      <w:r>
        <w:rPr>
          <w:rFonts w:ascii="Calibri" w:hAnsi="Calibri" w:eastAsia="PingFang SC"/>
        </w:rPr>
      </w:r>
      <w:r>
        <w:rPr>
          <w:rFonts w:ascii="Calibri" w:hAnsi="Calibri" w:eastAsia="PingFang SC"/>
        </w:rPr>
        <w:t>3.3 Asset TCO 计算规则</w:t>
      </w:r>
    </w:p>
    <w:p>
      <w:pPr>
        <w:pStyle w:val="Heading4"/>
      </w:pPr>
      <w:r>
        <w:rPr>
          <w:rFonts w:ascii="Calibri" w:hAnsi="Calibri" w:eastAsia="PingFang SC"/>
        </w:rPr>
      </w:r>
      <w:r>
        <w:rPr>
          <w:rFonts w:ascii="Calibri" w:hAnsi="Calibri" w:eastAsia="PingFang SC"/>
        </w:rPr>
        <w:t>3.3.1 涉及到的表</w:t>
      </w:r>
    </w:p>
    <w:p>
      <w:pPr>
        <w:pStyle w:val="ListBullet"/>
      </w:pPr>
      <w:r>
        <w:rPr>
          <w:rFonts w:ascii="Calibri" w:hAnsi="Calibri" w:eastAsia="PingFang SC"/>
        </w:rPr>
        <w:t>`asset`（资产主表，含父子层级 Parent 引用）</w:t>
      </w:r>
    </w:p>
    <w:p>
      <w:pPr>
        <w:pStyle w:val="ListBullet"/>
      </w:pPr>
      <w:r>
        <w:rPr>
          <w:rFonts w:ascii="Calibri" w:hAnsi="Calibri" w:eastAsia="PingFang SC"/>
        </w:rPr>
        <w:t>`expense_line`（费用条目表，含 Amount、Parent、Type 字段）</w:t>
      </w:r>
    </w:p>
    <w:p>
      <w:pPr>
        <w:pStyle w:val="Heading4"/>
      </w:pPr>
      <w:r>
        <w:rPr>
          <w:rFonts w:ascii="Calibri" w:hAnsi="Calibri" w:eastAsia="PingFang SC"/>
        </w:rPr>
      </w:r>
      <w:r>
        <w:rPr>
          <w:rFonts w:ascii="Calibri" w:hAnsi="Calibri" w:eastAsia="PingFang SC"/>
        </w:rPr>
        <w:t>3.3.2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单资产成本</w:t>
            </w:r>
          </w:p>
        </w:tc>
        <w:tc>
          <w:tcPr>
            <w:tcW w:type="dxa" w:w="2880"/>
          </w:tcPr>
          <w:p>
            <w:r/>
            <w:r>
              <w:rPr>
                <w:rFonts w:ascii="Calibri" w:hAnsi="Calibri" w:eastAsia="PingFang SC"/>
              </w:rPr>
              <w:t>汇总与本资产关联、且 Expense line 中 Parent 为空的 Amount</w:t>
            </w:r>
          </w:p>
        </w:tc>
        <w:tc>
          <w:tcPr>
            <w:tcW w:type="dxa" w:w="2880"/>
          </w:tcPr>
          <w:p>
            <w:r/>
            <w:r>
              <w:rPr>
                <w:rFonts w:ascii="Calibri" w:hAnsi="Calibri" w:eastAsia="PingFang SC"/>
              </w:rPr>
              <w:t>得到资产的运营及购买成本</w:t>
            </w:r>
          </w:p>
        </w:tc>
      </w:tr>
      <w:tr>
        <w:tc>
          <w:tcPr>
            <w:tcW w:type="dxa" w:w="2880"/>
          </w:tcPr>
          <w:p>
            <w:r/>
            <w:r>
              <w:rPr>
                <w:rFonts w:ascii="Calibri" w:hAnsi="Calibri" w:eastAsia="PingFang SC"/>
              </w:rPr>
              <w:t>父子穿透</w:t>
            </w:r>
          </w:p>
        </w:tc>
        <w:tc>
          <w:tcPr>
            <w:tcW w:type="dxa" w:w="2880"/>
          </w:tcPr>
          <w:p>
            <w:r/>
            <w:r>
              <w:rPr>
                <w:rFonts w:ascii="Calibri" w:hAnsi="Calibri" w:eastAsia="PingFang SC"/>
              </w:rPr>
              <w:t>资产成本包含其所有子资产的费用条目</w:t>
            </w:r>
          </w:p>
        </w:tc>
        <w:tc>
          <w:tcPr>
            <w:tcW w:type="dxa" w:w="2880"/>
          </w:tcPr>
          <w:p>
            <w:r/>
            <w:r>
              <w:rPr>
                <w:rFonts w:ascii="Calibri" w:hAnsi="Calibri" w:eastAsia="PingFang SC"/>
              </w:rPr>
              <w:t>例如机柜 Asset TCO 包含服务器、交换机、SSD 硬盘成本</w:t>
            </w:r>
          </w:p>
        </w:tc>
      </w:tr>
      <w:tr>
        <w:tc>
          <w:tcPr>
            <w:tcW w:type="dxa" w:w="2880"/>
          </w:tcPr>
          <w:p>
            <w:r/>
            <w:r>
              <w:rPr>
                <w:rFonts w:ascii="Calibri" w:hAnsi="Calibri" w:eastAsia="PingFang SC"/>
              </w:rPr>
              <w:t>计算公式</w:t>
            </w:r>
          </w:p>
        </w:tc>
        <w:tc>
          <w:tcPr>
            <w:tcW w:type="dxa" w:w="2880"/>
          </w:tcPr>
          <w:p>
            <w:r/>
            <w:r>
              <w:rPr>
                <w:rFonts w:ascii="Calibri" w:hAnsi="Calibri" w:eastAsia="PingFang SC"/>
              </w:rPr>
              <w:t>Asset TCO = 本资产 Expense line(Parent 为空) Amount 之和 + 子资产 Expense line(Parent 为空) Amount 之和</w:t>
            </w:r>
          </w:p>
        </w:tc>
        <w:tc>
          <w:tcPr>
            <w:tcW w:type="dxa" w:w="2880"/>
          </w:tcPr>
          <w:p>
            <w:r/>
            <w:r>
              <w:rPr>
                <w:rFonts w:ascii="Calibri" w:hAnsi="Calibri" w:eastAsia="PingFang SC"/>
              </w:rPr>
              <w:t>逐层向下汇总</w:t>
            </w:r>
          </w:p>
        </w:tc>
      </w:tr>
      <w:tr>
        <w:tc>
          <w:tcPr>
            <w:tcW w:type="dxa" w:w="2880"/>
          </w:tcPr>
          <w:p>
            <w:r/>
            <w:r>
              <w:rPr>
                <w:rFonts w:ascii="Calibri" w:hAnsi="Calibri" w:eastAsia="PingFang SC"/>
              </w:rPr>
              <w:t>One-time/Recurring 汇总</w:t>
            </w:r>
          </w:p>
        </w:tc>
        <w:tc>
          <w:tcPr>
            <w:tcW w:type="dxa" w:w="2880"/>
          </w:tcPr>
          <w:p>
            <w:r/>
            <w:r>
              <w:rPr>
                <w:rFonts w:ascii="Calibri" w:hAnsi="Calibri" w:eastAsia="PingFang SC"/>
              </w:rPr>
              <w:t>父资产 One-time = 父资产 cost + 所有子资产 cost；父资产 Recurring = 父资产 Recurring + 所有子资产 Recurring</w:t>
            </w:r>
          </w:p>
        </w:tc>
        <w:tc>
          <w:tcPr>
            <w:tcW w:type="dxa" w:w="2880"/>
          </w:tcPr>
          <w:p>
            <w:r/>
            <w:r>
              <w:rPr>
                <w:rFonts w:ascii="Calibri" w:hAnsi="Calibri" w:eastAsia="PingFang SC"/>
              </w:rPr>
              <w:t>在 Asset TCO 柱状图中以不同颜色区分 One-time 与 Recurring</w:t>
            </w:r>
          </w:p>
        </w:tc>
      </w:tr>
    </w:tbl>
    <w:p/>
    <w:p>
      <w:pPr>
        <w:pStyle w:val="Heading4"/>
      </w:pPr>
      <w:r>
        <w:rPr>
          <w:rFonts w:ascii="Calibri" w:hAnsi="Calibri" w:eastAsia="PingFang SC"/>
        </w:rPr>
      </w:r>
      <w:r>
        <w:rPr>
          <w:rFonts w:ascii="Calibri" w:hAnsi="Calibri" w:eastAsia="PingFang SC"/>
        </w:rPr>
        <w:t>3.3.3 计算完整举例</w:t>
      </w:r>
    </w:p>
    <w:p>
      <w:pPr>
        <w:ind w:left="360"/>
      </w:pPr>
      <w:r>
        <w:rPr>
          <w:rFonts w:ascii="Calibri" w:hAnsi="Calibri" w:eastAsia="PingFang SC"/>
          <w:color w:val="8C8C8C"/>
        </w:rPr>
        <w:t xml:space="preserve">▍ </w:t>
      </w:r>
      <w:r>
        <w:rPr>
          <w:rFonts w:ascii="Calibri" w:hAnsi="Calibri" w:eastAsia="PingFang SC"/>
        </w:rPr>
        <w:t>场景：asset A 下包含子资产 a1、a2、a3，a1 下包含子资产 a12。购买资产对应 cost 分别为 cost A、cost a1、cost a2、cost a3、cost a12。流程分别执行过：将 A 从某库房移动到另一库房花费 200¥；将 a1 处置卖出 100¥。</w:t>
      </w:r>
    </w:p>
    <w:p>
      <w:pPr>
        <w:ind w:left="360"/>
      </w:pPr>
      <w:r>
        <w:rPr>
          <w:rFonts w:ascii="Calibri" w:hAnsi="Calibri" w:eastAsia="PingFang SC"/>
          <w:color w:val="8C8C8C"/>
        </w:rPr>
        <w:t xml:space="preserve">▍ </w:t>
      </w:r>
      <w:r>
        <w:rPr>
          <w:rFonts w:ascii="Calibri" w:hAnsi="Calibri" w:eastAsia="PingFang SC"/>
        </w:rPr>
        <w:t>- asset A 的 Expense line 有两条：cost A、移动任务 +200¥；</w:t>
      </w:r>
    </w:p>
    <w:p>
      <w:pPr>
        <w:ind w:left="360"/>
      </w:pPr>
      <w:r>
        <w:rPr>
          <w:rFonts w:ascii="Calibri" w:hAnsi="Calibri" w:eastAsia="PingFang SC"/>
          <w:color w:val="8C8C8C"/>
        </w:rPr>
        <w:t xml:space="preserve">▍ </w:t>
      </w:r>
      <w:r>
        <w:rPr>
          <w:rFonts w:ascii="Calibri" w:hAnsi="Calibri" w:eastAsia="PingFang SC"/>
        </w:rPr>
        <w:t>- asset a1 的 Expense line 有两条：cost a1、处置任务 -100¥；</w:t>
      </w:r>
    </w:p>
    <w:p>
      <w:pPr>
        <w:ind w:left="360"/>
      </w:pPr>
      <w:r>
        <w:rPr>
          <w:rFonts w:ascii="Calibri" w:hAnsi="Calibri" w:eastAsia="PingFang SC"/>
          <w:color w:val="8C8C8C"/>
        </w:rPr>
        <w:t xml:space="preserve">▍ </w:t>
      </w:r>
      <w:r>
        <w:rPr>
          <w:rFonts w:ascii="Calibri" w:hAnsi="Calibri" w:eastAsia="PingFang SC"/>
        </w:rPr>
        <w:t>- 以上记录的 Parent 均为空。</w:t>
      </w:r>
    </w:p>
    <w:p>
      <w:pPr>
        <w:ind w:left="360"/>
      </w:pPr>
      <w:r>
        <w:rPr>
          <w:rFonts w:ascii="Calibri" w:hAnsi="Calibri" w:eastAsia="PingFang SC"/>
          <w:color w:val="8C8C8C"/>
        </w:rPr>
        <w:t xml:space="preserve">▍ </w:t>
      </w:r>
      <w:r>
        <w:rPr>
          <w:rFonts w:ascii="Calibri" w:hAnsi="Calibri" w:eastAsia="PingFang SC"/>
        </w:rPr>
        <w:t xml:space="preserve">- </w:t>
      </w:r>
      <w:r>
        <w:rPr>
          <w:rFonts w:ascii="Calibri" w:hAnsi="Calibri" w:eastAsia="PingFang SC"/>
          <w:b/>
        </w:rPr>
        <w:t>asset A 的 Asset TCO = cost A + 200 + cost a1 - 100 + cost a3 + cost a12 + cost a2</w:t>
      </w:r>
    </w:p>
    <w:p>
      <w:pPr>
        <w:pStyle w:val="Heading3"/>
      </w:pPr>
      <w:r>
        <w:rPr>
          <w:rFonts w:ascii="Calibri" w:hAnsi="Calibri" w:eastAsia="PingFang SC"/>
        </w:rPr>
      </w:r>
      <w:r>
        <w:rPr>
          <w:rFonts w:ascii="Calibri" w:hAnsi="Calibri" w:eastAsia="PingFang SC"/>
        </w:rPr>
        <w:t>3.4 流程节点 Expense line 自动生成规则</w:t>
      </w:r>
    </w:p>
    <w:p>
      <w:pPr>
        <w:pStyle w:val="Heading4"/>
      </w:pPr>
      <w:r>
        <w:rPr>
          <w:rFonts w:ascii="Calibri" w:hAnsi="Calibri" w:eastAsia="PingFang SC"/>
        </w:rPr>
      </w:r>
      <w:r>
        <w:rPr>
          <w:rFonts w:ascii="Calibri" w:hAnsi="Calibri" w:eastAsia="PingFang SC"/>
        </w:rPr>
        <w:t>3.4.1 涉及到的表</w:t>
      </w:r>
    </w:p>
    <w:p>
      <w:pPr>
        <w:pStyle w:val="ListBullet"/>
      </w:pPr>
      <w:r>
        <w:rPr>
          <w:rFonts w:ascii="Calibri" w:hAnsi="Calibri" w:eastAsia="PingFang SC"/>
        </w:rPr>
        <w:t>`expense_line`（费用条目表）</w:t>
      </w:r>
    </w:p>
    <w:p>
      <w:pPr>
        <w:pStyle w:val="ListBullet"/>
      </w:pPr>
      <w:r>
        <w:rPr>
          <w:rFonts w:ascii="Calibri" w:hAnsi="Calibri" w:eastAsia="PingFang SC"/>
        </w:rPr>
        <w:t>`labor_rate_card`（人工费率卡表，工时计费引用）</w:t>
      </w:r>
    </w:p>
    <w:p>
      <w:pPr>
        <w:pStyle w:val="ListBullet"/>
      </w:pPr>
      <w:r>
        <w:rPr>
          <w:rFonts w:ascii="Calibri" w:hAnsi="Calibri" w:eastAsia="PingFang SC"/>
        </w:rPr>
        <w:t>`task_rate_card`（任务费率卡表，固定/兜底费率引用）</w:t>
      </w:r>
    </w:p>
    <w:p>
      <w:pPr>
        <w:pStyle w:val="ListBullet"/>
      </w:pPr>
      <w:r>
        <w:rPr>
          <w:rFonts w:ascii="Calibri" w:hAnsi="Calibri" w:eastAsia="PingFang SC"/>
        </w:rPr>
        <w:t>`asset`（资产主表，费用挂载对象）</w:t>
      </w:r>
    </w:p>
    <w:p>
      <w:pPr>
        <w:pStyle w:val="Heading4"/>
      </w:pPr>
      <w:r>
        <w:rPr>
          <w:rFonts w:ascii="Calibri" w:hAnsi="Calibri" w:eastAsia="PingFang SC"/>
        </w:rPr>
      </w:r>
      <w:r>
        <w:rPr>
          <w:rFonts w:ascii="Calibri" w:hAnsi="Calibri" w:eastAsia="PingFang SC"/>
        </w:rPr>
        <w:t>3.4.2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节点费用生成</w:t>
            </w:r>
          </w:p>
        </w:tc>
        <w:tc>
          <w:tcPr>
            <w:tcW w:type="dxa" w:w="2880"/>
          </w:tcPr>
          <w:p>
            <w:r/>
            <w:r>
              <w:rPr>
                <w:rFonts w:ascii="Calibri" w:hAnsi="Calibri" w:eastAsia="PingFang SC"/>
              </w:rPr>
              <w:t>资产涉及的流程节点被完成时，计算该节点产生的费用并挂在对应资产下</w:t>
            </w:r>
          </w:p>
        </w:tc>
        <w:tc>
          <w:tcPr>
            <w:tcW w:type="dxa" w:w="2880"/>
          </w:tcPr>
          <w:p>
            <w:r/>
            <w:r>
              <w:rPr>
                <w:rFonts w:ascii="Calibri" w:hAnsi="Calibri" w:eastAsia="PingFang SC"/>
              </w:rPr>
              <w:t>触发条件：DOSM 流程节点完成</w:t>
            </w:r>
          </w:p>
        </w:tc>
      </w:tr>
      <w:tr>
        <w:tc>
          <w:tcPr>
            <w:tcW w:type="dxa" w:w="2880"/>
          </w:tcPr>
          <w:p>
            <w:r/>
            <w:r>
              <w:rPr>
                <w:rFonts w:ascii="Calibri" w:hAnsi="Calibri" w:eastAsia="PingFang SC"/>
              </w:rPr>
              <w:t>多资产分摊</w:t>
            </w:r>
          </w:p>
        </w:tc>
        <w:tc>
          <w:tcPr>
            <w:tcW w:type="dxa" w:w="2880"/>
          </w:tcPr>
          <w:p>
            <w:r/>
            <w:r>
              <w:rPr>
                <w:rFonts w:ascii="Calibri" w:hAnsi="Calibri" w:eastAsia="PingFang SC"/>
              </w:rPr>
              <w:t>若一个节点费用涉及多个资产</w:t>
            </w:r>
          </w:p>
        </w:tc>
        <w:tc>
          <w:tcPr>
            <w:tcW w:type="dxa" w:w="2880"/>
          </w:tcPr>
          <w:p>
            <w:r/>
            <w:r>
              <w:rPr>
                <w:rFonts w:ascii="Calibri" w:hAnsi="Calibri" w:eastAsia="PingFang SC"/>
              </w:rPr>
              <w:t>按「总费用 / 资产数量」得到单个资产的费用</w:t>
            </w:r>
          </w:p>
        </w:tc>
      </w:tr>
      <w:tr>
        <w:tc>
          <w:tcPr>
            <w:tcW w:type="dxa" w:w="2880"/>
          </w:tcPr>
          <w:p>
            <w:r/>
            <w:r>
              <w:rPr>
                <w:rFonts w:ascii="Calibri" w:hAnsi="Calibri" w:eastAsia="PingFang SC"/>
              </w:rPr>
              <w:t>人工费率优先级</w:t>
            </w:r>
          </w:p>
        </w:tc>
        <w:tc>
          <w:tcPr>
            <w:tcW w:type="dxa" w:w="2880"/>
          </w:tcPr>
          <w:p>
            <w:r/>
            <w:r>
              <w:rPr>
                <w:rFonts w:ascii="Calibri" w:hAnsi="Calibri" w:eastAsia="PingFang SC"/>
              </w:rPr>
              <w:t>计算费用时若执行人关联的单小时费用有多条记录</w:t>
            </w:r>
          </w:p>
        </w:tc>
        <w:tc>
          <w:tcPr>
            <w:tcW w:type="dxa" w:w="2880"/>
          </w:tcPr>
          <w:p>
            <w:r/>
            <w:r>
              <w:rPr>
                <w:rFonts w:ascii="Calibri" w:hAnsi="Calibri" w:eastAsia="PingFang SC"/>
              </w:rPr>
              <w:t>以人工费率卡定义中 Order 小的为准</w:t>
            </w:r>
          </w:p>
        </w:tc>
      </w:tr>
      <w:tr>
        <w:tc>
          <w:tcPr>
            <w:tcW w:type="dxa" w:w="2880"/>
          </w:tcPr>
          <w:p>
            <w:r/>
            <w:r>
              <w:rPr>
                <w:rFonts w:ascii="Calibri" w:hAnsi="Calibri" w:eastAsia="PingFang SC"/>
              </w:rPr>
              <w:t>人工费率兜底</w:t>
            </w:r>
          </w:p>
        </w:tc>
        <w:tc>
          <w:tcPr>
            <w:tcW w:type="dxa" w:w="2880"/>
          </w:tcPr>
          <w:p>
            <w:r/>
            <w:r>
              <w:rPr>
                <w:rFonts w:ascii="Calibri" w:hAnsi="Calibri" w:eastAsia="PingFang SC"/>
              </w:rPr>
              <w:t>若执行人未定义人工费率卡</w:t>
            </w:r>
          </w:p>
        </w:tc>
        <w:tc>
          <w:tcPr>
            <w:tcW w:type="dxa" w:w="2880"/>
          </w:tcPr>
          <w:p>
            <w:r/>
            <w:r>
              <w:rPr>
                <w:rFonts w:ascii="Calibri" w:hAnsi="Calibri" w:eastAsia="PingFang SC"/>
              </w:rPr>
              <w:t>以任务节点费率卡中的 Default rate card 为准（兜底）</w:t>
            </w:r>
          </w:p>
        </w:tc>
      </w:tr>
      <w:tr>
        <w:tc>
          <w:tcPr>
            <w:tcW w:type="dxa" w:w="2880"/>
          </w:tcPr>
          <w:p>
            <w:r/>
            <w:r>
              <w:rPr>
                <w:rFonts w:ascii="Calibri" w:hAnsi="Calibri" w:eastAsia="PingFang SC"/>
              </w:rPr>
              <w:t>固定节点费用优先级</w:t>
            </w:r>
          </w:p>
        </w:tc>
        <w:tc>
          <w:tcPr>
            <w:tcW w:type="dxa" w:w="2880"/>
          </w:tcPr>
          <w:p>
            <w:r/>
            <w:r>
              <w:rPr>
                <w:rFonts w:ascii="Calibri" w:hAnsi="Calibri" w:eastAsia="PingFang SC"/>
              </w:rPr>
              <w:t>计算费用时若关联到的固定节点费用有多条记录</w:t>
            </w:r>
          </w:p>
        </w:tc>
        <w:tc>
          <w:tcPr>
            <w:tcW w:type="dxa" w:w="2880"/>
          </w:tcPr>
          <w:p>
            <w:r/>
            <w:r>
              <w:rPr>
                <w:rFonts w:ascii="Calibri" w:hAnsi="Calibri" w:eastAsia="PingFang SC"/>
              </w:rPr>
              <w:t>以任务定义中 Order 小的为准</w:t>
            </w:r>
          </w:p>
        </w:tc>
      </w:tr>
      <w:tr>
        <w:tc>
          <w:tcPr>
            <w:tcW w:type="dxa" w:w="2880"/>
          </w:tcPr>
          <w:p>
            <w:r/>
            <w:r>
              <w:rPr>
                <w:rFonts w:ascii="Calibri" w:hAnsi="Calibri" w:eastAsia="PingFang SC"/>
              </w:rPr>
              <w:t>时长取整</w:t>
            </w:r>
          </w:p>
        </w:tc>
        <w:tc>
          <w:tcPr>
            <w:tcW w:type="dxa" w:w="2880"/>
          </w:tcPr>
          <w:p>
            <w:r/>
            <w:r>
              <w:rPr>
                <w:rFonts w:ascii="Calibri" w:hAnsi="Calibri" w:eastAsia="PingFang SC"/>
              </w:rPr>
              <w:t>获取 DOSM 提供的时长后，采用向上取整计算消耗小时数</w:t>
            </w:r>
          </w:p>
        </w:tc>
        <w:tc>
          <w:tcPr>
            <w:tcW w:type="dxa" w:w="2880"/>
          </w:tcPr>
          <w:p>
            <w:r/>
            <w:r>
              <w:rPr>
                <w:rFonts w:ascii="Calibri" w:hAnsi="Calibri" w:eastAsia="PingFang SC"/>
              </w:rPr>
              <w:t>例如 3.12 小时向上取整为 4 小时</w:t>
            </w:r>
          </w:p>
        </w:tc>
      </w:tr>
      <w:tr>
        <w:tc>
          <w:tcPr>
            <w:tcW w:type="dxa" w:w="2880"/>
          </w:tcPr>
          <w:p>
            <w:r/>
            <w:r>
              <w:rPr>
                <w:rFonts w:ascii="Calibri" w:hAnsi="Calibri" w:eastAsia="PingFang SC"/>
              </w:rPr>
              <w:t>Type 归类</w:t>
            </w:r>
          </w:p>
        </w:tc>
        <w:tc>
          <w:tcPr>
            <w:tcW w:type="dxa" w:w="2880"/>
          </w:tcPr>
          <w:p>
            <w:r/>
            <w:r>
              <w:rPr>
                <w:rFonts w:ascii="Calibri" w:hAnsi="Calibri" w:eastAsia="PingFang SC"/>
              </w:rPr>
              <w:t>由 cost 生成的费用条目 Type=One-time；其他类型费用 Type=Recurring</w:t>
            </w:r>
          </w:p>
        </w:tc>
        <w:tc>
          <w:tcPr>
            <w:tcW w:type="dxa" w:w="2880"/>
          </w:tcPr>
          <w:p>
            <w:r/>
            <w:r>
              <w:rPr>
                <w:rFonts w:ascii="Calibri" w:hAnsi="Calibri" w:eastAsia="PingFang SC"/>
              </w:rPr>
              <w:t>在 Asset TCO 柱状图中用不同颜色表征</w:t>
            </w:r>
          </w:p>
        </w:tc>
      </w:tr>
      <w:tr>
        <w:tc>
          <w:tcPr>
            <w:tcW w:type="dxa" w:w="2880"/>
          </w:tcPr>
          <w:p>
            <w:r/>
            <w:r>
              <w:rPr>
                <w:rFonts w:ascii="Calibri" w:hAnsi="Calibri" w:eastAsia="PingFang SC"/>
              </w:rPr>
              <w:t>Task 字段展示与跳转</w:t>
            </w:r>
          </w:p>
        </w:tc>
        <w:tc>
          <w:tcPr>
            <w:tcW w:type="dxa" w:w="2880"/>
          </w:tcPr>
          <w:p>
            <w:r/>
            <w:r>
              <w:rPr>
                <w:rFonts w:ascii="Calibri" w:hAnsi="Calibri" w:eastAsia="PingFang SC"/>
              </w:rPr>
              <w:t>自动生成费用条目时，Task 字段展示「任务名称+节点名称」，并保存 DOSM 同步的工单 ID</w:t>
            </w:r>
          </w:p>
        </w:tc>
        <w:tc>
          <w:tcPr>
            <w:tcW w:type="dxa" w:w="2880"/>
          </w:tcPr>
          <w:p>
            <w:r/>
            <w:r>
              <w:rPr>
                <w:rFonts w:ascii="Calibri" w:hAnsi="Calibri" w:eastAsia="PingFang SC"/>
              </w:rPr>
              <w:t>Task 可点击，点击后进入对应流程任务；DOSM 当前仅能跳转至工单且显示当前节点</w:t>
            </w:r>
          </w:p>
        </w:tc>
      </w:tr>
    </w:tbl>
    <w:p/>
    <w:p>
      <w:pPr>
        <w:pStyle w:val="Heading4"/>
      </w:pPr>
      <w:r>
        <w:rPr>
          <w:rFonts w:ascii="Calibri" w:hAnsi="Calibri" w:eastAsia="PingFang SC"/>
        </w:rPr>
      </w:r>
      <w:r>
        <w:rPr>
          <w:rFonts w:ascii="Calibri" w:hAnsi="Calibri" w:eastAsia="PingFang SC"/>
        </w:rPr>
        <w:t>3.4.3 字段说明（自动生成的 Expense line 关键字段）</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字段名</w:t>
            </w:r>
          </w:p>
        </w:tc>
        <w:tc>
          <w:tcPr>
            <w:tcW w:type="dxa" w:w="2160"/>
          </w:tcPr>
          <w:p>
            <w:r>
              <w:rPr>
                <w:b/>
              </w:rPr>
            </w:r>
            <w:r>
              <w:rPr>
                <w:rFonts w:ascii="Calibri" w:hAnsi="Calibri" w:eastAsia="PingFang SC"/>
                <w:b/>
              </w:rPr>
              <w:t>数据类型</w:t>
            </w:r>
          </w:p>
        </w:tc>
        <w:tc>
          <w:tcPr>
            <w:tcW w:type="dxa" w:w="2160"/>
          </w:tcPr>
          <w:p>
            <w:r>
              <w:rPr>
                <w:b/>
              </w:rPr>
            </w:r>
            <w:r>
              <w:rPr>
                <w:rFonts w:ascii="Calibri" w:hAnsi="Calibri" w:eastAsia="PingFang SC"/>
                <w:b/>
              </w:rPr>
              <w:t>长度</w:t>
            </w:r>
          </w:p>
        </w:tc>
        <w:tc>
          <w:tcPr>
            <w:tcW w:type="dxa" w:w="2160"/>
          </w:tcPr>
          <w:p>
            <w:r>
              <w:rPr>
                <w:b/>
              </w:rPr>
            </w:r>
            <w:r>
              <w:rPr>
                <w:rFonts w:ascii="Calibri" w:hAnsi="Calibri" w:eastAsia="PingFang SC"/>
                <w:b/>
              </w:rPr>
              <w:t>备注说明</w:t>
            </w:r>
          </w:p>
        </w:tc>
      </w:tr>
      <w:tr>
        <w:tc>
          <w:tcPr>
            <w:tcW w:type="dxa" w:w="2160"/>
          </w:tcPr>
          <w:p>
            <w:r/>
            <w:r>
              <w:rPr>
                <w:rFonts w:ascii="Calibri" w:hAnsi="Calibri" w:eastAsia="PingFang SC"/>
              </w:rPr>
              <w:t>Amount</w:t>
            </w:r>
          </w:p>
        </w:tc>
        <w:tc>
          <w:tcPr>
            <w:tcW w:type="dxa" w:w="2160"/>
          </w:tcPr>
          <w:p>
            <w:r/>
            <w:r>
              <w:rPr>
                <w:rFonts w:ascii="Calibri" w:hAnsi="Calibri" w:eastAsia="PingFang SC"/>
              </w:rPr>
              <w:t>Currency</w:t>
            </w:r>
          </w:p>
        </w:tc>
        <w:tc>
          <w:tcPr>
            <w:tcW w:type="dxa" w:w="2160"/>
          </w:tcPr>
          <w:p>
            <w:r/>
            <w:r>
              <w:rPr>
                <w:rFonts w:ascii="Calibri" w:hAnsi="Calibri" w:eastAsia="PingFang SC"/>
              </w:rPr>
              <w:t>20</w:t>
            </w:r>
          </w:p>
        </w:tc>
        <w:tc>
          <w:tcPr>
            <w:tcW w:type="dxa" w:w="2160"/>
          </w:tcPr>
          <w:p>
            <w:r/>
            <w:r>
              <w:rPr>
                <w:rFonts w:ascii="Calibri" w:hAnsi="Calibri" w:eastAsia="PingFang SC"/>
              </w:rPr>
              <w:t>节点产生的费用金额，多资产时为总费用/资产数量</w:t>
            </w:r>
          </w:p>
        </w:tc>
      </w:tr>
      <w:tr>
        <w:tc>
          <w:tcPr>
            <w:tcW w:type="dxa" w:w="2160"/>
          </w:tcPr>
          <w:p>
            <w:r/>
            <w:r>
              <w:rPr>
                <w:rFonts w:ascii="Calibri" w:hAnsi="Calibri" w:eastAsia="PingFang SC"/>
              </w:rPr>
              <w:t>Type</w:t>
            </w:r>
          </w:p>
        </w:tc>
        <w:tc>
          <w:tcPr>
            <w:tcW w:type="dxa" w:w="2160"/>
          </w:tcPr>
          <w:p>
            <w:r/>
            <w:r>
              <w:rPr>
                <w:rFonts w:ascii="Calibri" w:hAnsi="Calibri" w:eastAsia="PingFang SC"/>
              </w:rPr>
              <w:t>VARCHAR</w:t>
            </w:r>
          </w:p>
        </w:tc>
        <w:tc>
          <w:tcPr>
            <w:tcW w:type="dxa" w:w="2160"/>
          </w:tcPr>
          <w:p>
            <w:r/>
            <w:r>
              <w:rPr>
                <w:rFonts w:ascii="Calibri" w:hAnsi="Calibri" w:eastAsia="PingFang SC"/>
              </w:rPr>
              <w:t>40</w:t>
            </w:r>
          </w:p>
        </w:tc>
        <w:tc>
          <w:tcPr>
            <w:tcW w:type="dxa" w:w="2160"/>
          </w:tcPr>
          <w:p>
            <w:r/>
            <w:r>
              <w:rPr>
                <w:rFonts w:ascii="Calibri" w:hAnsi="Calibri" w:eastAsia="PingFang SC"/>
              </w:rPr>
              <w:t>One-time / Recurring；由 cost 生成的为 One-time</w:t>
            </w:r>
          </w:p>
        </w:tc>
      </w:tr>
      <w:tr>
        <w:tc>
          <w:tcPr>
            <w:tcW w:type="dxa" w:w="2160"/>
          </w:tcPr>
          <w:p>
            <w:r/>
            <w:r>
              <w:rPr>
                <w:rFonts w:ascii="Calibri" w:hAnsi="Calibri" w:eastAsia="PingFang SC"/>
              </w:rPr>
              <w:t>Task</w:t>
            </w:r>
          </w:p>
        </w:tc>
        <w:tc>
          <w:tcPr>
            <w:tcW w:type="dxa" w:w="2160"/>
          </w:tcPr>
          <w:p>
            <w:r/>
            <w:r>
              <w:rPr>
                <w:rFonts w:ascii="Calibri" w:hAnsi="Calibri" w:eastAsia="PingFang SC"/>
              </w:rPr>
              <w:t>VARCHAR</w:t>
            </w:r>
          </w:p>
        </w:tc>
        <w:tc>
          <w:tcPr>
            <w:tcW w:type="dxa" w:w="2160"/>
          </w:tcPr>
          <w:p>
            <w:r/>
            <w:r>
              <w:rPr>
                <w:rFonts w:ascii="Calibri" w:hAnsi="Calibri" w:eastAsia="PingFang SC"/>
              </w:rPr>
              <w:t>200</w:t>
            </w:r>
          </w:p>
        </w:tc>
        <w:tc>
          <w:tcPr>
            <w:tcW w:type="dxa" w:w="2160"/>
          </w:tcPr>
          <w:p>
            <w:r/>
            <w:r>
              <w:rPr>
                <w:rFonts w:ascii="Calibri" w:hAnsi="Calibri" w:eastAsia="PingFang SC"/>
              </w:rPr>
              <w:t>展示「任务名称+节点名称」，可点击跳转至 DOSM 工单</w:t>
            </w:r>
          </w:p>
        </w:tc>
      </w:tr>
      <w:tr>
        <w:tc>
          <w:tcPr>
            <w:tcW w:type="dxa" w:w="2160"/>
          </w:tcPr>
          <w:p>
            <w:r/>
            <w:r>
              <w:rPr>
                <w:rFonts w:ascii="Calibri" w:hAnsi="Calibri" w:eastAsia="PingFang SC"/>
              </w:rPr>
              <w:t>DOSM 工单 ID</w:t>
            </w:r>
          </w:p>
        </w:tc>
        <w:tc>
          <w:tcPr>
            <w:tcW w:type="dxa" w:w="2160"/>
          </w:tcPr>
          <w:p>
            <w:r/>
            <w:r>
              <w:rPr>
                <w:rFonts w:ascii="Calibri" w:hAnsi="Calibri" w:eastAsia="PingFang SC"/>
              </w:rPr>
              <w:t>VARCHAR</w:t>
            </w:r>
          </w:p>
        </w:tc>
        <w:tc>
          <w:tcPr>
            <w:tcW w:type="dxa" w:w="2160"/>
          </w:tcPr>
          <w:p>
            <w:r/>
            <w:r>
              <w:rPr>
                <w:rFonts w:ascii="Calibri" w:hAnsi="Calibri" w:eastAsia="PingFang SC"/>
              </w:rPr>
              <w:t>40</w:t>
            </w:r>
          </w:p>
        </w:tc>
        <w:tc>
          <w:tcPr>
            <w:tcW w:type="dxa" w:w="2160"/>
          </w:tcPr>
          <w:p>
            <w:r/>
            <w:r>
              <w:rPr>
                <w:rFonts w:ascii="Calibri" w:hAnsi="Calibri" w:eastAsia="PingFang SC"/>
              </w:rPr>
              <w:t>DOSM 同步的工单唯一标识，用于跳转与追溯</w:t>
            </w:r>
          </w:p>
        </w:tc>
      </w:tr>
      <w:tr>
        <w:tc>
          <w:tcPr>
            <w:tcW w:type="dxa" w:w="2160"/>
          </w:tcPr>
          <w:p>
            <w:r/>
            <w:r>
              <w:rPr>
                <w:rFonts w:ascii="Calibri" w:hAnsi="Calibri" w:eastAsia="PingFang SC"/>
              </w:rPr>
              <w:t>Parent</w:t>
            </w:r>
          </w:p>
        </w:tc>
        <w:tc>
          <w:tcPr>
            <w:tcW w:type="dxa" w:w="2160"/>
          </w:tcPr>
          <w:p>
            <w:r/>
            <w:r>
              <w:rPr>
                <w:rFonts w:ascii="Calibri" w:hAnsi="Calibri" w:eastAsia="PingFang SC"/>
              </w:rPr>
              <w:t>VARCHAR</w:t>
            </w:r>
          </w:p>
        </w:tc>
        <w:tc>
          <w:tcPr>
            <w:tcW w:type="dxa" w:w="2160"/>
          </w:tcPr>
          <w:p>
            <w:r/>
            <w:r>
              <w:rPr>
                <w:rFonts w:ascii="Calibri" w:hAnsi="Calibri" w:eastAsia="PingFang SC"/>
              </w:rPr>
              <w:t>32</w:t>
            </w:r>
          </w:p>
        </w:tc>
        <w:tc>
          <w:tcPr>
            <w:tcW w:type="dxa" w:w="2160"/>
          </w:tcPr>
          <w:p>
            <w:r/>
            <w:r>
              <w:rPr>
                <w:rFonts w:ascii="Calibri" w:hAnsi="Calibri" w:eastAsia="PingFang SC"/>
              </w:rPr>
              <w:t>费用条目父级引用，为空的条目参与 Asset TCO 汇总</w:t>
            </w:r>
          </w:p>
        </w:tc>
      </w:tr>
    </w:tbl>
    <w:p/>
    <w:p>
      <w:pPr>
        <w:pStyle w:val="Heading3"/>
      </w:pPr>
      <w:r>
        <w:rPr>
          <w:rFonts w:ascii="Calibri" w:hAnsi="Calibri" w:eastAsia="PingFang SC"/>
        </w:rPr>
      </w:r>
      <w:r>
        <w:rPr>
          <w:rFonts w:ascii="Calibri" w:hAnsi="Calibri" w:eastAsia="PingFang SC"/>
        </w:rPr>
        <w:t>3.5 TCO 看板报表（资产洞察）</w:t>
      </w:r>
    </w:p>
    <w:p>
      <w:pPr>
        <w:pStyle w:val="Heading4"/>
      </w:pPr>
      <w:r>
        <w:rPr>
          <w:rFonts w:ascii="Calibri" w:hAnsi="Calibri" w:eastAsia="PingFang SC"/>
        </w:rPr>
      </w:r>
      <w:r>
        <w:rPr>
          <w:rFonts w:ascii="Calibri" w:hAnsi="Calibri" w:eastAsia="PingFang SC"/>
        </w:rPr>
        <w:t>3.5.1 报表清单（参考 ServiceNow HAM）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报表名称</w:t>
            </w:r>
          </w:p>
        </w:tc>
        <w:tc>
          <w:tcPr>
            <w:tcW w:type="dxa" w:w="2160"/>
          </w:tcPr>
          <w:p>
            <w:r>
              <w:rPr>
                <w:b/>
              </w:rPr>
            </w:r>
            <w:r>
              <w:rPr>
                <w:rFonts w:ascii="Calibri" w:hAnsi="Calibri" w:eastAsia="PingFang SC"/>
                <w:b/>
              </w:rPr>
              <w:t>样式</w:t>
            </w:r>
          </w:p>
        </w:tc>
        <w:tc>
          <w:tcPr>
            <w:tcW w:type="dxa" w:w="2160"/>
          </w:tcPr>
          <w:p>
            <w:r>
              <w:rPr>
                <w:b/>
              </w:rPr>
            </w:r>
            <w:r>
              <w:rPr>
                <w:rFonts w:ascii="Calibri" w:hAnsi="Calibri" w:eastAsia="PingFang SC"/>
                <w:b/>
              </w:rPr>
              <w:t>描述</w:t>
            </w:r>
          </w:p>
        </w:tc>
        <w:tc>
          <w:tcPr>
            <w:tcW w:type="dxa" w:w="2160"/>
          </w:tcPr>
          <w:p>
            <w:r>
              <w:rPr>
                <w:b/>
              </w:rPr>
            </w:r>
            <w:r>
              <w:rPr>
                <w:rFonts w:ascii="Calibri" w:hAnsi="Calibri" w:eastAsia="PingFang SC"/>
                <w:b/>
              </w:rPr>
              <w:t>适用范围</w:t>
            </w:r>
          </w:p>
        </w:tc>
      </w:tr>
      <w:tr>
        <w:tc>
          <w:tcPr>
            <w:tcW w:type="dxa" w:w="2160"/>
          </w:tcPr>
          <w:p>
            <w:r/>
            <w:r>
              <w:rPr>
                <w:rFonts w:ascii="Calibri" w:hAnsi="Calibri" w:eastAsia="PingFang SC"/>
              </w:rPr>
              <w:t>达到 TCO 基准成本（Reached benchmark TCO）</w:t>
            </w:r>
          </w:p>
        </w:tc>
        <w:tc>
          <w:tcPr>
            <w:tcW w:type="dxa" w:w="2160"/>
          </w:tcPr>
          <w:p>
            <w:r/>
            <w:r>
              <w:rPr>
                <w:rFonts w:ascii="Calibri" w:hAnsi="Calibri" w:eastAsia="PingFang SC"/>
              </w:rPr>
              <w:t>概要数字</w:t>
            </w:r>
          </w:p>
        </w:tc>
        <w:tc>
          <w:tcPr>
            <w:tcW w:type="dxa" w:w="2160"/>
          </w:tcPr>
          <w:p>
            <w:r/>
            <w:r>
              <w:rPr>
                <w:rFonts w:ascii="Calibri" w:hAnsi="Calibri" w:eastAsia="PingFang SC"/>
              </w:rPr>
              <w:t>TCO 大于或等于基准成本的资产数量</w:t>
            </w:r>
          </w:p>
        </w:tc>
        <w:tc>
          <w:tcPr>
            <w:tcW w:type="dxa" w:w="2160"/>
          </w:tcPr>
          <w:p>
            <w:r/>
            <w:r>
              <w:rPr>
                <w:rFonts w:ascii="Calibri" w:hAnsi="Calibri" w:eastAsia="PingFang SC"/>
              </w:rPr>
              <w:t>仅硬件</w:t>
            </w:r>
          </w:p>
        </w:tc>
      </w:tr>
      <w:tr>
        <w:tc>
          <w:tcPr>
            <w:tcW w:type="dxa" w:w="2160"/>
          </w:tcPr>
          <w:p>
            <w:r/>
            <w:r>
              <w:rPr>
                <w:rFonts w:ascii="Calibri" w:hAnsi="Calibri" w:eastAsia="PingFang SC"/>
              </w:rPr>
              <w:t>不同成本中心达到 TCO 基准成本的资产数量</w:t>
            </w:r>
          </w:p>
        </w:tc>
        <w:tc>
          <w:tcPr>
            <w:tcW w:type="dxa" w:w="2160"/>
          </w:tcPr>
          <w:p>
            <w:r/>
            <w:r>
              <w:rPr>
                <w:rFonts w:ascii="Calibri" w:hAnsi="Calibri" w:eastAsia="PingFang SC"/>
              </w:rPr>
              <w:t>饼图</w:t>
            </w:r>
          </w:p>
        </w:tc>
        <w:tc>
          <w:tcPr>
            <w:tcW w:type="dxa" w:w="2160"/>
          </w:tcPr>
          <w:p>
            <w:r/>
            <w:r>
              <w:rPr>
                <w:rFonts w:ascii="Calibri" w:hAnsi="Calibri" w:eastAsia="PingFang SC"/>
              </w:rPr>
              <w:t>显示达到基准值的成本中心及对应资产数量（如成本中心 A，数量 3）</w:t>
            </w:r>
          </w:p>
        </w:tc>
        <w:tc>
          <w:tcPr>
            <w:tcW w:type="dxa" w:w="2160"/>
          </w:tcPr>
          <w:p>
            <w:r/>
            <w:r>
              <w:rPr>
                <w:rFonts w:ascii="Calibri" w:hAnsi="Calibri" w:eastAsia="PingFang SC"/>
              </w:rPr>
              <w:t>仅硬件</w:t>
            </w:r>
          </w:p>
        </w:tc>
      </w:tr>
      <w:tr>
        <w:tc>
          <w:tcPr>
            <w:tcW w:type="dxa" w:w="2160"/>
          </w:tcPr>
          <w:p>
            <w:r/>
            <w:r>
              <w:rPr>
                <w:rFonts w:ascii="Calibri" w:hAnsi="Calibri" w:eastAsia="PingFang SC"/>
              </w:rPr>
              <w:t>接近 TCO 基准成本（Approaching benchmark TCO）</w:t>
            </w:r>
          </w:p>
        </w:tc>
        <w:tc>
          <w:tcPr>
            <w:tcW w:type="dxa" w:w="2160"/>
          </w:tcPr>
          <w:p>
            <w:r/>
            <w:r>
              <w:rPr>
                <w:rFonts w:ascii="Calibri" w:hAnsi="Calibri" w:eastAsia="PingFang SC"/>
              </w:rPr>
              <w:t>概要数字</w:t>
            </w:r>
          </w:p>
        </w:tc>
        <w:tc>
          <w:tcPr>
            <w:tcW w:type="dxa" w:w="2160"/>
          </w:tcPr>
          <w:p>
            <w:r/>
            <w:r>
              <w:rPr>
                <w:rFonts w:ascii="Calibri" w:hAnsi="Calibri" w:eastAsia="PingFang SC"/>
              </w:rPr>
              <w:t>TCO 大于或等于基准阈值但小于基准成本的资产数量</w:t>
            </w:r>
          </w:p>
        </w:tc>
        <w:tc>
          <w:tcPr>
            <w:tcW w:type="dxa" w:w="2160"/>
          </w:tcPr>
          <w:p>
            <w:r/>
            <w:r>
              <w:rPr>
                <w:rFonts w:ascii="Calibri" w:hAnsi="Calibri" w:eastAsia="PingFang SC"/>
              </w:rPr>
              <w:t>仅硬件</w:t>
            </w:r>
          </w:p>
        </w:tc>
      </w:tr>
      <w:tr>
        <w:tc>
          <w:tcPr>
            <w:tcW w:type="dxa" w:w="2160"/>
          </w:tcPr>
          <w:p>
            <w:r/>
            <w:r>
              <w:rPr>
                <w:rFonts w:ascii="Calibri" w:hAnsi="Calibri" w:eastAsia="PingFang SC"/>
              </w:rPr>
              <w:t>不同成本中心接近 TCO 基准成本的资产数量</w:t>
            </w:r>
          </w:p>
        </w:tc>
        <w:tc>
          <w:tcPr>
            <w:tcW w:type="dxa" w:w="2160"/>
          </w:tcPr>
          <w:p>
            <w:r/>
            <w:r>
              <w:rPr>
                <w:rFonts w:ascii="Calibri" w:hAnsi="Calibri" w:eastAsia="PingFang SC"/>
              </w:rPr>
              <w:t>饼图</w:t>
            </w:r>
          </w:p>
        </w:tc>
        <w:tc>
          <w:tcPr>
            <w:tcW w:type="dxa" w:w="2160"/>
          </w:tcPr>
          <w:p>
            <w:r/>
            <w:r>
              <w:rPr>
                <w:rFonts w:ascii="Calibri" w:hAnsi="Calibri" w:eastAsia="PingFang SC"/>
              </w:rPr>
              <w:t>显示接近基准（阈值&lt;TCO&lt;基准值）的成本中心及数量（如成本中心 B，数量 2）</w:t>
            </w:r>
          </w:p>
        </w:tc>
        <w:tc>
          <w:tcPr>
            <w:tcW w:type="dxa" w:w="2160"/>
          </w:tcPr>
          <w:p>
            <w:r/>
            <w:r>
              <w:rPr>
                <w:rFonts w:ascii="Calibri" w:hAnsi="Calibri" w:eastAsia="PingFang SC"/>
              </w:rPr>
              <w:t>仅硬件</w:t>
            </w:r>
          </w:p>
        </w:tc>
      </w:tr>
      <w:tr>
        <w:tc>
          <w:tcPr>
            <w:tcW w:type="dxa" w:w="2160"/>
          </w:tcPr>
          <w:p>
            <w:r/>
            <w:r>
              <w:rPr>
                <w:rFonts w:ascii="Calibri" w:hAnsi="Calibri" w:eastAsia="PingFang SC"/>
              </w:rPr>
              <w:t>资本规划（Capital planning）</w:t>
            </w:r>
          </w:p>
        </w:tc>
        <w:tc>
          <w:tcPr>
            <w:tcW w:type="dxa" w:w="2160"/>
          </w:tcPr>
          <w:p>
            <w:r/>
            <w:r>
              <w:rPr>
                <w:rFonts w:ascii="Calibri" w:hAnsi="Calibri" w:eastAsia="PingFang SC"/>
              </w:rPr>
              <w:t>概要数字</w:t>
            </w:r>
          </w:p>
        </w:tc>
        <w:tc>
          <w:tcPr>
            <w:tcW w:type="dxa" w:w="2160"/>
          </w:tcPr>
          <w:p>
            <w:r/>
            <w:r>
              <w:rPr>
                <w:rFonts w:ascii="Calibri" w:hAnsi="Calibri" w:eastAsia="PingFang SC"/>
              </w:rPr>
              <w:t>生命周期超过 60 天且未停用的资产数量（预计退役时间超 60 天 + 在用状态）</w:t>
            </w:r>
          </w:p>
        </w:tc>
        <w:tc>
          <w:tcPr>
            <w:tcW w:type="dxa" w:w="2160"/>
          </w:tcPr>
          <w:p>
            <w:r/>
            <w:r>
              <w:rPr>
                <w:rFonts w:ascii="Calibri" w:hAnsi="Calibri" w:eastAsia="PingFang SC"/>
              </w:rPr>
              <w:t>硬件、耗材</w:t>
            </w:r>
          </w:p>
        </w:tc>
      </w:tr>
      <w:tr>
        <w:tc>
          <w:tcPr>
            <w:tcW w:type="dxa" w:w="2160"/>
          </w:tcPr>
          <w:p>
            <w:r/>
            <w:r>
              <w:rPr>
                <w:rFonts w:ascii="Calibri" w:hAnsi="Calibri" w:eastAsia="PingFang SC"/>
              </w:rPr>
              <w:t>平均 TCO 最高的 10 大型号（Top 10 models with highest average TCO）</w:t>
            </w:r>
          </w:p>
        </w:tc>
        <w:tc>
          <w:tcPr>
            <w:tcW w:type="dxa" w:w="2160"/>
          </w:tcPr>
          <w:p>
            <w:r/>
            <w:r>
              <w:rPr>
                <w:rFonts w:ascii="Calibri" w:hAnsi="Calibri" w:eastAsia="PingFang SC"/>
              </w:rPr>
              <w:t>柱状图</w:t>
            </w:r>
          </w:p>
        </w:tc>
        <w:tc>
          <w:tcPr>
            <w:tcW w:type="dxa" w:w="2160"/>
          </w:tcPr>
          <w:p>
            <w:r/>
            <w:r>
              <w:rPr>
                <w:rFonts w:ascii="Calibri" w:hAnsi="Calibri" w:eastAsia="PingFang SC"/>
              </w:rPr>
              <w:t>平均资产 TCO 最高的 10 大型号（基于规格）</w:t>
            </w:r>
          </w:p>
        </w:tc>
        <w:tc>
          <w:tcPr>
            <w:tcW w:type="dxa" w:w="2160"/>
          </w:tcPr>
          <w:p>
            <w:r/>
            <w:r>
              <w:rPr>
                <w:rFonts w:ascii="Calibri" w:hAnsi="Calibri" w:eastAsia="PingFang SC"/>
              </w:rPr>
              <w:t>全部</w:t>
            </w:r>
          </w:p>
        </w:tc>
      </w:tr>
      <w:tr>
        <w:tc>
          <w:tcPr>
            <w:tcW w:type="dxa" w:w="2160"/>
          </w:tcPr>
          <w:p>
            <w:r/>
            <w:r>
              <w:rPr>
                <w:rFonts w:ascii="Calibri" w:hAnsi="Calibri" w:eastAsia="PingFang SC"/>
              </w:rPr>
              <w:t>按类别划分达到基准成本（Asset reached benchmark cost by category）</w:t>
            </w:r>
          </w:p>
        </w:tc>
        <w:tc>
          <w:tcPr>
            <w:tcW w:type="dxa" w:w="2160"/>
          </w:tcPr>
          <w:p>
            <w:r/>
            <w:r>
              <w:rPr>
                <w:rFonts w:ascii="Calibri" w:hAnsi="Calibri" w:eastAsia="PingFang SC"/>
              </w:rPr>
              <w:t>饼图</w:t>
            </w:r>
          </w:p>
        </w:tc>
        <w:tc>
          <w:tcPr>
            <w:tcW w:type="dxa" w:w="2160"/>
          </w:tcPr>
          <w:p>
            <w:r/>
            <w:r>
              <w:rPr>
                <w:rFonts w:ascii="Calibri" w:hAnsi="Calibri" w:eastAsia="PingFang SC"/>
              </w:rPr>
              <w:t>资产 TCO 已达到基准成本的资产数量（基于规格分类）</w:t>
            </w:r>
          </w:p>
        </w:tc>
        <w:tc>
          <w:tcPr>
            <w:tcW w:type="dxa" w:w="2160"/>
          </w:tcPr>
          <w:p>
            <w:r/>
            <w:r>
              <w:rPr>
                <w:rFonts w:ascii="Calibri" w:hAnsi="Calibri" w:eastAsia="PingFang SC"/>
              </w:rPr>
              <w:t>全部</w:t>
            </w:r>
          </w:p>
        </w:tc>
      </w:tr>
      <w:tr>
        <w:tc>
          <w:tcPr>
            <w:tcW w:type="dxa" w:w="2160"/>
          </w:tcPr>
          <w:p>
            <w:r/>
            <w:r>
              <w:rPr>
                <w:rFonts w:ascii="Calibri" w:hAnsi="Calibri" w:eastAsia="PingFang SC"/>
              </w:rPr>
              <w:t>资产费用分配（Assets expense distribution）</w:t>
            </w:r>
          </w:p>
        </w:tc>
        <w:tc>
          <w:tcPr>
            <w:tcW w:type="dxa" w:w="2160"/>
          </w:tcPr>
          <w:p>
            <w:r/>
            <w:r>
              <w:rPr>
                <w:rFonts w:ascii="Calibri" w:hAnsi="Calibri" w:eastAsia="PingFang SC"/>
              </w:rPr>
              <w:t>饼图</w:t>
            </w:r>
          </w:p>
        </w:tc>
        <w:tc>
          <w:tcPr>
            <w:tcW w:type="dxa" w:w="2160"/>
          </w:tcPr>
          <w:p>
            <w:r/>
            <w:r>
              <w:rPr>
                <w:rFonts w:ascii="Calibri" w:hAnsi="Calibri" w:eastAsia="PingFang SC"/>
              </w:rPr>
              <w:t>基于费用类别（人工、发货、采购等）的资产成本分布</w:t>
            </w:r>
          </w:p>
        </w:tc>
        <w:tc>
          <w:tcPr>
            <w:tcW w:type="dxa" w:w="2160"/>
          </w:tcPr>
          <w:p>
            <w:r/>
            <w:r>
              <w:rPr>
                <w:rFonts w:ascii="Calibri" w:hAnsi="Calibri" w:eastAsia="PingFang SC"/>
              </w:rPr>
              <w:t>全部</w:t>
            </w:r>
          </w:p>
        </w:tc>
      </w:tr>
      <w:tr>
        <w:tc>
          <w:tcPr>
            <w:tcW w:type="dxa" w:w="2160"/>
          </w:tcPr>
          <w:p>
            <w:r/>
            <w:r>
              <w:rPr>
                <w:rFonts w:ascii="Calibri" w:hAnsi="Calibri" w:eastAsia="PingFang SC"/>
              </w:rPr>
              <w:t>每月资产费用分配（过去 12 个月）</w:t>
            </w:r>
          </w:p>
        </w:tc>
        <w:tc>
          <w:tcPr>
            <w:tcW w:type="dxa" w:w="2160"/>
          </w:tcPr>
          <w:p>
            <w:r/>
            <w:r>
              <w:rPr>
                <w:rFonts w:ascii="Calibri" w:hAnsi="Calibri" w:eastAsia="PingFang SC"/>
              </w:rPr>
              <w:t>柱状图</w:t>
            </w:r>
          </w:p>
        </w:tc>
        <w:tc>
          <w:tcPr>
            <w:tcW w:type="dxa" w:w="2160"/>
          </w:tcPr>
          <w:p>
            <w:r/>
            <w:r>
              <w:rPr>
                <w:rFonts w:ascii="Calibri" w:hAnsi="Calibri" w:eastAsia="PingFang SC"/>
              </w:rPr>
              <w:t>过去 12 个月每月的初始成本与运营成本</w:t>
            </w:r>
          </w:p>
        </w:tc>
        <w:tc>
          <w:tcPr>
            <w:tcW w:type="dxa" w:w="2160"/>
          </w:tcPr>
          <w:p>
            <w:r/>
            <w:r>
              <w:rPr>
                <w:rFonts w:ascii="Calibri" w:hAnsi="Calibri" w:eastAsia="PingFang SC"/>
              </w:rPr>
              <w:t>全部</w:t>
            </w:r>
          </w:p>
        </w:tc>
      </w:tr>
      <w:tr>
        <w:tc>
          <w:tcPr>
            <w:tcW w:type="dxa" w:w="2160"/>
          </w:tcPr>
          <w:p>
            <w:r/>
            <w:r>
              <w:rPr>
                <w:rFonts w:ascii="Calibri" w:hAnsi="Calibri" w:eastAsia="PingFang SC"/>
              </w:rPr>
              <w:t>不同成本中心所有资产 TCO 总值（Total TCO of All Assets Across Different Cost Centers）</w:t>
            </w:r>
          </w:p>
        </w:tc>
        <w:tc>
          <w:tcPr>
            <w:tcW w:type="dxa" w:w="2160"/>
          </w:tcPr>
          <w:p>
            <w:r/>
            <w:r>
              <w:rPr>
                <w:rFonts w:ascii="Calibri" w:hAnsi="Calibri" w:eastAsia="PingFang SC"/>
              </w:rPr>
              <w:t>柱状图</w:t>
            </w:r>
          </w:p>
        </w:tc>
        <w:tc>
          <w:tcPr>
            <w:tcW w:type="dxa" w:w="2160"/>
          </w:tcPr>
          <w:p>
            <w:r/>
            <w:r>
              <w:rPr>
                <w:rFonts w:ascii="Calibri" w:hAnsi="Calibri" w:eastAsia="PingFang SC"/>
              </w:rPr>
              <w:t>统计当前时间不同成本中心的 TCO 总值</w:t>
            </w:r>
          </w:p>
        </w:tc>
        <w:tc>
          <w:tcPr>
            <w:tcW w:type="dxa" w:w="2160"/>
          </w:tcPr>
          <w:p>
            <w:r/>
            <w:r>
              <w:rPr>
                <w:rFonts w:ascii="Calibri" w:hAnsi="Calibri" w:eastAsia="PingFang SC"/>
              </w:rPr>
              <w:t>全部</w:t>
            </w:r>
          </w:p>
        </w:tc>
      </w:tr>
    </w:tbl>
    <w:p/>
    <w:p>
      <w:pPr>
        <w:pStyle w:val="Heading3"/>
      </w:pPr>
      <w:r>
        <w:rPr>
          <w:rFonts w:ascii="Calibri" w:hAnsi="Calibri" w:eastAsia="PingFang SC"/>
        </w:rPr>
      </w:r>
      <w:r>
        <w:rPr>
          <w:rFonts w:ascii="Calibri" w:hAnsi="Calibri" w:eastAsia="PingFang SC"/>
        </w:rPr>
        <w:t>3.6 页面功能与交互逻辑</w:t>
      </w:r>
    </w:p>
    <w:p>
      <w:pPr>
        <w:pStyle w:val="Heading4"/>
      </w:pPr>
      <w:r>
        <w:rPr>
          <w:rFonts w:ascii="Calibri" w:hAnsi="Calibri" w:eastAsia="PingFang SC"/>
        </w:rPr>
      </w:r>
      <w:r>
        <w:rPr>
          <w:rFonts w:ascii="Calibri" w:hAnsi="Calibri" w:eastAsia="PingFang SC"/>
        </w:rPr>
        <w:t>3.6.1 硬件 Model 创建页</w:t>
      </w:r>
    </w:p>
    <w:p>
      <w:pPr>
        <w:pStyle w:val="ListBullet"/>
      </w:pPr>
      <w:r>
        <w:rPr>
          <w:rFonts w:ascii="Calibri" w:hAnsi="Calibri" w:eastAsia="PingFang SC"/>
        </w:rPr>
        <w:t>Financial/TCO 分组新增 TCO Benchmark Cost、TCO Benchmark Threshold 两字段；输入 benchmark cost 后 threshold 自动按 75% 填充且可修改。</w:t>
      </w:r>
    </w:p>
    <w:p>
      <w:pPr>
        <w:pStyle w:val="Heading4"/>
      </w:pPr>
      <w:r>
        <w:rPr>
          <w:rFonts w:ascii="Calibri" w:hAnsi="Calibri" w:eastAsia="PingFang SC"/>
        </w:rPr>
      </w:r>
      <w:r>
        <w:rPr>
          <w:rFonts w:ascii="Calibri" w:hAnsi="Calibri" w:eastAsia="PingFang SC"/>
        </w:rPr>
        <w:t>3.6.2 资产详情页（Financials 模块）</w:t>
      </w:r>
    </w:p>
    <w:p>
      <w:pPr>
        <w:pStyle w:val="ListBullet"/>
      </w:pPr>
      <w:r>
        <w:rPr>
          <w:rFonts w:ascii="Calibri" w:hAnsi="Calibri" w:eastAsia="PingFang SC"/>
        </w:rPr>
        <w:t>展示 Asset TCO、TCO Benchmark Cost、TCO Benchmark Threshold、TCO Benchmark Status 四字段；后三者来源于 Model / 计算，均为只读。</w:t>
      </w:r>
    </w:p>
    <w:p>
      <w:pPr>
        <w:pStyle w:val="ListBullet"/>
      </w:pPr>
      <w:r>
        <w:rPr>
          <w:rFonts w:ascii="Calibri" w:hAnsi="Calibri" w:eastAsia="PingFang SC"/>
        </w:rPr>
        <w:t>Asset TCO 柱状图区分 One-time / Recurring 两种颜色；父资产聚合展示子资产成本。</w:t>
      </w:r>
    </w:p>
    <w:p>
      <w:pPr>
        <w:pStyle w:val="ListBullet"/>
      </w:pPr>
      <w:r>
        <w:rPr>
          <w:rFonts w:ascii="Calibri" w:hAnsi="Calibri" w:eastAsia="PingFang SC"/>
        </w:rPr>
        <w:t>Expense line 列表中自动生成的费用条目 Task 字段可点击跳转 DOSM 工单。</w:t>
      </w:r>
    </w:p>
    <w:p>
      <w:pPr>
        <w:pStyle w:val="Heading4"/>
      </w:pPr>
      <w:r>
        <w:rPr>
          <w:rFonts w:ascii="Calibri" w:hAnsi="Calibri" w:eastAsia="PingFang SC"/>
        </w:rPr>
      </w:r>
      <w:r>
        <w:rPr>
          <w:rFonts w:ascii="Calibri" w:hAnsi="Calibri" w:eastAsia="PingFang SC"/>
        </w:rPr>
        <w:t>3.6.3 TCO 看板页</w:t>
      </w:r>
    </w:p>
    <w:p>
      <w:pPr>
        <w:pStyle w:val="ListBullet"/>
      </w:pPr>
      <w:r>
        <w:rPr>
          <w:rFonts w:ascii="Calibri" w:hAnsi="Calibri" w:eastAsia="PingFang SC"/>
        </w:rPr>
        <w:t>呈现 3.5 报表清单；仅硬件的报表在非硬件视图下隐藏或置空。</w:t>
      </w:r>
    </w:p>
    <w:p>
      <w:pPr>
        <w:pStyle w:val="Heading3"/>
      </w:pPr>
      <w:r>
        <w:rPr>
          <w:rFonts w:ascii="Calibri" w:hAnsi="Calibri" w:eastAsia="PingFang SC"/>
        </w:rPr>
      </w:r>
      <w:r>
        <w:rPr>
          <w:rFonts w:ascii="Calibri" w:hAnsi="Calibri" w:eastAsia="PingFang SC"/>
        </w:rPr>
        <w:t>3.7 校验与约束</w:t>
      </w:r>
    </w:p>
    <w:p>
      <w:pPr>
        <w:pStyle w:val="ListBullet"/>
      </w:pPr>
      <w:r>
        <w:rPr>
          <w:rFonts w:ascii="Calibri" w:hAnsi="Calibri" w:eastAsia="PingFang SC"/>
        </w:rPr>
        <w:t>TCO Benchmark Status 严格按 3.2.4 阈值区间判定，边界值归属遵循「&gt;= 基准成本 → Reached」「&gt;= 阈值且 &lt; 基准成本 → Approaching」「&lt; 阈值 → Not reached」。</w:t>
      </w:r>
    </w:p>
    <w:p>
      <w:pPr>
        <w:pStyle w:val="ListBullet"/>
      </w:pPr>
      <w:r>
        <w:rPr>
          <w:rFonts w:ascii="Calibri" w:hAnsi="Calibri" w:eastAsia="PingFang SC"/>
        </w:rPr>
        <w:t>Asset TCO 仅汇总 Parent 为空的 Expense line，避免重复计算子条目。</w:t>
      </w:r>
    </w:p>
    <w:p>
      <w:pPr>
        <w:pStyle w:val="ListBullet"/>
      </w:pPr>
      <w:r>
        <w:rPr>
          <w:rFonts w:ascii="Calibri" w:hAnsi="Calibri" w:eastAsia="PingFang SC"/>
        </w:rPr>
        <w:t>流程节点费用时长一律向上取整；多资产按数量均摊。</w:t>
      </w:r>
    </w:p>
    <w:p>
      <w:pPr>
        <w:pStyle w:val="Heading2"/>
      </w:pPr>
      <w:r>
        <w:rPr>
          <w:rFonts w:ascii="Calibri" w:hAnsi="Calibri" w:eastAsia="PingFang SC"/>
        </w:rPr>
      </w:r>
      <w:r>
        <w:rPr>
          <w:rFonts w:ascii="Calibri" w:hAnsi="Calibri" w:eastAsia="PingFang SC"/>
        </w:rPr>
        <w:t>4. 验收标准</w:t>
      </w:r>
    </w:p>
    <w:p>
      <w:pPr>
        <w:pStyle w:val="ListBullet"/>
      </w:pPr>
      <w:r>
        <w:rPr>
          <w:rFonts w:ascii="Calibri" w:hAnsi="Calibri" w:eastAsia="PingFang SC"/>
        </w:rPr>
        <w:t>硬件 Model 可设置基准成本与阈值，阈值默认按 75% 自动填充并可修改。</w:t>
      </w:r>
    </w:p>
    <w:p>
      <w:pPr>
        <w:pStyle w:val="ListBullet"/>
      </w:pPr>
      <w:r>
        <w:rPr>
          <w:rFonts w:ascii="Calibri" w:hAnsi="Calibri" w:eastAsia="PingFang SC"/>
        </w:rPr>
        <w:t>资产 Financials 展示 4 个 TCO 字段，基准字段由 Model 填充，状态按阈值区间准确判定。</w:t>
      </w:r>
    </w:p>
    <w:p>
      <w:pPr>
        <w:pStyle w:val="ListBullet"/>
      </w:pPr>
      <w:r>
        <w:rPr>
          <w:rFonts w:ascii="Calibri" w:hAnsi="Calibri" w:eastAsia="PingFang SC"/>
        </w:rPr>
        <w:t>Asset TCO 按「本资产 + 子资产 Parent 为空 Expense line 之和」计算，父子穿透正确（符合 3.3.3 举例结果）。</w:t>
      </w:r>
    </w:p>
    <w:p>
      <w:pPr>
        <w:pStyle w:val="ListBullet"/>
      </w:pPr>
      <w:r>
        <w:rPr>
          <w:rFonts w:ascii="Calibri" w:hAnsi="Calibri" w:eastAsia="PingFang SC"/>
        </w:rPr>
        <w:t>流程节点完成后自动生成 Expense line，费率优先级/兜底/时长取整/多资产均摊逻辑正确，Task 可跳转 DOSM。</w:t>
      </w:r>
    </w:p>
    <w:p>
      <w:pPr>
        <w:pStyle w:val="ListBullet"/>
      </w:pPr>
      <w:r>
        <w:rPr>
          <w:rFonts w:ascii="Calibri" w:hAnsi="Calibri" w:eastAsia="PingFang SC"/>
        </w:rPr>
        <w:t>TCO 看板报表口径与 3.5 清单一致，仅硬件报表适用范围正确。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