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资产标识配置规则 PRD</w:t>
      </w:r>
    </w:p>
    <w:p>
      <w:pPr>
        <w:ind w:left="360"/>
      </w:pPr>
      <w:r>
        <w:rPr>
          <w:rFonts w:ascii="Calibri" w:hAnsi="Calibri" w:eastAsia="PingFang SC"/>
          <w:color w:val="8C8C8C"/>
        </w:rPr>
        <w:t xml:space="preserve">▍ </w:t>
      </w:r>
      <w:r>
        <w:rPr>
          <w:rFonts w:ascii="Calibri" w:hAnsi="Calibri" w:eastAsia="PingFang SC"/>
        </w:rPr>
        <w:t>对应功能架构：设置 / 资产标识配置规则（Asset Identifier Rule）　｜　对应原型：设置 → 资产标识配置规则</w:t>
      </w:r>
    </w:p>
    <w:p>
      <w:pPr>
        <w:ind w:left="360"/>
      </w:pPr>
      <w:r>
        <w:rPr>
          <w:rFonts w:ascii="Calibri" w:hAnsi="Calibri" w:eastAsia="PingFang SC"/>
          <w:color w:val="8C8C8C"/>
        </w:rPr>
        <w:t xml:space="preserve">▍ </w:t>
      </w:r>
      <w:r>
        <w:rPr>
          <w:rFonts w:ascii="Calibri" w:hAnsi="Calibri" w:eastAsia="PingFang SC"/>
        </w:rPr>
        <w:t>文档性质：产品需求说明书（PRD）　｜　权威依据：源文档《自定义配置资产唯一编码规则》 + 最新系统截图 + 系统原型</w:t>
      </w:r>
    </w:p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 前言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1.1 需求基本信息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交付版本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标品 Demo 版本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模块归属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设置 / 资产标识配置规则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优先级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P0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关联原型页面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`/asset/settings/identifier-rule`（列表）、`/asset/settings/identifier-rule/:id`（详情）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关联源文档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《自定义配置资产唯一编码规则》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需求负责人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Vivian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1.2 文档变更记录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时间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变更人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变更内容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初版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产品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新建自定义资产唯一编码规则需求，明确分段组合编码、六种系统默认规则、启用/禁用/编辑/删除约束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对齐原型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产品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按最新系统原型对齐入口、列表列、规则配置字段（前缀+流水号+连接符）及预览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1.3 名词解释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术语 / 缩略词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资产标识（Asset tag）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系统按配置规则自动生成的资产唯一编码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编码规则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由若干「段」顺序组合而成的编码生成规则，管理员在系统中自由定义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段（Segment）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编码规则的组成单元，可为固定字符、公共属性、流水号、创建日期等类型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唯一性属性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保证编码在覆盖范围内唯一的属性组合（如固定字符+流水号）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覆盖范围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规则生效的资产类型或「资产类型 + 资产规格分类」组合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连接符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段与段之间的分隔符（短横线、下划线、无等）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流水号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编码中自增的数字段，可配置位数与起始值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1.4 关联需求清单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序号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需求名称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当前进度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硬件资产增删改查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新增资产时按本规则生成 Asset tag（硬件默认 `P+9位`）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已实现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资产规格分类管理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规则覆盖范围可细化到「资产类型 + 规格分类」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已实现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统一日志审计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规则的新增/编辑/启停/删除写入操作日志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规划中</w:t>
            </w:r>
          </w:p>
        </w:tc>
      </w:tr>
    </w:tbl>
    <w:p/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 需求分析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2.1 业务背景</w:t>
      </w:r>
    </w:p>
    <w:p>
      <w:r>
        <w:rPr>
          <w:rFonts w:ascii="Calibri" w:hAnsi="Calibri" w:eastAsia="PingFang SC"/>
        </w:rPr>
        <w:t>不同行业、规模、组织的资产类型和管理重点各异，采用固定编码难以普适。系统需要提供「自定义资产唯一编码规则」能力，使各部门可协商制定公司统一的编码规范，避免各自为政造成的编码混乱，并为新员工提供清晰的资产识别指引。资产标识作为资产的唯一身份，贯穿资产创建、盘点、维护、处置全生命周期。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2.2 需求价值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2.2.1 模块价值点</w:t>
      </w:r>
    </w:p>
    <w:p>
      <w:pPr>
        <w:pStyle w:val="ListBullet"/>
      </w:pPr>
      <w:r>
        <w:rPr>
          <w:rFonts w:ascii="Calibri" w:hAnsi="Calibri" w:eastAsia="PingFang SC"/>
          <w:b/>
        </w:rPr>
        <w:t>统一编码规范</w:t>
      </w:r>
      <w:r>
        <w:rPr>
          <w:rFonts w:ascii="Calibri" w:hAnsi="Calibri" w:eastAsia="PingFang SC"/>
        </w:rPr>
        <w:t>：以公司维度统一各类资产的编码格式，消除编码冲突与歧义。</w:t>
      </w:r>
    </w:p>
    <w:p>
      <w:pPr>
        <w:pStyle w:val="ListBullet"/>
      </w:pPr>
      <w:r>
        <w:rPr>
          <w:rFonts w:ascii="Calibri" w:hAnsi="Calibri" w:eastAsia="PingFang SC"/>
          <w:b/>
        </w:rPr>
        <w:t>灵活可配置</w:t>
      </w:r>
      <w:r>
        <w:rPr>
          <w:rFonts w:ascii="Calibri" w:hAnsi="Calibri" w:eastAsia="PingFang SC"/>
        </w:rPr>
        <w:t>：采用「分段组合」模式，管理员可按资产类型/规格分类自由定义，适配不同管理颗粒度。</w:t>
      </w:r>
    </w:p>
    <w:p>
      <w:pPr>
        <w:pStyle w:val="ListBullet"/>
      </w:pPr>
      <w:r>
        <w:rPr>
          <w:rFonts w:ascii="Calibri" w:hAnsi="Calibri" w:eastAsia="PingFang SC"/>
          <w:b/>
        </w:rPr>
        <w:t>唯一性保障</w:t>
      </w:r>
      <w:r>
        <w:rPr>
          <w:rFonts w:ascii="Calibri" w:hAnsi="Calibri" w:eastAsia="PingFang SC"/>
        </w:rPr>
        <w:t>：通过启用校验与流水号自增机制，保证同一覆盖范围内编码全局唯一。</w:t>
      </w:r>
    </w:p>
    <w:p>
      <w:pPr>
        <w:pStyle w:val="ListBullet"/>
      </w:pPr>
      <w:r>
        <w:rPr>
          <w:rFonts w:ascii="Calibri" w:hAnsi="Calibri" w:eastAsia="PingFang SC"/>
          <w:b/>
        </w:rPr>
        <w:t>可识别性</w:t>
      </w:r>
      <w:r>
        <w:rPr>
          <w:rFonts w:ascii="Calibri" w:hAnsi="Calibri" w:eastAsia="PingFang SC"/>
        </w:rPr>
        <w:t>：清晰的前缀与分段结构便于人工识别与快速定位资产。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2.2.2 调研结论及竞品分析</w:t>
      </w:r>
    </w:p>
    <w:p>
      <w:r>
        <w:rPr>
          <w:rFonts w:ascii="Calibri" w:hAnsi="Calibri" w:eastAsia="PingFang SC"/>
        </w:rPr>
        <w:t>参考 ServiceNow HAM：资产标签（Asset tag）按前缀规则自动生成（如硬件 `P` 前缀 + 递增序号）；支持按资产类别配置不同前缀。本方案在此基础上增强为「分段组合」的可视化规则构建器，并支持覆盖范围的细颗粒度优先级生效。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2.3 用户故事</w:t>
      </w:r>
    </w:p>
    <w:p>
      <w:pPr>
        <w:pStyle w:val="ListBullet"/>
      </w:pPr>
      <w:r>
        <w:rPr>
          <w:rFonts w:ascii="Calibri" w:hAnsi="Calibri" w:eastAsia="PingFang SC"/>
        </w:rPr>
        <w:t>作为</w:t>
      </w:r>
      <w:r>
        <w:rPr>
          <w:rFonts w:ascii="Calibri" w:hAnsi="Calibri" w:eastAsia="PingFang SC"/>
          <w:b/>
        </w:rPr>
        <w:t>资产管理员</w:t>
      </w:r>
      <w:r>
        <w:rPr>
          <w:rFonts w:ascii="Calibri" w:hAnsi="Calibri" w:eastAsia="PingFang SC"/>
        </w:rPr>
        <w:t>，我希望自定义各资产类型的编码规则，以便公司资产编码统一规范。</w:t>
      </w:r>
    </w:p>
    <w:p>
      <w:pPr>
        <w:pStyle w:val="ListBullet"/>
      </w:pPr>
      <w:r>
        <w:rPr>
          <w:rFonts w:ascii="Calibri" w:hAnsi="Calibri" w:eastAsia="PingFang SC"/>
        </w:rPr>
        <w:t>作为</w:t>
      </w:r>
      <w:r>
        <w:rPr>
          <w:rFonts w:ascii="Calibri" w:hAnsi="Calibri" w:eastAsia="PingFang SC"/>
          <w:b/>
        </w:rPr>
        <w:t>IT 运维</w:t>
      </w:r>
      <w:r>
        <w:rPr>
          <w:rFonts w:ascii="Calibri" w:hAnsi="Calibri" w:eastAsia="PingFang SC"/>
        </w:rPr>
        <w:t>，我希望某一细分类别（如空调）拥有专属编码规则，以便按更细颗粒度识别资产。</w:t>
      </w:r>
    </w:p>
    <w:p>
      <w:pPr>
        <w:pStyle w:val="ListBullet"/>
      </w:pPr>
      <w:r>
        <w:rPr>
          <w:rFonts w:ascii="Calibri" w:hAnsi="Calibri" w:eastAsia="PingFang SC"/>
        </w:rPr>
        <w:t>作为</w:t>
      </w:r>
      <w:r>
        <w:rPr>
          <w:rFonts w:ascii="Calibri" w:hAnsi="Calibri" w:eastAsia="PingFang SC"/>
          <w:b/>
        </w:rPr>
        <w:t>新员工</w:t>
      </w:r>
      <w:r>
        <w:rPr>
          <w:rFonts w:ascii="Calibri" w:hAnsi="Calibri" w:eastAsia="PingFang SC"/>
        </w:rPr>
        <w:t>，我希望通过资产标识前缀快速判断资产类型，以便高效开展盘点与维护。</w:t>
      </w:r>
    </w:p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 需求设计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 设计思路</w:t>
      </w:r>
    </w:p>
    <w:p>
      <w:r>
        <w:rPr>
          <w:rFonts w:ascii="Calibri" w:hAnsi="Calibri" w:eastAsia="PingFang SC"/>
        </w:rPr>
        <w:t>编码规则采用「分段组合」模式，由管理员在系统中自由定义。一个完整的编码由若干「段」顺序构成，每段可从以下三种类型中选择和配置：</w:t>
      </w:r>
      <w:r>
        <w:rPr>
          <w:rFonts w:ascii="Calibri" w:hAnsi="Calibri" w:eastAsia="PingFang SC"/>
          <w:b/>
        </w:rPr>
        <w:t>固定字符、公共属性、流水号</w:t>
      </w:r>
      <w:r>
        <w:rPr>
          <w:rFonts w:ascii="Calibri" w:hAnsi="Calibri" w:eastAsia="PingFang SC"/>
        </w:rPr>
        <w:t>（另支持创建日期段）。允许创建多个规则，但同一覆盖范围仅允许一个规则处于启用状态。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 入口</w:t>
      </w:r>
    </w:p>
    <w:p>
      <w:r>
        <w:rPr>
          <w:rFonts w:ascii="Calibri" w:hAnsi="Calibri" w:eastAsia="PingFang SC"/>
        </w:rPr>
        <w:t>在「设置」中，增加「资产标识配置规则」菜单，点击后进入列表页可查看当前已有规则。其中「规则名称」字段可点击，点击后进入规则详情页。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3.3 列表页字段说明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3.3.1 涉及到的表</w:t>
      </w:r>
    </w:p>
    <w:p>
      <w:pPr>
        <w:pStyle w:val="ListBullet"/>
      </w:pPr>
      <w:r>
        <w:rPr>
          <w:rFonts w:ascii="Calibri" w:hAnsi="Calibri" w:eastAsia="PingFang SC"/>
        </w:rPr>
        <w:t>`asset_identifier_rule`（资产标识规则主表）</w:t>
      </w:r>
    </w:p>
    <w:p>
      <w:pPr>
        <w:pStyle w:val="ListBullet"/>
      </w:pPr>
      <w:r>
        <w:rPr>
          <w:rFonts w:ascii="Calibri" w:hAnsi="Calibri" w:eastAsia="PingFang SC"/>
        </w:rPr>
        <w:t>`asset_identifier_rule_segment`（规则分段配置表）</w:t>
      </w:r>
    </w:p>
    <w:p>
      <w:pPr>
        <w:pStyle w:val="ListBullet"/>
      </w:pPr>
      <w:r>
        <w:rPr>
          <w:rFonts w:ascii="Calibri" w:hAnsi="Calibri" w:eastAsia="PingFang SC"/>
        </w:rPr>
        <w:t>`model_category`（资产规格分类表，引用）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3.3.2 字段说明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字段名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数据类型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长度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备注说明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规则名称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128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规则的显示名称，列表页可点击进入详情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资产类型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规则覆盖的资产类型（硬件/软件/耗材/云/捆绑/托盘），配置项中不包括合同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资产规格分类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规则覆盖的规格分类，非必填；无则展示「无」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唯一性属性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128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保证唯一的属性组合，如「固定字符、流水号」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状态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启用 / 禁用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固定字符（前缀）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编码前缀，如硬件为「P」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流水号位数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INTEGER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流水号位数，下拉可选 5/6/7/8/9 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流水号起始值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INTEGER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流水号起始值，可不填，最小为 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连接符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段间分隔符（短横线/下划线/无）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创建人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64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规则创建人（姓名+用户名）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创建时间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TIMESTAMP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规则创建时间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3.4 系统默认规则</w:t>
      </w:r>
    </w:p>
    <w:p>
      <w:r>
        <w:rPr>
          <w:rFonts w:ascii="Calibri" w:hAnsi="Calibri" w:eastAsia="PingFang SC"/>
        </w:rPr>
        <w:t>系统初始化默认给到六种规则，展示在列表页中，默认状态为「启用」。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资产类型</w:t>
            </w:r>
          </w:p>
        </w:tc>
        <w:tc>
          <w:tcPr>
            <w:tcW w:type="dxa" w:w="9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规则名称</w:t>
            </w:r>
          </w:p>
        </w:tc>
        <w:tc>
          <w:tcPr>
            <w:tcW w:type="dxa" w:w="9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资产规格分类</w:t>
            </w:r>
          </w:p>
        </w:tc>
        <w:tc>
          <w:tcPr>
            <w:tcW w:type="dxa" w:w="9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唯一性属性</w:t>
            </w:r>
          </w:p>
        </w:tc>
        <w:tc>
          <w:tcPr>
            <w:tcW w:type="dxa" w:w="9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固定字符</w:t>
            </w:r>
          </w:p>
        </w:tc>
        <w:tc>
          <w:tcPr>
            <w:tcW w:type="dxa" w:w="9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流水号位数</w:t>
            </w:r>
          </w:p>
        </w:tc>
        <w:tc>
          <w:tcPr>
            <w:tcW w:type="dxa" w:w="9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起始值</w:t>
            </w:r>
          </w:p>
        </w:tc>
        <w:tc>
          <w:tcPr>
            <w:tcW w:type="dxa" w:w="9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连接符</w:t>
            </w:r>
          </w:p>
        </w:tc>
        <w:tc>
          <w:tcPr>
            <w:tcW w:type="dxa" w:w="9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状态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Calibri" w:hAnsi="Calibri" w:eastAsia="PingFang SC"/>
              </w:rPr>
              <w:t>硬件资产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 w:eastAsia="PingFang SC"/>
              </w:rPr>
              <w:t>硬件资产标识规则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 w:eastAsia="PingFang SC"/>
              </w:rPr>
              <w:t>无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 w:eastAsia="PingFang SC"/>
              </w:rPr>
              <w:t>固定字符、流水号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 w:eastAsia="PingFang SC"/>
              </w:rPr>
              <w:t>P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 w:eastAsia="PingFang SC"/>
              </w:rPr>
              <w:t>9 位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 w:eastAsia="PingFang SC"/>
              </w:rPr>
              <w:t>1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 w:eastAsia="PingFang SC"/>
              </w:rPr>
              <w:t>无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 w:eastAsia="PingFang SC"/>
              </w:rPr>
              <w:t>启用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Calibri" w:hAnsi="Calibri" w:eastAsia="PingFang SC"/>
              </w:rPr>
              <w:t>软件资产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 w:eastAsia="PingFang SC"/>
              </w:rPr>
              <w:t>软件资产标识规则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 w:eastAsia="PingFang SC"/>
              </w:rPr>
              <w:t>无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 w:eastAsia="PingFang SC"/>
              </w:rPr>
              <w:t>固定字符、流水号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 w:eastAsia="PingFang SC"/>
              </w:rPr>
              <w:t>SW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 w:eastAsia="PingFang SC"/>
              </w:rPr>
              <w:t>8 位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 w:eastAsia="PingFang SC"/>
              </w:rPr>
              <w:t>1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 w:eastAsia="PingFang SC"/>
              </w:rPr>
              <w:t>无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 w:eastAsia="PingFang SC"/>
              </w:rPr>
              <w:t>启用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Calibri" w:hAnsi="Calibri" w:eastAsia="PingFang SC"/>
              </w:rPr>
              <w:t>耗材资产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 w:eastAsia="PingFang SC"/>
              </w:rPr>
              <w:t>耗材资产标识规则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 w:eastAsia="PingFang SC"/>
              </w:rPr>
              <w:t>无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 w:eastAsia="PingFang SC"/>
              </w:rPr>
              <w:t>固定字符、流水号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 w:eastAsia="PingFang SC"/>
              </w:rPr>
              <w:t>C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 w:eastAsia="PingFang SC"/>
              </w:rPr>
              <w:t>9 位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 w:eastAsia="PingFang SC"/>
              </w:rPr>
              <w:t>1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 w:eastAsia="PingFang SC"/>
              </w:rPr>
              <w:t>无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 w:eastAsia="PingFang SC"/>
              </w:rPr>
              <w:t>启用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Calibri" w:hAnsi="Calibri" w:eastAsia="PingFang SC"/>
              </w:rPr>
              <w:t>云资产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 w:eastAsia="PingFang SC"/>
              </w:rPr>
              <w:t>云资产标识规则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 w:eastAsia="PingFang SC"/>
              </w:rPr>
              <w:t>无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 w:eastAsia="PingFang SC"/>
              </w:rPr>
              <w:t>固定字符、流水号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 w:eastAsia="PingFang SC"/>
              </w:rPr>
              <w:t>CL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 w:eastAsia="PingFang SC"/>
              </w:rPr>
              <w:t>9 位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 w:eastAsia="PingFang SC"/>
              </w:rPr>
              <w:t>1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 w:eastAsia="PingFang SC"/>
              </w:rPr>
              <w:t>无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 w:eastAsia="PingFang SC"/>
              </w:rPr>
              <w:t>启用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Calibri" w:hAnsi="Calibri" w:eastAsia="PingFang SC"/>
              </w:rPr>
              <w:t>捆绑资产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 w:eastAsia="PingFang SC"/>
              </w:rPr>
              <w:t>捆绑资产标识规则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 w:eastAsia="PingFang SC"/>
              </w:rPr>
              <w:t>无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 w:eastAsia="PingFang SC"/>
              </w:rPr>
              <w:t>固定字符、流水号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 w:eastAsia="PingFang SC"/>
              </w:rPr>
              <w:t>B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 w:eastAsia="PingFang SC"/>
              </w:rPr>
              <w:t>9 位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 w:eastAsia="PingFang SC"/>
              </w:rPr>
              <w:t>1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 w:eastAsia="PingFang SC"/>
              </w:rPr>
              <w:t>无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 w:eastAsia="PingFang SC"/>
              </w:rPr>
              <w:t>启用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Calibri" w:hAnsi="Calibri" w:eastAsia="PingFang SC"/>
              </w:rPr>
              <w:t>托盘资产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 w:eastAsia="PingFang SC"/>
              </w:rPr>
              <w:t>托盘资产标识规则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 w:eastAsia="PingFang SC"/>
              </w:rPr>
              <w:t>无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 w:eastAsia="PingFang SC"/>
              </w:rPr>
              <w:t>固定字符、流水号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 w:eastAsia="PingFang SC"/>
              </w:rPr>
              <w:t>PAL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 w:eastAsia="PingFang SC"/>
              </w:rPr>
              <w:t>7 位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 w:eastAsia="PingFang SC"/>
              </w:rPr>
              <w:t>1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 w:eastAsia="PingFang SC"/>
              </w:rPr>
              <w:t>无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 w:eastAsia="PingFang SC"/>
              </w:rPr>
              <w:t>启用</w:t>
            </w:r>
          </w:p>
        </w:tc>
      </w:tr>
    </w:tbl>
    <w:p/>
    <w:p>
      <w:pPr>
        <w:ind w:left="360"/>
      </w:pPr>
      <w:r>
        <w:rPr>
          <w:rFonts w:ascii="Calibri" w:hAnsi="Calibri" w:eastAsia="PingFang SC"/>
          <w:color w:val="8C8C8C"/>
        </w:rPr>
        <w:t xml:space="preserve">▍ </w:t>
      </w:r>
      <w:r>
        <w:rPr>
          <w:rFonts w:ascii="Calibri" w:hAnsi="Calibri" w:eastAsia="PingFang SC"/>
        </w:rPr>
        <w:t>说明：点击规则名称查看详情时，显示对应固定字符、流水号位数、起始值与连接符。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3.5 新增配置规则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3.5.1 功能描述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需求点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逻辑描述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第一步：选择覆盖范围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选择资产类型与资产规格分类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资产类型展示当前已有的所有类型及「全选」；配置项中不包括合同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资产规格分类联动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分类下拉随资产类型联动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资产类型未选或选「全选」时，分类下拉显示：系统已有全部规格分类 + 「全选」，非必填；选择部分资产类型时，分类下拉仅显示该类型下已有分类 + 「全选」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覆盖范围校验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至少选一个规格才可保存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资产类型/资产规格分类至少选择一个，否则无法保存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第二步：设定规则（添加规则模块）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规则可为多个或 1 个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支持添加多段规则并排序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段类型-公共属性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选中覆盖范围对应实例表已有属性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下拉展示可选属性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段类型-流水号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可选位数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下拉显示 5/6/7/8/9 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段类型-创建日期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可选粒度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下拉显示年、年月、年月日，并基于当前年份给出示例（如 202511）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段排序（拖动）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调整规则顺序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选择某行规则时可上下拖动调整顺序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第三步：基础设置-连接符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段间连接符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下拉选择连接符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第三步：基础设置-流水号起始值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起始值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可不填，最小值 1；不填时系统默认从当前已有流水号+1 开始生成并自增；流水号不随日期或公共属性重置，全部自动自增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是否启用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规则生成后状态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默认启用；否则为禁用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预览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展示编码示例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根据设置的规则实时展示编码示例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单一日期与流水号约束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一个规则内唯一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新建规则时只允许有一个创建日期段及一个流水号段，不可在一个规则中创建多个「创建日期/流水号」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3.5.2 段类型字段字典值说明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字典值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段类型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固定字符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人工输入的固定字符串，如前缀「P」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段类型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公共属性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覆盖范围对应实例表中已有的属性，下拉选择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段类型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流水号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自增数字段，可选位数 5/6/7/8/9 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段类型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创建日期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日期段，粒度可选：年 / 年月 / 年月日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流水号位数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5 / 6 / 7 / 8 / 9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流水号占位数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创建日期粒度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年 / 年月 / 年月日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示例基于当前年份，如 202511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连接符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短横线(-) / 下划线(_) / 无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段与段之间的分隔符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状态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启用 / 禁用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规则生效状态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3.6 启用、禁用、编辑、删除操作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操作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规则描述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删除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对于状态为「启用」的规则不可删除，必须先禁用再删除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编辑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可对已禁用的规则进行编辑；启用中的规则不可编辑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启用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启用时需校验：系统已启用规则对同一「资产类型」或「资产类型+资产规格分类」的唯一性属性不相同，才可启用；否则启用失败，提示「当前已有启用规则{规则名称}对于{资产类型}/{资产类型+资产规格分类}生成资产标识，请先禁用，再启用当前规则」。允许创建多个规则，但同一覆盖范围仅允许一个启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禁用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可对已启用的配置规则进行禁用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3.6.1 细颗粒度优先级生效</w:t>
      </w:r>
    </w:p>
    <w:p>
      <w:r>
        <w:rPr>
          <w:rFonts w:ascii="Calibri" w:hAnsi="Calibri" w:eastAsia="PingFang SC"/>
        </w:rPr>
        <w:t>启用规则时，若覆盖范围有更细颗粒度的规则，则按细颗粒度来生成。例如：硬件资产有规则 A，硬件资产→空调有规则 B，则 A、B 可同时生效；生成空调实例时以 B 为准，其他硬件资产实例以 A 规则为准。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3.7 生成异常与提示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场景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系统行为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编号资源耗尽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新增资产时若无法再生成资产标识，则增加资产失败，提示「无法生成新的资产标识！当前类型的资产标识编号资源已耗尽，需要新建规则。」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无对应规则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新增资产时若系统找不到对应类型的规则，则增加资产失败，提示「无法生成新的资产标识！当前类型的资产标识不存在生成规则，需要新建规则。」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3.8 页面功能与交互逻辑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3.8.1 列表页</w:t>
      </w:r>
    </w:p>
    <w:p>
      <w:pPr>
        <w:pStyle w:val="ListBullet"/>
      </w:pPr>
      <w:r>
        <w:rPr>
          <w:rFonts w:ascii="Calibri" w:hAnsi="Calibri" w:eastAsia="PingFang SC"/>
        </w:rPr>
        <w:t>展示全部规则，列：规则名称（可点击）、资产类型、资产规格分类、唯一性属性、状态。</w:t>
      </w:r>
    </w:p>
    <w:p>
      <w:pPr>
        <w:pStyle w:val="ListBullet"/>
      </w:pPr>
      <w:r>
        <w:rPr>
          <w:rFonts w:ascii="Calibri" w:hAnsi="Calibri" w:eastAsia="PingFang SC"/>
        </w:rPr>
        <w:t>操作：新建、编辑（仅禁用态）、启用/禁用、删除（仅禁用态，二次确认）。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3.8.2 详情/新建页</w:t>
      </w:r>
    </w:p>
    <w:p>
      <w:pPr>
        <w:pStyle w:val="ListBullet"/>
      </w:pPr>
      <w:r>
        <w:rPr>
          <w:rFonts w:ascii="Calibri" w:hAnsi="Calibri" w:eastAsia="PingFang SC"/>
        </w:rPr>
        <w:t>分区：</w:t>
      </w:r>
      <w:r>
        <w:rPr>
          <w:rFonts w:ascii="Calibri" w:hAnsi="Calibri" w:eastAsia="PingFang SC"/>
          <w:b/>
        </w:rPr>
        <w:t>基本信息</w:t>
      </w:r>
      <w:r>
        <w:rPr>
          <w:rFonts w:ascii="Calibri" w:hAnsi="Calibri" w:eastAsia="PingFang SC"/>
        </w:rPr>
        <w:t>（规则名称、资产类型、状态开关）、</w:t>
      </w:r>
      <w:r>
        <w:rPr>
          <w:rFonts w:ascii="Calibri" w:hAnsi="Calibri" w:eastAsia="PingFang SC"/>
          <w:b/>
        </w:rPr>
        <w:t>规则配置</w:t>
      </w:r>
      <w:r>
        <w:rPr>
          <w:rFonts w:ascii="Calibri" w:hAnsi="Calibri" w:eastAsia="PingFang SC"/>
        </w:rPr>
        <w:t>（固定字符前缀 + 流水号位数 + 起始值 + 连接符）、</w:t>
      </w:r>
      <w:r>
        <w:rPr>
          <w:rFonts w:ascii="Calibri" w:hAnsi="Calibri" w:eastAsia="PingFang SC"/>
          <w:b/>
        </w:rPr>
        <w:t>预览</w:t>
      </w:r>
      <w:r>
        <w:rPr>
          <w:rFonts w:ascii="Calibri" w:hAnsi="Calibri" w:eastAsia="PingFang SC"/>
        </w:rPr>
        <w:t>（实时示例）。</w:t>
      </w:r>
    </w:p>
    <w:p>
      <w:pPr>
        <w:pStyle w:val="ListBullet"/>
      </w:pPr>
      <w:r>
        <w:rPr>
          <w:rFonts w:ascii="Calibri" w:hAnsi="Calibri" w:eastAsia="PingFang SC"/>
        </w:rPr>
        <w:t>深链访问不存在的规则 ID 时展示 404 结果页与「返回资产标识配置规则」入口。</w:t>
      </w:r>
    </w:p>
    <w:p>
      <w:pPr>
        <w:pStyle w:val="ListBullet"/>
      </w:pPr>
      <w:r>
        <w:rPr>
          <w:rFonts w:ascii="Calibri" w:hAnsi="Calibri" w:eastAsia="PingFang SC"/>
        </w:rPr>
        <w:t>保存时做必填与唯一性校验。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3.9 日志审计</w:t>
      </w:r>
    </w:p>
    <w:p>
      <w:r>
        <w:rPr>
          <w:rFonts w:ascii="Calibri" w:hAnsi="Calibri" w:eastAsia="PingFang SC"/>
        </w:rPr>
        <w:t>规则的新增、编辑、启用、禁用、删除操作按统一日志规范记录，格式示例：【操作人】于【时间】对模块【设置/资产标识配置规则】执行了【操作】操作，操作内容为【规则名称】，操作结果为【成功/失败】。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3.10 其他说明</w:t>
      </w:r>
    </w:p>
    <w:p>
      <w:pPr>
        <w:pStyle w:val="ListBullet"/>
      </w:pPr>
      <w:r>
        <w:rPr>
          <w:rFonts w:ascii="Calibri" w:hAnsi="Calibri" w:eastAsia="PingFang SC"/>
        </w:rPr>
        <w:t>需要考虑移动端适配问题。</w:t>
      </w:r>
    </w:p>
    <w:p>
      <w:pPr>
        <w:pStyle w:val="ListBullet"/>
      </w:pPr>
      <w:r>
        <w:rPr>
          <w:rFonts w:ascii="Calibri" w:hAnsi="Calibri" w:eastAsia="PingFang SC"/>
        </w:rPr>
        <w:t>自定义属性字典（在自定义属性字典列表页新建属性并配置字典值）本期不做。</w:t>
      </w:r>
    </w:p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4. 验收标准</w:t>
      </w:r>
    </w:p>
    <w:p>
      <w:pPr>
        <w:pStyle w:val="ListBullet"/>
      </w:pPr>
      <w:r>
        <w:rPr>
          <w:rFonts w:ascii="Calibri" w:hAnsi="Calibri" w:eastAsia="PingFang SC"/>
        </w:rPr>
        <w:t>「设置」下存在「资产标识配置规则」入口，列表可查看六种系统默认规则且默认启用。</w:t>
      </w:r>
    </w:p>
    <w:p>
      <w:pPr>
        <w:pStyle w:val="ListBullet"/>
      </w:pPr>
      <w:r>
        <w:rPr>
          <w:rFonts w:ascii="Calibri" w:hAnsi="Calibri" w:eastAsia="PingFang SC"/>
        </w:rPr>
        <w:t>可完成规则的新建、编辑（仅禁用态）、启用/禁用、删除（仅禁用态）全流程。</w:t>
      </w:r>
    </w:p>
    <w:p>
      <w:pPr>
        <w:pStyle w:val="ListBullet"/>
      </w:pPr>
      <w:r>
        <w:rPr>
          <w:rFonts w:ascii="Calibri" w:hAnsi="Calibri" w:eastAsia="PingFang SC"/>
        </w:rPr>
        <w:t>启用校验生效：同一覆盖范围仅允许一个启用规则，冲突时给出规定提示文案。</w:t>
      </w:r>
    </w:p>
    <w:p>
      <w:pPr>
        <w:pStyle w:val="ListBullet"/>
      </w:pPr>
      <w:r>
        <w:rPr>
          <w:rFonts w:ascii="Calibri" w:hAnsi="Calibri" w:eastAsia="PingFang SC"/>
        </w:rPr>
        <w:t>细颗粒度规则优先生效：类型级与「类型+分类」级规则可同时启用，实例生成以细颗粒度为准。</w:t>
      </w:r>
    </w:p>
    <w:p>
      <w:pPr>
        <w:pStyle w:val="ListBullet"/>
      </w:pPr>
      <w:r>
        <w:rPr>
          <w:rFonts w:ascii="Calibri" w:hAnsi="Calibri" w:eastAsia="PingFang SC"/>
        </w:rPr>
        <w:t>编码资源耗尽/无规则时按规定文案阻断资产创建。</w:t>
      </w:r>
    </w:p>
    <w:p>
      <w:pPr>
        <w:pStyle w:val="ListBullet"/>
      </w:pPr>
      <w:r>
        <w:rPr>
          <w:rFonts w:ascii="Calibri" w:hAnsi="Calibri" w:eastAsia="PingFang SC"/>
        </w:rPr>
        <w:t>新建页可实时预览编码示例，深链 404 守卫生效。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