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托盘资产管理 PRD</w:t>
      </w:r>
    </w:p>
    <w:p>
      <w:pPr>
        <w:ind w:left="360"/>
      </w:pPr>
      <w:r>
        <w:rPr>
          <w:rFonts w:ascii="Calibri" w:hAnsi="Calibri" w:eastAsia="PingFang SC"/>
          <w:color w:val="8C8C8C"/>
        </w:rPr>
        <w:t xml:space="preserve">▍ </w:t>
      </w:r>
      <w:r>
        <w:rPr>
          <w:rFonts w:ascii="Calibri" w:hAnsi="Calibri" w:eastAsia="PingFang SC"/>
        </w:rPr>
        <w:t>对应功能架构：Pallets Mgmt（Pallet Asset Manipulation / Moving Pallets）　｜　对应原型：资产管理 → 资产台账（托盘资产）、规格管理 → Pallet models</w:t>
      </w:r>
    </w:p>
    <w:p>
      <w:pPr>
        <w:ind w:left="360"/>
      </w:pPr>
      <w:r>
        <w:rPr>
          <w:rFonts w:ascii="Calibri" w:hAnsi="Calibri" w:eastAsia="PingFang SC"/>
          <w:color w:val="8C8C8C"/>
        </w:rPr>
        <w:t xml:space="preserve">▍ </w:t>
      </w:r>
      <w:r>
        <w:rPr>
          <w:rFonts w:ascii="Calibri" w:hAnsi="Calibri" w:eastAsia="PingFang SC"/>
        </w:rPr>
        <w:t>文档性质：产品需求说明书（PRD）　｜　权威依据：最新系统截图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标品 Demo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资产管理 / 资产台账（托盘资产）；规格管理（Pallet models）</w:t>
            </w:r>
          </w:p>
        </w:tc>
      </w:tr>
      <w:tr>
        <w:tc>
          <w:tcPr>
            <w:tcW w:type="dxa" w:w="4320"/>
          </w:tcPr>
          <w:p>
            <w:r/>
            <w:r>
              <w:rPr>
                <w:rFonts w:ascii="Calibri" w:hAnsi="Calibri" w:eastAsia="PingFang SC"/>
              </w:rPr>
              <w:t>优先级</w:t>
            </w:r>
          </w:p>
        </w:tc>
        <w:tc>
          <w:tcPr>
            <w:tcW w:type="dxa" w:w="4320"/>
          </w:tcPr>
          <w:p>
            <w:r/>
            <w:r>
              <w:rPr>
                <w:rFonts w:ascii="Calibri" w:hAnsi="Calibri" w:eastAsia="PingFang SC"/>
              </w:rPr>
              <w:t>P0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Pallet models 列表/详情、`/asset/ledger`（托盘资产分类）、托盘详情页 Assets 关联页卡</w:t>
            </w:r>
          </w:p>
        </w:tc>
      </w:tr>
      <w:tr>
        <w:tc>
          <w:tcPr>
            <w:tcW w:type="dxa" w:w="4320"/>
          </w:tcPr>
          <w:p>
            <w:r/>
            <w:r>
              <w:rPr>
                <w:rFonts w:ascii="Calibri" w:hAnsi="Calibri" w:eastAsia="PingFang SC"/>
              </w:rPr>
              <w:t>关联源文档</w:t>
            </w:r>
          </w:p>
        </w:tc>
        <w:tc>
          <w:tcPr>
            <w:tcW w:type="dxa" w:w="4320"/>
          </w:tcPr>
          <w:p>
            <w:r/>
            <w:r>
              <w:rPr>
                <w:rFonts w:ascii="Calibri" w:hAnsi="Calibri" w:eastAsia="PingFang SC"/>
              </w:rPr>
              <w:t>《Pallet Asset Manipulation-Pallets Mgmt》《Moving Pallets-Pallets Mgmt》</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初版</w:t>
            </w:r>
          </w:p>
        </w:tc>
        <w:tc>
          <w:tcPr>
            <w:tcW w:type="dxa" w:w="2880"/>
          </w:tcPr>
          <w:p>
            <w:r/>
            <w:r>
              <w:rPr>
                <w:rFonts w:ascii="Calibri" w:hAnsi="Calibri" w:eastAsia="PingFang SC"/>
              </w:rPr>
              <w:t>Vivian</w:t>
            </w:r>
          </w:p>
        </w:tc>
        <w:tc>
          <w:tcPr>
            <w:tcW w:type="dxa" w:w="2880"/>
          </w:tcPr>
          <w:p>
            <w:r/>
            <w:r>
              <w:rPr>
                <w:rFonts w:ascii="Calibri" w:hAnsi="Calibri" w:eastAsia="PingFang SC"/>
              </w:rPr>
              <w:t>新建托盘规格、创建托盘资产、向托盘添加/删除资产内容</w:t>
            </w:r>
          </w:p>
        </w:tc>
      </w:tr>
      <w:tr>
        <w:tc>
          <w:tcPr>
            <w:tcW w:type="dxa" w:w="2880"/>
          </w:tcPr>
          <w:p>
            <w:r/>
            <w:r>
              <w:rPr>
                <w:rFonts w:ascii="Calibri" w:hAnsi="Calibri" w:eastAsia="PingFang SC"/>
              </w:rPr>
              <w:t>迭代</w:t>
            </w:r>
          </w:p>
        </w:tc>
        <w:tc>
          <w:tcPr>
            <w:tcW w:type="dxa" w:w="2880"/>
          </w:tcPr>
          <w:p>
            <w:r/>
            <w:r>
              <w:rPr>
                <w:rFonts w:ascii="Calibri" w:hAnsi="Calibri" w:eastAsia="PingFang SC"/>
              </w:rPr>
              <w:t>Vivian</w:t>
            </w:r>
          </w:p>
        </w:tc>
        <w:tc>
          <w:tcPr>
            <w:tcW w:type="dxa" w:w="2880"/>
          </w:tcPr>
          <w:p>
            <w:r/>
            <w:r>
              <w:rPr>
                <w:rFonts w:ascii="Calibri" w:hAnsi="Calibri" w:eastAsia="PingFang SC"/>
              </w:rPr>
              <w:t>补充 Moving Pallets（用转移单移动托盘及资产）能力</w:t>
            </w:r>
          </w:p>
        </w:tc>
      </w:tr>
      <w:tr>
        <w:tc>
          <w:tcPr>
            <w:tcW w:type="dxa" w:w="2880"/>
          </w:tcPr>
          <w:p>
            <w:r/>
            <w:r>
              <w:rPr>
                <w:rFonts w:ascii="Calibri" w:hAnsi="Calibri" w:eastAsia="PingFang SC"/>
              </w:rPr>
              <w:t>对齐原型</w:t>
            </w:r>
          </w:p>
        </w:tc>
        <w:tc>
          <w:tcPr>
            <w:tcW w:type="dxa" w:w="2880"/>
          </w:tcPr>
          <w:p>
            <w:r/>
            <w:r>
              <w:rPr>
                <w:rFonts w:ascii="Calibri" w:hAnsi="Calibri" w:eastAsia="PingFang SC"/>
              </w:rPr>
              <w:t>产品</w:t>
            </w:r>
          </w:p>
        </w:tc>
        <w:tc>
          <w:tcPr>
            <w:tcW w:type="dxa" w:w="2880"/>
          </w:tcPr>
          <w:p>
            <w:r/>
            <w:r>
              <w:rPr>
                <w:rFonts w:ascii="Calibri" w:hAnsi="Calibri" w:eastAsia="PingFang SC"/>
              </w:rPr>
              <w:t>对齐字段命名；托盘资产 Asset tag 规则 `PAL+7位数字`</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w:t>
            </w:r>
          </w:p>
        </w:tc>
        <w:tc>
          <w:tcPr>
            <w:tcW w:type="dxa" w:w="4320"/>
          </w:tcPr>
          <w:p>
            <w:r>
              <w:rPr>
                <w:b/>
              </w:rPr>
            </w:r>
            <w:r>
              <w:rPr>
                <w:rFonts w:ascii="Calibri" w:hAnsi="Calibri" w:eastAsia="PingFang SC"/>
                <w:b/>
              </w:rPr>
              <w:t>含义</w:t>
            </w:r>
          </w:p>
        </w:tc>
      </w:tr>
      <w:tr>
        <w:tc>
          <w:tcPr>
            <w:tcW w:type="dxa" w:w="4320"/>
          </w:tcPr>
          <w:p>
            <w:r/>
            <w:r>
              <w:rPr>
                <w:rFonts w:ascii="Calibri" w:hAnsi="Calibri" w:eastAsia="PingFang SC"/>
              </w:rPr>
              <w:t>Pallet（托盘）</w:t>
            </w:r>
          </w:p>
        </w:tc>
        <w:tc>
          <w:tcPr>
            <w:tcW w:type="dxa" w:w="4320"/>
          </w:tcPr>
          <w:p>
            <w:r/>
            <w:r>
              <w:rPr>
                <w:rFonts w:ascii="Calibri" w:hAnsi="Calibri" w:eastAsia="PingFang SC"/>
              </w:rPr>
              <w:t>将库存中的资产作为一个组进行跟踪和管理的资产类，可整组移动或处置</w:t>
            </w:r>
          </w:p>
        </w:tc>
      </w:tr>
      <w:tr>
        <w:tc>
          <w:tcPr>
            <w:tcW w:type="dxa" w:w="4320"/>
          </w:tcPr>
          <w:p>
            <w:r/>
            <w:r>
              <w:rPr>
                <w:rFonts w:ascii="Calibri" w:hAnsi="Calibri" w:eastAsia="PingFang SC"/>
              </w:rPr>
              <w:t>Pallet Model（托盘规格）</w:t>
            </w:r>
          </w:p>
        </w:tc>
        <w:tc>
          <w:tcPr>
            <w:tcW w:type="dxa" w:w="4320"/>
          </w:tcPr>
          <w:p>
            <w:r/>
            <w:r>
              <w:rPr>
                <w:rFonts w:ascii="Calibri" w:hAnsi="Calibri" w:eastAsia="PingFang SC"/>
              </w:rPr>
              <w:t>Model category 系统默认为 Pallet 且不可修改的规格，其余字段与 Bundle model 相同</w:t>
            </w:r>
          </w:p>
        </w:tc>
      </w:tr>
      <w:tr>
        <w:tc>
          <w:tcPr>
            <w:tcW w:type="dxa" w:w="4320"/>
          </w:tcPr>
          <w:p>
            <w:r/>
            <w:r>
              <w:rPr>
                <w:rFonts w:ascii="Calibri" w:hAnsi="Calibri" w:eastAsia="PingFang SC"/>
              </w:rPr>
              <w:t>Add assets to a pallet</w:t>
            </w:r>
          </w:p>
        </w:tc>
        <w:tc>
          <w:tcPr>
            <w:tcW w:type="dxa" w:w="4320"/>
          </w:tcPr>
          <w:p>
            <w:r/>
            <w:r>
              <w:rPr>
                <w:rFonts w:ascii="Calibri" w:hAnsi="Calibri" w:eastAsia="PingFang SC"/>
              </w:rPr>
              <w:t>将硬件、捆绑、耗材和其他托盘资产添加到托盘</w:t>
            </w:r>
          </w:p>
        </w:tc>
      </w:tr>
      <w:tr>
        <w:tc>
          <w:tcPr>
            <w:tcW w:type="dxa" w:w="4320"/>
          </w:tcPr>
          <w:p>
            <w:r/>
            <w:r>
              <w:rPr>
                <w:rFonts w:ascii="Calibri" w:hAnsi="Calibri" w:eastAsia="PingFang SC"/>
              </w:rPr>
              <w:t>Moving Pallets（移动托盘）</w:t>
            </w:r>
          </w:p>
        </w:tc>
        <w:tc>
          <w:tcPr>
            <w:tcW w:type="dxa" w:w="4320"/>
          </w:tcPr>
          <w:p>
            <w:r/>
            <w:r>
              <w:rPr>
                <w:rFonts w:ascii="Calibri" w:hAnsi="Calibri" w:eastAsia="PingFang SC"/>
              </w:rPr>
              <w:t>用转移单将库存中的托盘及其中包含的资产从一个库房移动到另一个库房</w:t>
            </w:r>
          </w:p>
        </w:tc>
      </w:tr>
      <w:tr>
        <w:tc>
          <w:tcPr>
            <w:tcW w:type="dxa" w:w="4320"/>
          </w:tcPr>
          <w:p>
            <w:r/>
            <w:r>
              <w:rPr>
                <w:rFonts w:ascii="Calibri" w:hAnsi="Calibri" w:eastAsia="PingFang SC"/>
              </w:rPr>
              <w:t>Transfer order（转移单）</w:t>
            </w:r>
          </w:p>
        </w:tc>
        <w:tc>
          <w:tcPr>
            <w:tcW w:type="dxa" w:w="4320"/>
          </w:tcPr>
          <w:p>
            <w:r/>
            <w:r>
              <w:rPr>
                <w:rFonts w:ascii="Calibri" w:hAnsi="Calibri" w:eastAsia="PingFang SC"/>
              </w:rPr>
              <w:t>移动托盘及资产的工作流单据</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资产规格管理</w:t>
            </w:r>
          </w:p>
        </w:tc>
        <w:tc>
          <w:tcPr>
            <w:tcW w:type="dxa" w:w="2160"/>
          </w:tcPr>
          <w:p>
            <w:r/>
            <w:r>
              <w:rPr>
                <w:rFonts w:ascii="Calibri" w:hAnsi="Calibri" w:eastAsia="PingFang SC"/>
              </w:rPr>
              <w:t>托盘资产需先创建 Pallet model（category=Pallet）再实例化</w:t>
            </w:r>
          </w:p>
        </w:tc>
        <w:tc>
          <w:tcPr>
            <w:tcW w:type="dxa" w:w="2160"/>
          </w:tcPr>
          <w:p>
            <w:r/>
            <w:r>
              <w:rPr>
                <w:rFonts w:ascii="Calibri" w:hAnsi="Calibri" w:eastAsia="PingFang SC"/>
              </w:rPr>
              <w:t>已实现</w:t>
            </w:r>
          </w:p>
        </w:tc>
      </w:tr>
      <w:tr>
        <w:tc>
          <w:tcPr>
            <w:tcW w:type="dxa" w:w="2160"/>
          </w:tcPr>
          <w:p>
            <w:r/>
            <w:r>
              <w:rPr>
                <w:rFonts w:ascii="Calibri" w:hAnsi="Calibri" w:eastAsia="PingFang SC"/>
              </w:rPr>
              <w:t>2</w:t>
            </w:r>
          </w:p>
        </w:tc>
        <w:tc>
          <w:tcPr>
            <w:tcW w:type="dxa" w:w="2160"/>
          </w:tcPr>
          <w:p>
            <w:r/>
            <w:r>
              <w:rPr>
                <w:rFonts w:ascii="Calibri" w:hAnsi="Calibri" w:eastAsia="PingFang SC"/>
              </w:rPr>
              <w:t>库存管理（库房）</w:t>
            </w:r>
          </w:p>
        </w:tc>
        <w:tc>
          <w:tcPr>
            <w:tcW w:type="dxa" w:w="2160"/>
          </w:tcPr>
          <w:p>
            <w:r/>
            <w:r>
              <w:rPr>
                <w:rFonts w:ascii="Calibri" w:hAnsi="Calibri" w:eastAsia="PingFang SC"/>
              </w:rPr>
              <w:t>托盘与资产的关联、移动均涉及 Stockroom</w:t>
            </w:r>
          </w:p>
        </w:tc>
        <w:tc>
          <w:tcPr>
            <w:tcW w:type="dxa" w:w="2160"/>
          </w:tcPr>
          <w:p>
            <w:r/>
            <w:r>
              <w:rPr>
                <w:rFonts w:ascii="Calibri" w:hAnsi="Calibri" w:eastAsia="PingFang SC"/>
              </w:rPr>
              <w:t>已实现</w:t>
            </w:r>
          </w:p>
        </w:tc>
      </w:tr>
      <w:tr>
        <w:tc>
          <w:tcPr>
            <w:tcW w:type="dxa" w:w="2160"/>
          </w:tcPr>
          <w:p>
            <w:r/>
            <w:r>
              <w:rPr>
                <w:rFonts w:ascii="Calibri" w:hAnsi="Calibri" w:eastAsia="PingFang SC"/>
              </w:rPr>
              <w:t>3</w:t>
            </w:r>
          </w:p>
        </w:tc>
        <w:tc>
          <w:tcPr>
            <w:tcW w:type="dxa" w:w="2160"/>
          </w:tcPr>
          <w:p>
            <w:r/>
            <w:r>
              <w:rPr>
                <w:rFonts w:ascii="Calibri" w:hAnsi="Calibri" w:eastAsia="PingFang SC"/>
              </w:rPr>
              <w:t>硬件/耗材/捆绑资产</w:t>
            </w:r>
          </w:p>
        </w:tc>
        <w:tc>
          <w:tcPr>
            <w:tcW w:type="dxa" w:w="2160"/>
          </w:tcPr>
          <w:p>
            <w:r/>
            <w:r>
              <w:rPr>
                <w:rFonts w:ascii="Calibri" w:hAnsi="Calibri" w:eastAsia="PingFang SC"/>
              </w:rPr>
              <w:t>可被添加到托盘中的资产类型</w:t>
            </w:r>
          </w:p>
        </w:tc>
        <w:tc>
          <w:tcPr>
            <w:tcW w:type="dxa" w:w="2160"/>
          </w:tcPr>
          <w:p>
            <w:r/>
            <w:r>
              <w:rPr>
                <w:rFonts w:ascii="Calibri" w:hAnsi="Calibri" w:eastAsia="PingFang SC"/>
              </w:rPr>
              <w:t>已实现</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使用 Pallet 资产类将库存中的资产作为一个组进行跟踪和管理。可以轻松地在不同位置之间移动一组资产，也可以将它们作为一个组进行处置。托盘资产与捆绑资产的区别在于：捆绑资产是逻辑上的资产组合（component），而托盘更侧重库房内一组资产的物理归集与整组移动。</w:t>
      </w:r>
    </w:p>
    <w:p>
      <w:r>
        <w:rPr>
          <w:rFonts w:ascii="Calibri" w:hAnsi="Calibri" w:eastAsia="PingFang SC"/>
        </w:rPr>
        <w:t>用转移单可将库存中的托盘及其中包含的资产从一个库房移动到另一个库房；若仅移动托盘中包含的资产，则任务结束后这些资产将从托盘中删除；也可以使用转移单移动空托盘。作为转移单工作流程的一部分，在托盘上执行的更新适用于其中包含的资产。若收到的全部或部分资产出现问题，可退回托盘及其资产（无法退回托盘中包含的单个资产）。</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整组跟踪</w:t>
      </w:r>
      <w:r>
        <w:rPr>
          <w:rFonts w:ascii="Calibri" w:hAnsi="Calibri" w:eastAsia="PingFang SC"/>
        </w:rPr>
        <w:t>：将库存中一组资产作为单一托盘实体跟踪与管理。</w:t>
      </w:r>
    </w:p>
    <w:p>
      <w:pPr>
        <w:pStyle w:val="ListBullet"/>
      </w:pPr>
      <w:r>
        <w:rPr>
          <w:rFonts w:ascii="Calibri" w:hAnsi="Calibri" w:eastAsia="PingFang SC"/>
          <w:b/>
        </w:rPr>
        <w:t>高效移动</w:t>
      </w:r>
      <w:r>
        <w:rPr>
          <w:rFonts w:ascii="Calibri" w:hAnsi="Calibri" w:eastAsia="PingFang SC"/>
        </w:rPr>
        <w:t>：通过转移单在库房间整组移动托盘及资产，托盘上的更新自动适用于包含的资产。</w:t>
      </w:r>
    </w:p>
    <w:p>
      <w:pPr>
        <w:pStyle w:val="ListBullet"/>
      </w:pPr>
      <w:r>
        <w:rPr>
          <w:rFonts w:ascii="Calibri" w:hAnsi="Calibri" w:eastAsia="PingFang SC"/>
          <w:b/>
        </w:rPr>
        <w:t>整组处置</w:t>
      </w:r>
      <w:r>
        <w:rPr>
          <w:rFonts w:ascii="Calibri" w:hAnsi="Calibri" w:eastAsia="PingFang SC"/>
        </w:rPr>
        <w:t>：可将托盘作为一个组进行处置。</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ServiceNow Pallet Asset：托盘作为资产组容器，资产添加/删除受状态与父资产约束；资产添加后其状态、子状态、位置、库房与托盘同步（预分配资产子状态除外）；托盘可通过转移单移动。</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库管</w:t>
      </w:r>
      <w:r>
        <w:rPr>
          <w:rFonts w:ascii="Calibri" w:hAnsi="Calibri" w:eastAsia="PingFang SC"/>
        </w:rPr>
        <w:t>，我希望创建托盘规格与托盘资产，以便将库存资产整组管理。</w:t>
      </w:r>
    </w:p>
    <w:p>
      <w:pPr>
        <w:pStyle w:val="ListBullet"/>
      </w:pPr>
      <w:r>
        <w:rPr>
          <w:rFonts w:ascii="Calibri" w:hAnsi="Calibri" w:eastAsia="PingFang SC"/>
        </w:rPr>
        <w:t>作为</w:t>
      </w:r>
      <w:r>
        <w:rPr>
          <w:rFonts w:ascii="Calibri" w:hAnsi="Calibri" w:eastAsia="PingFang SC"/>
          <w:b/>
        </w:rPr>
        <w:t>库管</w:t>
      </w:r>
      <w:r>
        <w:rPr>
          <w:rFonts w:ascii="Calibri" w:hAnsi="Calibri" w:eastAsia="PingFang SC"/>
        </w:rPr>
        <w:t>，我希望将符合条件的硬件/耗材/捆绑资产添加到托盘并整组移动，以便提升库房作业效率。</w:t>
      </w:r>
    </w:p>
    <w:p>
      <w:pPr>
        <w:pStyle w:val="ListBullet"/>
      </w:pPr>
      <w:r>
        <w:rPr>
          <w:rFonts w:ascii="Calibri" w:hAnsi="Calibri" w:eastAsia="PingFang SC"/>
        </w:rPr>
        <w:t>作为</w:t>
      </w:r>
      <w:r>
        <w:rPr>
          <w:rFonts w:ascii="Calibri" w:hAnsi="Calibri" w:eastAsia="PingFang SC"/>
          <w:b/>
        </w:rPr>
        <w:t>资产管理员</w:t>
      </w:r>
      <w:r>
        <w:rPr>
          <w:rFonts w:ascii="Calibri" w:hAnsi="Calibri" w:eastAsia="PingFang SC"/>
        </w:rPr>
        <w:t>，我希望在托盘为空时才能删除托盘，以便避免误删仍有资产关联的托盘。</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托盘规格 Pallet Model</w:t>
      </w:r>
    </w:p>
    <w:p>
      <w:pPr>
        <w:pStyle w:val="Heading4"/>
      </w:pPr>
      <w:r>
        <w:rPr>
          <w:rFonts w:ascii="Calibri" w:hAnsi="Calibri" w:eastAsia="PingFang SC"/>
        </w:rPr>
      </w:r>
      <w:r>
        <w:rPr>
          <w:rFonts w:ascii="Calibri" w:hAnsi="Calibri" w:eastAsia="PingFang SC"/>
        </w:rPr>
        <w:t>3.1.1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Pallet Model</w:t>
            </w:r>
          </w:p>
        </w:tc>
        <w:tc>
          <w:tcPr>
            <w:tcW w:type="dxa" w:w="2880"/>
          </w:tcPr>
          <w:p>
            <w:r/>
            <w:r>
              <w:rPr>
                <w:rFonts w:ascii="Calibri" w:hAnsi="Calibri" w:eastAsia="PingFang SC"/>
              </w:rPr>
              <w:t>创建托盘规格</w:t>
            </w:r>
          </w:p>
        </w:tc>
        <w:tc>
          <w:tcPr>
            <w:tcW w:type="dxa" w:w="2880"/>
          </w:tcPr>
          <w:p>
            <w:r/>
            <w:r>
              <w:rPr>
                <w:rFonts w:ascii="Calibri" w:hAnsi="Calibri" w:eastAsia="PingFang SC"/>
              </w:rPr>
              <w:t>Model category 系统默认为 "Pallet" 且不可修改，其余页面字段与 Bundle model 创建字段相同；入口：进入 Model 菜单后增加 Pallet models 入口；新建后进入创建 model 页面，点击 Save 后创建成功</w:t>
            </w:r>
          </w:p>
        </w:tc>
      </w:tr>
    </w:tbl>
    <w:p/>
    <w:p>
      <w:pPr>
        <w:pStyle w:val="Heading3"/>
      </w:pPr>
      <w:r>
        <w:rPr>
          <w:rFonts w:ascii="Calibri" w:hAnsi="Calibri" w:eastAsia="PingFang SC"/>
        </w:rPr>
      </w:r>
      <w:r>
        <w:rPr>
          <w:rFonts w:ascii="Calibri" w:hAnsi="Calibri" w:eastAsia="PingFang SC"/>
        </w:rPr>
        <w:t>3.2 创建托盘资产 Pallet Asset</w:t>
      </w:r>
    </w:p>
    <w:p>
      <w:pPr>
        <w:pStyle w:val="Heading4"/>
      </w:pPr>
      <w:r>
        <w:rPr>
          <w:rFonts w:ascii="Calibri" w:hAnsi="Calibri" w:eastAsia="PingFang SC"/>
        </w:rPr>
      </w:r>
      <w:r>
        <w:rPr>
          <w:rFonts w:ascii="Calibri" w:hAnsi="Calibri" w:eastAsia="PingFang SC"/>
        </w:rPr>
        <w:t>3.2.1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Pallets Asset</w:t>
            </w:r>
          </w:p>
        </w:tc>
        <w:tc>
          <w:tcPr>
            <w:tcW w:type="dxa" w:w="2880"/>
          </w:tcPr>
          <w:p>
            <w:r/>
            <w:r>
              <w:rPr>
                <w:rFonts w:ascii="Calibri" w:hAnsi="Calibri" w:eastAsia="PingFang SC"/>
              </w:rPr>
              <w:t>创建托盘资产</w:t>
            </w:r>
          </w:p>
        </w:tc>
        <w:tc>
          <w:tcPr>
            <w:tcW w:type="dxa" w:w="2880"/>
          </w:tcPr>
          <w:p>
            <w:r/>
            <w:r>
              <w:rPr>
                <w:rFonts w:ascii="Calibri" w:hAnsi="Calibri" w:eastAsia="PingFang SC"/>
              </w:rPr>
              <w:t>资产页面菜单项增加创建托盘资产入口，点击 New 进入新建托盘资产详情页；点击 Save 后创建成功</w:t>
            </w:r>
          </w:p>
        </w:tc>
      </w:tr>
      <w:tr>
        <w:tc>
          <w:tcPr>
            <w:tcW w:type="dxa" w:w="2880"/>
          </w:tcPr>
          <w:p>
            <w:r/>
            <w:r>
              <w:rPr>
                <w:rFonts w:ascii="Calibri" w:hAnsi="Calibri" w:eastAsia="PingFang SC"/>
              </w:rPr>
              <w:t>Asset tag 生成</w:t>
            </w:r>
          </w:p>
        </w:tc>
        <w:tc>
          <w:tcPr>
            <w:tcW w:type="dxa" w:w="2880"/>
          </w:tcPr>
          <w:p>
            <w:r/>
            <w:r>
              <w:rPr>
                <w:rFonts w:ascii="Calibri" w:hAnsi="Calibri" w:eastAsia="PingFang SC"/>
              </w:rPr>
              <w:t>系统自动生成唯一编号</w:t>
            </w:r>
          </w:p>
        </w:tc>
        <w:tc>
          <w:tcPr>
            <w:tcW w:type="dxa" w:w="2880"/>
          </w:tcPr>
          <w:p>
            <w:r/>
            <w:r>
              <w:rPr>
                <w:rFonts w:ascii="Calibri" w:hAnsi="Calibri" w:eastAsia="PingFang SC"/>
              </w:rPr>
              <w:t>规则为 `PAL+7位数字`（如 PAL0000111）</w:t>
            </w:r>
          </w:p>
        </w:tc>
      </w:tr>
      <w:tr>
        <w:tc>
          <w:tcPr>
            <w:tcW w:type="dxa" w:w="2880"/>
          </w:tcPr>
          <w:p>
            <w:r/>
            <w:r>
              <w:rPr>
                <w:rFonts w:ascii="Calibri" w:hAnsi="Calibri" w:eastAsia="PingFang SC"/>
              </w:rPr>
              <w:t>Display name 生成</w:t>
            </w:r>
          </w:p>
        </w:tc>
        <w:tc>
          <w:tcPr>
            <w:tcW w:type="dxa" w:w="2880"/>
          </w:tcPr>
          <w:p>
            <w:r/>
            <w:r>
              <w:rPr>
                <w:rFonts w:ascii="Calibri" w:hAnsi="Calibri" w:eastAsia="PingFang SC"/>
              </w:rPr>
              <w:t>由 Asset tag 及 model 共同生成</w:t>
            </w:r>
          </w:p>
        </w:tc>
        <w:tc>
          <w:tcPr>
            <w:tcW w:type="dxa" w:w="2880"/>
          </w:tcPr>
          <w:p>
            <w:r/>
            <w:r>
              <w:rPr>
                <w:rFonts w:ascii="Calibri" w:hAnsi="Calibri" w:eastAsia="PingFang SC"/>
              </w:rPr>
              <w:t>例：Asset tag=PAL000000、Model=3Com Wooden，则 Display name="PAL000000-3Com Wooden"</w:t>
            </w:r>
          </w:p>
        </w:tc>
      </w:tr>
      <w:tr>
        <w:tc>
          <w:tcPr>
            <w:tcW w:type="dxa" w:w="2880"/>
          </w:tcPr>
          <w:p>
            <w:r/>
            <w:r>
              <w:rPr>
                <w:rFonts w:ascii="Calibri" w:hAnsi="Calibri" w:eastAsia="PingFang SC"/>
              </w:rPr>
              <w:t>State 联动字段</w:t>
            </w:r>
          </w:p>
        </w:tc>
        <w:tc>
          <w:tcPr>
            <w:tcW w:type="dxa" w:w="2880"/>
          </w:tcPr>
          <w:p>
            <w:r/>
            <w:r>
              <w:rPr>
                <w:rFonts w:ascii="Calibri" w:hAnsi="Calibri" w:eastAsia="PingFang SC"/>
              </w:rPr>
              <w:t>State 带出关联 substate 及关联字段</w:t>
            </w:r>
          </w:p>
        </w:tc>
        <w:tc>
          <w:tcPr>
            <w:tcW w:type="dxa" w:w="2880"/>
          </w:tcPr>
          <w:p>
            <w:r/>
            <w:r>
              <w:rPr>
                <w:rFonts w:ascii="Calibri" w:hAnsi="Calibri" w:eastAsia="PingFang SC"/>
              </w:rPr>
              <w:t>与硬件相同，State 不同显示不同字段（详见 3.2.3）</w:t>
            </w:r>
          </w:p>
        </w:tc>
      </w:tr>
    </w:tbl>
    <w:p/>
    <w:p>
      <w:pPr>
        <w:pStyle w:val="Heading4"/>
      </w:pPr>
      <w:r>
        <w:rPr>
          <w:rFonts w:ascii="Calibri" w:hAnsi="Calibri" w:eastAsia="PingFang SC"/>
        </w:rPr>
      </w:r>
      <w:r>
        <w:rPr>
          <w:rFonts w:ascii="Calibri" w:hAnsi="Calibri" w:eastAsia="PingFang SC"/>
        </w:rPr>
        <w:t>3.2.2 托盘资产字段说明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Asset tag / Number</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托盘资产唯一编号，系统自动生成，规则 `PAL+7位数字`（如 PAL0000111）</w:t>
            </w:r>
          </w:p>
        </w:tc>
      </w:tr>
      <w:tr>
        <w:tc>
          <w:tcPr>
            <w:tcW w:type="dxa" w:w="2160"/>
          </w:tcPr>
          <w:p>
            <w:r/>
            <w:r>
              <w:rPr>
                <w:rFonts w:ascii="Calibri" w:hAnsi="Calibri" w:eastAsia="PingFang SC"/>
              </w:rPr>
              <w:t>Pallet type</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下拉字典，表示托盘类型，字典为 Pallet、Bin、Box、Container、other</w:t>
            </w:r>
          </w:p>
        </w:tc>
      </w:tr>
      <w:tr>
        <w:tc>
          <w:tcPr>
            <w:tcW w:type="dxa" w:w="2160"/>
          </w:tcPr>
          <w:p>
            <w:r/>
            <w:r>
              <w:rPr>
                <w:rFonts w:ascii="Calibri" w:hAnsi="Calibri" w:eastAsia="PingFang SC"/>
              </w:rPr>
              <w:t>Disposal order number</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处置订单号，系统自动生成的唯一编号，用于标识资产处置订单，通过处置订单号后续自动填充</w:t>
            </w:r>
          </w:p>
        </w:tc>
      </w:tr>
      <w:tr>
        <w:tc>
          <w:tcPr>
            <w:tcW w:type="dxa" w:w="2160"/>
          </w:tcPr>
          <w:p>
            <w:r/>
            <w:r>
              <w:rPr>
                <w:rFonts w:ascii="Calibri" w:hAnsi="Calibri" w:eastAsia="PingFang SC"/>
              </w:rPr>
              <w:t>Vendor disposal order ID</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供应商为处置订单分配的编号，用于外部系统关联</w:t>
            </w:r>
          </w:p>
        </w:tc>
      </w:tr>
      <w:tr>
        <w:tc>
          <w:tcPr>
            <w:tcW w:type="dxa" w:w="2160"/>
          </w:tcPr>
          <w:p>
            <w:r/>
            <w:r>
              <w:rPr>
                <w:rFonts w:ascii="Calibri" w:hAnsi="Calibri" w:eastAsia="PingFang SC"/>
              </w:rPr>
              <w:t>Refresh request line number</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托盘被"硬件资产刷新流程"识别为老旧资产需更换时生成的请求编号，关联到新托盘的采购订单</w:t>
            </w:r>
          </w:p>
        </w:tc>
      </w:tr>
      <w:tr>
        <w:tc>
          <w:tcPr>
            <w:tcW w:type="dxa" w:w="2160"/>
          </w:tcPr>
          <w:p>
            <w:r/>
            <w:r>
              <w:rPr>
                <w:rFonts w:ascii="Calibri" w:hAnsi="Calibri" w:eastAsia="PingFang SC"/>
              </w:rPr>
              <w:t>State</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资产当前状态，下拉字典，选项 In stock、In transit、Retired、Missing</w:t>
            </w:r>
          </w:p>
        </w:tc>
      </w:tr>
      <w:tr>
        <w:tc>
          <w:tcPr>
            <w:tcW w:type="dxa" w:w="2160"/>
          </w:tcPr>
          <w:p>
            <w:r/>
            <w:r>
              <w:rPr>
                <w:rFonts w:ascii="Calibri" w:hAnsi="Calibri" w:eastAsia="PingFang SC"/>
              </w:rPr>
              <w:t>Reserved for</w:t>
            </w:r>
          </w:p>
        </w:tc>
        <w:tc>
          <w:tcPr>
            <w:tcW w:type="dxa" w:w="2160"/>
          </w:tcPr>
          <w:p>
            <w:r/>
            <w:r>
              <w:rPr>
                <w:rFonts w:ascii="Calibri" w:hAnsi="Calibri" w:eastAsia="PingFang SC"/>
              </w:rPr>
              <w:t>-</w:t>
            </w:r>
          </w:p>
        </w:tc>
        <w:tc>
          <w:tcPr>
            <w:tcW w:type="dxa" w:w="2160"/>
          </w:tcPr>
          <w:p>
            <w:r/>
            <w:r>
              <w:rPr>
                <w:rFonts w:ascii="Calibri" w:hAnsi="Calibri" w:eastAsia="PingFang SC"/>
              </w:rPr>
              <w:t>-</w:t>
            </w:r>
          </w:p>
        </w:tc>
        <w:tc>
          <w:tcPr>
            <w:tcW w:type="dxa" w:w="2160"/>
          </w:tcPr>
          <w:p>
            <w:r/>
            <w:r>
              <w:rPr>
                <w:rFonts w:ascii="Calibri" w:hAnsi="Calibri" w:eastAsia="PingFang SC"/>
              </w:rPr>
              <w:t>下拉，资产预留给谁，展示人名列表（State=In stock/In transit 时显示）</w:t>
            </w:r>
          </w:p>
        </w:tc>
      </w:tr>
      <w:tr>
        <w:tc>
          <w:tcPr>
            <w:tcW w:type="dxa" w:w="2160"/>
          </w:tcPr>
          <w:p>
            <w:r/>
            <w:r>
              <w:rPr>
                <w:rFonts w:ascii="Calibri" w:hAnsi="Calibri" w:eastAsia="PingFang SC"/>
              </w:rPr>
              <w:t>Stockroom</w:t>
            </w:r>
          </w:p>
        </w:tc>
        <w:tc>
          <w:tcPr>
            <w:tcW w:type="dxa" w:w="2160"/>
          </w:tcPr>
          <w:p>
            <w:r/>
            <w:r>
              <w:rPr>
                <w:rFonts w:ascii="Calibri" w:hAnsi="Calibri" w:eastAsia="PingFang SC"/>
              </w:rPr>
              <w:t>-</w:t>
            </w:r>
          </w:p>
        </w:tc>
        <w:tc>
          <w:tcPr>
            <w:tcW w:type="dxa" w:w="2160"/>
          </w:tcPr>
          <w:p>
            <w:r/>
            <w:r>
              <w:rPr>
                <w:rFonts w:ascii="Calibri" w:hAnsi="Calibri" w:eastAsia="PingFang SC"/>
              </w:rPr>
              <w:t>-</w:t>
            </w:r>
          </w:p>
        </w:tc>
        <w:tc>
          <w:tcPr>
            <w:tcW w:type="dxa" w:w="2160"/>
          </w:tcPr>
          <w:p>
            <w:r/>
            <w:r>
              <w:rPr>
                <w:rFonts w:ascii="Calibri" w:hAnsi="Calibri" w:eastAsia="PingFang SC"/>
              </w:rPr>
              <w:t>下拉列表，展示已有库房 name（State=In stock 时显示，必填）</w:t>
            </w:r>
          </w:p>
        </w:tc>
      </w:tr>
      <w:tr>
        <w:tc>
          <w:tcPr>
            <w:tcW w:type="dxa" w:w="2160"/>
          </w:tcPr>
          <w:p>
            <w:r/>
            <w:r>
              <w:rPr>
                <w:rFonts w:ascii="Calibri" w:hAnsi="Calibri" w:eastAsia="PingFang SC"/>
              </w:rPr>
              <w:t>Location</w:t>
            </w:r>
          </w:p>
        </w:tc>
        <w:tc>
          <w:tcPr>
            <w:tcW w:type="dxa" w:w="2160"/>
          </w:tcPr>
          <w:p>
            <w:r/>
            <w:r>
              <w:rPr>
                <w:rFonts w:ascii="Calibri" w:hAnsi="Calibri" w:eastAsia="PingFang SC"/>
              </w:rPr>
              <w:t>-</w:t>
            </w:r>
          </w:p>
        </w:tc>
        <w:tc>
          <w:tcPr>
            <w:tcW w:type="dxa" w:w="2160"/>
          </w:tcPr>
          <w:p>
            <w:r/>
            <w:r>
              <w:rPr>
                <w:rFonts w:ascii="Calibri" w:hAnsi="Calibri" w:eastAsia="PingFang SC"/>
              </w:rPr>
              <w:t>-</w:t>
            </w:r>
          </w:p>
        </w:tc>
        <w:tc>
          <w:tcPr>
            <w:tcW w:type="dxa" w:w="2160"/>
          </w:tcPr>
          <w:p>
            <w:r/>
            <w:r>
              <w:rPr>
                <w:rFonts w:ascii="Calibri" w:hAnsi="Calibri" w:eastAsia="PingFang SC"/>
              </w:rPr>
              <w:t>选定 Stockroom 后以库房自身位置值填充，不可修改</w:t>
            </w:r>
          </w:p>
        </w:tc>
      </w:tr>
      <w:tr>
        <w:tc>
          <w:tcPr>
            <w:tcW w:type="dxa" w:w="2160"/>
          </w:tcPr>
          <w:p>
            <w:r/>
            <w:r>
              <w:rPr>
                <w:rFonts w:ascii="Calibri" w:hAnsi="Calibri" w:eastAsia="PingFang SC"/>
              </w:rPr>
              <w:t>Assigned to</w:t>
            </w:r>
          </w:p>
        </w:tc>
        <w:tc>
          <w:tcPr>
            <w:tcW w:type="dxa" w:w="2160"/>
          </w:tcPr>
          <w:p>
            <w:r/>
            <w:r>
              <w:rPr>
                <w:rFonts w:ascii="Calibri" w:hAnsi="Calibri" w:eastAsia="PingFang SC"/>
              </w:rPr>
              <w:t>-</w:t>
            </w:r>
          </w:p>
        </w:tc>
        <w:tc>
          <w:tcPr>
            <w:tcW w:type="dxa" w:w="2160"/>
          </w:tcPr>
          <w:p>
            <w:r/>
            <w:r>
              <w:rPr>
                <w:rFonts w:ascii="Calibri" w:hAnsi="Calibri" w:eastAsia="PingFang SC"/>
              </w:rPr>
              <w:t>-</w:t>
            </w:r>
          </w:p>
        </w:tc>
        <w:tc>
          <w:tcPr>
            <w:tcW w:type="dxa" w:w="2160"/>
          </w:tcPr>
          <w:p>
            <w:r/>
            <w:r>
              <w:rPr>
                <w:rFonts w:ascii="Calibri" w:hAnsi="Calibri" w:eastAsia="PingFang SC"/>
              </w:rPr>
              <w:t>State=Retired/Missing 时显示</w:t>
            </w:r>
          </w:p>
        </w:tc>
      </w:tr>
      <w:tr>
        <w:tc>
          <w:tcPr>
            <w:tcW w:type="dxa" w:w="2160"/>
          </w:tcPr>
          <w:p>
            <w:r/>
            <w:r>
              <w:rPr>
                <w:rFonts w:ascii="Calibri" w:hAnsi="Calibri" w:eastAsia="PingFang SC"/>
              </w:rPr>
              <w:t>Display name</w:t>
            </w:r>
          </w:p>
        </w:tc>
        <w:tc>
          <w:tcPr>
            <w:tcW w:type="dxa" w:w="2160"/>
          </w:tcPr>
          <w:p>
            <w:r/>
            <w:r>
              <w:rPr>
                <w:rFonts w:ascii="Calibri" w:hAnsi="Calibri" w:eastAsia="PingFang SC"/>
              </w:rPr>
              <w:t>String</w:t>
            </w:r>
          </w:p>
        </w:tc>
        <w:tc>
          <w:tcPr>
            <w:tcW w:type="dxa" w:w="2160"/>
          </w:tcPr>
          <w:p>
            <w:r/>
            <w:r>
              <w:rPr>
                <w:rFonts w:ascii="Calibri" w:hAnsi="Calibri" w:eastAsia="PingFang SC"/>
              </w:rPr>
              <w:t>-</w:t>
            </w:r>
          </w:p>
        </w:tc>
        <w:tc>
          <w:tcPr>
            <w:tcW w:type="dxa" w:w="2160"/>
          </w:tcPr>
          <w:p>
            <w:r/>
            <w:r>
              <w:rPr>
                <w:rFonts w:ascii="Calibri" w:hAnsi="Calibri" w:eastAsia="PingFang SC"/>
              </w:rPr>
              <w:t>由 Asset tag 及 model 共同生成</w:t>
            </w:r>
          </w:p>
        </w:tc>
      </w:tr>
    </w:tbl>
    <w:p/>
    <w:p>
      <w:pPr>
        <w:pStyle w:val="Heading4"/>
      </w:pPr>
      <w:r>
        <w:rPr>
          <w:rFonts w:ascii="Calibri" w:hAnsi="Calibri" w:eastAsia="PingFang SC"/>
        </w:rPr>
      </w:r>
      <w:r>
        <w:rPr>
          <w:rFonts w:ascii="Calibri" w:hAnsi="Calibri" w:eastAsia="PingFang SC"/>
        </w:rPr>
        <w:t>3.2.3 托盘 State 联动规则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Pallet type</w:t>
            </w:r>
          </w:p>
        </w:tc>
        <w:tc>
          <w:tcPr>
            <w:tcW w:type="dxa" w:w="2880"/>
          </w:tcPr>
          <w:p>
            <w:r/>
            <w:r>
              <w:rPr>
                <w:rFonts w:ascii="Calibri" w:hAnsi="Calibri" w:eastAsia="PingFang SC"/>
              </w:rPr>
              <w:t>Pallet / Bin / Box / Container / other</w:t>
            </w:r>
          </w:p>
        </w:tc>
        <w:tc>
          <w:tcPr>
            <w:tcW w:type="dxa" w:w="2880"/>
          </w:tcPr>
          <w:p>
            <w:r/>
            <w:r>
              <w:rPr>
                <w:rFonts w:ascii="Calibri" w:hAnsi="Calibri" w:eastAsia="PingFang SC"/>
              </w:rPr>
              <w:t>托盘类型</w:t>
            </w:r>
          </w:p>
        </w:tc>
      </w:tr>
      <w:tr>
        <w:tc>
          <w:tcPr>
            <w:tcW w:type="dxa" w:w="2880"/>
          </w:tcPr>
          <w:p>
            <w:r/>
            <w:r>
              <w:rPr>
                <w:rFonts w:ascii="Calibri" w:hAnsi="Calibri" w:eastAsia="PingFang SC"/>
              </w:rPr>
              <w:t>State</w:t>
            </w:r>
          </w:p>
        </w:tc>
        <w:tc>
          <w:tcPr>
            <w:tcW w:type="dxa" w:w="2880"/>
          </w:tcPr>
          <w:p>
            <w:r/>
            <w:r>
              <w:rPr>
                <w:rFonts w:ascii="Calibri" w:hAnsi="Calibri" w:eastAsia="PingFang SC"/>
              </w:rPr>
              <w:t>In stock</w:t>
            </w:r>
          </w:p>
        </w:tc>
        <w:tc>
          <w:tcPr>
            <w:tcW w:type="dxa" w:w="2880"/>
          </w:tcPr>
          <w:p>
            <w:r/>
            <w:r>
              <w:rPr>
                <w:rFonts w:ascii="Calibri" w:hAnsi="Calibri" w:eastAsia="PingFang SC"/>
              </w:rPr>
              <w:t>显示 Reserved for（下拉，预留给谁）、Stockroom（必填，下拉库房 name）；选定 Stockroom 后 Location 由库房位置值填充且不可修改；不显示 Assigned to</w:t>
            </w:r>
          </w:p>
        </w:tc>
      </w:tr>
      <w:tr>
        <w:tc>
          <w:tcPr>
            <w:tcW w:type="dxa" w:w="2880"/>
          </w:tcPr>
          <w:p>
            <w:r/>
            <w:r>
              <w:rPr>
                <w:rFonts w:ascii="Calibri" w:hAnsi="Calibri" w:eastAsia="PingFang SC"/>
              </w:rPr>
              <w:t>State</w:t>
            </w:r>
          </w:p>
        </w:tc>
        <w:tc>
          <w:tcPr>
            <w:tcW w:type="dxa" w:w="2880"/>
          </w:tcPr>
          <w:p>
            <w:r/>
            <w:r>
              <w:rPr>
                <w:rFonts w:ascii="Calibri" w:hAnsi="Calibri" w:eastAsia="PingFang SC"/>
              </w:rPr>
              <w:t>In transit</w:t>
            </w:r>
          </w:p>
        </w:tc>
        <w:tc>
          <w:tcPr>
            <w:tcW w:type="dxa" w:w="2880"/>
          </w:tcPr>
          <w:p>
            <w:r/>
            <w:r>
              <w:rPr>
                <w:rFonts w:ascii="Calibri" w:hAnsi="Calibri" w:eastAsia="PingFang SC"/>
              </w:rPr>
              <w:t>不显示 Stockroom、不显示 Assigned to，展示 Reserved for</w:t>
            </w:r>
          </w:p>
        </w:tc>
      </w:tr>
      <w:tr>
        <w:tc>
          <w:tcPr>
            <w:tcW w:type="dxa" w:w="2880"/>
          </w:tcPr>
          <w:p>
            <w:r/>
            <w:r>
              <w:rPr>
                <w:rFonts w:ascii="Calibri" w:hAnsi="Calibri" w:eastAsia="PingFang SC"/>
              </w:rPr>
              <w:t>State</w:t>
            </w:r>
          </w:p>
        </w:tc>
        <w:tc>
          <w:tcPr>
            <w:tcW w:type="dxa" w:w="2880"/>
          </w:tcPr>
          <w:p>
            <w:r/>
            <w:r>
              <w:rPr>
                <w:rFonts w:ascii="Calibri" w:hAnsi="Calibri" w:eastAsia="PingFang SC"/>
              </w:rPr>
              <w:t>Retired</w:t>
            </w:r>
          </w:p>
        </w:tc>
        <w:tc>
          <w:tcPr>
            <w:tcW w:type="dxa" w:w="2880"/>
          </w:tcPr>
          <w:p>
            <w:r/>
            <w:r>
              <w:rPr>
                <w:rFonts w:ascii="Calibri" w:hAnsi="Calibri" w:eastAsia="PingFang SC"/>
              </w:rPr>
              <w:t>显示 Assigned to，不显示 Stockroom、不展示 Reserved for</w:t>
            </w:r>
          </w:p>
        </w:tc>
      </w:tr>
      <w:tr>
        <w:tc>
          <w:tcPr>
            <w:tcW w:type="dxa" w:w="2880"/>
          </w:tcPr>
          <w:p>
            <w:r/>
            <w:r>
              <w:rPr>
                <w:rFonts w:ascii="Calibri" w:hAnsi="Calibri" w:eastAsia="PingFang SC"/>
              </w:rPr>
              <w:t>State</w:t>
            </w:r>
          </w:p>
        </w:tc>
        <w:tc>
          <w:tcPr>
            <w:tcW w:type="dxa" w:w="2880"/>
          </w:tcPr>
          <w:p>
            <w:r/>
            <w:r>
              <w:rPr>
                <w:rFonts w:ascii="Calibri" w:hAnsi="Calibri" w:eastAsia="PingFang SC"/>
              </w:rPr>
              <w:t>Missing</w:t>
            </w:r>
          </w:p>
        </w:tc>
        <w:tc>
          <w:tcPr>
            <w:tcW w:type="dxa" w:w="2880"/>
          </w:tcPr>
          <w:p>
            <w:r/>
            <w:r>
              <w:rPr>
                <w:rFonts w:ascii="Calibri" w:hAnsi="Calibri" w:eastAsia="PingFang SC"/>
              </w:rPr>
              <w:t>显示 Assigned to，不显示 Stockroom、不展示 Reserved for</w:t>
            </w:r>
          </w:p>
        </w:tc>
      </w:tr>
    </w:tbl>
    <w:p/>
    <w:p>
      <w:pPr>
        <w:ind w:left="360"/>
      </w:pPr>
      <w:r>
        <w:rPr>
          <w:rFonts w:ascii="Calibri" w:hAnsi="Calibri" w:eastAsia="PingFang SC"/>
          <w:color w:val="8C8C8C"/>
        </w:rPr>
        <w:t xml:space="preserve">▍ </w:t>
      </w:r>
      <w:r>
        <w:rPr>
          <w:rFonts w:ascii="Calibri" w:hAnsi="Calibri" w:eastAsia="PingFang SC"/>
        </w:rPr>
        <w:t>说明：托盘 State 选项值会带出关联的 substate 及关联字段，与硬件资产状态机相同。</w:t>
      </w:r>
    </w:p>
    <w:p>
      <w:pPr>
        <w:pStyle w:val="Heading3"/>
      </w:pPr>
      <w:r>
        <w:rPr>
          <w:rFonts w:ascii="Calibri" w:hAnsi="Calibri" w:eastAsia="PingFang SC"/>
        </w:rPr>
      </w:r>
      <w:r>
        <w:rPr>
          <w:rFonts w:ascii="Calibri" w:hAnsi="Calibri" w:eastAsia="PingFang SC"/>
        </w:rPr>
        <w:t>3.3 向托盘添加资产 Add assets to a pallet</w:t>
      </w:r>
    </w:p>
    <w:p>
      <w:r>
        <w:rPr>
          <w:rFonts w:ascii="Calibri" w:hAnsi="Calibri" w:eastAsia="PingFang SC"/>
        </w:rPr>
        <w:t>将硬件、捆绑、耗材和其他托盘资产添加到托盘中，以作为一个组跟踪和管理库房中的资产。Pallet 资产不能成为 Asset Bundle 的一部分。</w:t>
      </w:r>
    </w:p>
    <w:p>
      <w:pPr>
        <w:ind w:left="360"/>
      </w:pPr>
      <w:r>
        <w:rPr>
          <w:rFonts w:ascii="Calibri" w:hAnsi="Calibri" w:eastAsia="PingFang SC"/>
          <w:color w:val="8C8C8C"/>
        </w:rPr>
        <w:t xml:space="preserve">▍ </w:t>
      </w:r>
      <w:r>
        <w:rPr>
          <w:rFonts w:ascii="Calibri" w:hAnsi="Calibri" w:eastAsia="PingFang SC"/>
        </w:rPr>
        <w:t>说明：因捆绑资产没有 parent 字段且 component 状态不可修改，源文档标注暂时不考虑将捆绑资产添加到托盘中；本节忠实记录源文档描述的可添加类型（硬件、捆绑包、消耗品及其他托盘资产）。</w:t>
      </w:r>
    </w:p>
    <w:p>
      <w:pPr>
        <w:pStyle w:val="Heading4"/>
      </w:pPr>
      <w:r>
        <w:rPr>
          <w:rFonts w:ascii="Calibri" w:hAnsi="Calibri" w:eastAsia="PingFang SC"/>
        </w:rPr>
      </w:r>
      <w:r>
        <w:rPr>
          <w:rFonts w:ascii="Calibri" w:hAnsi="Calibri" w:eastAsia="PingFang SC"/>
        </w:rPr>
        <w:t>3.3.1 被添加资产需满足的条件</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条件</w:t>
            </w:r>
          </w:p>
        </w:tc>
        <w:tc>
          <w:tcPr>
            <w:tcW w:type="dxa" w:w="4320"/>
          </w:tcPr>
          <w:p>
            <w:r>
              <w:rPr>
                <w:b/>
              </w:rPr>
            </w:r>
            <w:r>
              <w:rPr>
                <w:rFonts w:ascii="Calibri" w:hAnsi="Calibri" w:eastAsia="PingFang SC"/>
                <w:b/>
              </w:rPr>
              <w:t>要求</w:t>
            </w:r>
          </w:p>
        </w:tc>
      </w:tr>
      <w:tr>
        <w:tc>
          <w:tcPr>
            <w:tcW w:type="dxa" w:w="4320"/>
          </w:tcPr>
          <w:p>
            <w:r/>
            <w:r>
              <w:rPr>
                <w:rFonts w:ascii="Calibri" w:hAnsi="Calibri" w:eastAsia="PingFang SC"/>
              </w:rPr>
              <w:t>A. 资产位置要求</w:t>
            </w:r>
          </w:p>
        </w:tc>
        <w:tc>
          <w:tcPr>
            <w:tcW w:type="dxa" w:w="4320"/>
          </w:tcPr>
          <w:p>
            <w:r/>
            <w:r>
              <w:rPr>
                <w:rFonts w:ascii="Calibri" w:hAnsi="Calibri" w:eastAsia="PingFang SC"/>
              </w:rPr>
              <w:t>资产与托盘属于同一库房，或资产在库存位置字段中没有设置值</w:t>
            </w:r>
          </w:p>
        </w:tc>
      </w:tr>
      <w:tr>
        <w:tc>
          <w:tcPr>
            <w:tcW w:type="dxa" w:w="4320"/>
          </w:tcPr>
          <w:p>
            <w:r/>
            <w:r>
              <w:rPr>
                <w:rFonts w:ascii="Calibri" w:hAnsi="Calibri" w:eastAsia="PingFang SC"/>
              </w:rPr>
              <w:t>B. 托盘状态要求</w:t>
            </w:r>
          </w:p>
        </w:tc>
        <w:tc>
          <w:tcPr>
            <w:tcW w:type="dxa" w:w="4320"/>
          </w:tcPr>
          <w:p>
            <w:r/>
            <w:r>
              <w:rPr>
                <w:rFonts w:ascii="Calibri" w:hAnsi="Calibri" w:eastAsia="PingFang SC"/>
              </w:rPr>
              <w:t>托盘状态字段值为 "In stock"，只有托盘处于在库状态才允许关联操作</w:t>
            </w:r>
          </w:p>
        </w:tc>
      </w:tr>
      <w:tr>
        <w:tc>
          <w:tcPr>
            <w:tcW w:type="dxa" w:w="4320"/>
          </w:tcPr>
          <w:p>
            <w:r/>
            <w:r>
              <w:rPr>
                <w:rFonts w:ascii="Calibri" w:hAnsi="Calibri" w:eastAsia="PingFang SC"/>
              </w:rPr>
              <w:t>C. 资产状态要求</w:t>
            </w:r>
          </w:p>
        </w:tc>
        <w:tc>
          <w:tcPr>
            <w:tcW w:type="dxa" w:w="4320"/>
          </w:tcPr>
          <w:p>
            <w:r/>
            <w:r>
              <w:rPr>
                <w:rFonts w:ascii="Calibri" w:hAnsi="Calibri" w:eastAsia="PingFang SC"/>
              </w:rPr>
              <w:t>资产状态字段值可以是 On order、In stock、In transit 或 Retired</w:t>
            </w:r>
          </w:p>
        </w:tc>
      </w:tr>
      <w:tr>
        <w:tc>
          <w:tcPr>
            <w:tcW w:type="dxa" w:w="4320"/>
          </w:tcPr>
          <w:p>
            <w:r/>
            <w:r>
              <w:rPr>
                <w:rFonts w:ascii="Calibri" w:hAnsi="Calibri" w:eastAsia="PingFang SC"/>
              </w:rPr>
              <w:t>D. 资产与父资产关联限制</w:t>
            </w:r>
          </w:p>
        </w:tc>
        <w:tc>
          <w:tcPr>
            <w:tcW w:type="dxa" w:w="4320"/>
          </w:tcPr>
          <w:p>
            <w:r/>
            <w:r>
              <w:rPr>
                <w:rFonts w:ascii="Calibri" w:hAnsi="Calibri" w:eastAsia="PingFang SC"/>
              </w:rPr>
              <w:t>该资产没有父资产；若已与某父资产关联，需先解除父子关联再添加到托盘</w:t>
            </w:r>
          </w:p>
        </w:tc>
      </w:tr>
      <w:tr>
        <w:tc>
          <w:tcPr>
            <w:tcW w:type="dxa" w:w="4320"/>
          </w:tcPr>
          <w:p>
            <w:r/>
            <w:r>
              <w:rPr>
                <w:rFonts w:ascii="Calibri" w:hAnsi="Calibri" w:eastAsia="PingFang SC"/>
              </w:rPr>
              <w:t>E. 特殊关联情况（针对父资产）</w:t>
            </w:r>
          </w:p>
        </w:tc>
        <w:tc>
          <w:tcPr>
            <w:tcW w:type="dxa" w:w="4320"/>
          </w:tcPr>
          <w:p>
            <w:r/>
            <w:r>
              <w:rPr>
                <w:rFonts w:ascii="Calibri" w:hAnsi="Calibri" w:eastAsia="PingFang SC"/>
              </w:rPr>
              <w:t>作为其他资产父资产的资产被添加时，其所有子资产也会一并添加；但子资产的父字段不会被托盘替代（子资产仍知道原父资产），保留原有结构关系同时与托盘关联</w:t>
            </w:r>
          </w:p>
        </w:tc>
      </w:tr>
    </w:tbl>
    <w:p/>
    <w:p>
      <w:pPr>
        <w:pStyle w:val="Heading4"/>
      </w:pPr>
      <w:r>
        <w:rPr>
          <w:rFonts w:ascii="Calibri" w:hAnsi="Calibri" w:eastAsia="PingFang SC"/>
        </w:rPr>
      </w:r>
      <w:r>
        <w:rPr>
          <w:rFonts w:ascii="Calibri" w:hAnsi="Calibri" w:eastAsia="PingFang SC"/>
        </w:rPr>
        <w:t>3.3.2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Add Assets to pallet</w:t>
            </w:r>
          </w:p>
        </w:tc>
        <w:tc>
          <w:tcPr>
            <w:tcW w:type="dxa" w:w="2880"/>
          </w:tcPr>
          <w:p>
            <w:r/>
            <w:r>
              <w:rPr>
                <w:rFonts w:ascii="Calibri" w:hAnsi="Calibri" w:eastAsia="PingFang SC"/>
              </w:rPr>
              <w:t>为托盘添加资产</w:t>
            </w:r>
          </w:p>
        </w:tc>
        <w:tc>
          <w:tcPr>
            <w:tcW w:type="dxa" w:w="2880"/>
          </w:tcPr>
          <w:p>
            <w:r/>
            <w:r>
              <w:rPr>
                <w:rFonts w:ascii="Calibri" w:hAnsi="Calibri" w:eastAsia="PingFang SC"/>
              </w:rPr>
              <w:t>在托盘关联页卡 Assets 下点击 "Add"；托盘状态不符合时提示 "You can't add asset to the pallet which is not in stock."；点击 Add 后显示可添加资产（满足条件 A &amp; C &amp; D）</w:t>
            </w:r>
          </w:p>
        </w:tc>
      </w:tr>
      <w:tr>
        <w:tc>
          <w:tcPr>
            <w:tcW w:type="dxa" w:w="2880"/>
          </w:tcPr>
          <w:p>
            <w:r/>
            <w:r>
              <w:rPr>
                <w:rFonts w:ascii="Calibri" w:hAnsi="Calibri" w:eastAsia="PingFang SC"/>
              </w:rPr>
              <w:t>添加弹窗</w:t>
            </w:r>
          </w:p>
        </w:tc>
        <w:tc>
          <w:tcPr>
            <w:tcW w:type="dxa" w:w="2880"/>
          </w:tcPr>
          <w:p>
            <w:r/>
            <w:r>
              <w:rPr>
                <w:rFonts w:ascii="Calibri" w:hAnsi="Calibri" w:eastAsia="PingFang SC"/>
              </w:rPr>
              <w:t>显示可添加资产并多选</w:t>
            </w:r>
          </w:p>
        </w:tc>
        <w:tc>
          <w:tcPr>
            <w:tcW w:type="dxa" w:w="2880"/>
          </w:tcPr>
          <w:p>
            <w:r/>
            <w:r>
              <w:rPr>
                <w:rFonts w:ascii="Calibri" w:hAnsi="Calibri" w:eastAsia="PingFang SC"/>
              </w:rPr>
              <w:t>Add assets 弹窗显示字段：Asset、Pallet（默认当前 pallet 名称且不可修改）；Asset 支持多选且可设置筛选条件；勾选后点击 "Submit" 展示在 Asset 中，点击 "Save" 成功添加至托盘。（Moving Pallets 版本弹窗显示字段：Display name、Serial number、Model category、State、Substate、Stockroom，可按字段筛选）</w:t>
            </w:r>
          </w:p>
        </w:tc>
      </w:tr>
      <w:tr>
        <w:tc>
          <w:tcPr>
            <w:tcW w:type="dxa" w:w="2880"/>
          </w:tcPr>
          <w:p>
            <w:r/>
            <w:r>
              <w:rPr>
                <w:rFonts w:ascii="Calibri" w:hAnsi="Calibri" w:eastAsia="PingFang SC"/>
              </w:rPr>
              <w:t>添加后字段变更</w:t>
            </w:r>
          </w:p>
        </w:tc>
        <w:tc>
          <w:tcPr>
            <w:tcW w:type="dxa" w:w="2880"/>
          </w:tcPr>
          <w:p>
            <w:r/>
            <w:r>
              <w:rPr>
                <w:rFonts w:ascii="Calibri" w:hAnsi="Calibri" w:eastAsia="PingFang SC"/>
              </w:rPr>
              <w:t>资产字段与托盘同步</w:t>
            </w:r>
          </w:p>
        </w:tc>
        <w:tc>
          <w:tcPr>
            <w:tcW w:type="dxa" w:w="2880"/>
          </w:tcPr>
          <w:p>
            <w:r/>
            <w:r>
              <w:rPr>
                <w:rFonts w:ascii="Calibri" w:hAnsi="Calibri" w:eastAsia="PingFang SC"/>
              </w:rPr>
              <w:t>a. 资产的状态、子状态、位置、库房详细信息与托盘同步（仅预分配资产的子状态不与托盘同步）；b. 资产的 Parent 字段设置为该托盘；c. 只将直接与托盘关联的资产 Parent 设为该托盘，其下子资产 Parent 不变；d. 资产下关联子资产的状态、子状态、位置、库房与托盘同步；e. 托盘的 Reserved for 有值时，以其值更新添加到的资产 Reserved for</w:t>
            </w:r>
          </w:p>
        </w:tc>
      </w:tr>
      <w:tr>
        <w:tc>
          <w:tcPr>
            <w:tcW w:type="dxa" w:w="2880"/>
          </w:tcPr>
          <w:p>
            <w:r/>
            <w:r>
              <w:rPr>
                <w:rFonts w:ascii="Calibri" w:hAnsi="Calibri" w:eastAsia="PingFang SC"/>
              </w:rPr>
              <w:t>Pallet 不可入 Bundle</w:t>
            </w:r>
          </w:p>
        </w:tc>
        <w:tc>
          <w:tcPr>
            <w:tcW w:type="dxa" w:w="2880"/>
          </w:tcPr>
          <w:p>
            <w:r/>
            <w:r>
              <w:rPr>
                <w:rFonts w:ascii="Calibri" w:hAnsi="Calibri" w:eastAsia="PingFang SC"/>
              </w:rPr>
              <w:t>限制</w:t>
            </w:r>
          </w:p>
        </w:tc>
        <w:tc>
          <w:tcPr>
            <w:tcW w:type="dxa" w:w="2880"/>
          </w:tcPr>
          <w:p>
            <w:r/>
            <w:r>
              <w:rPr>
                <w:rFonts w:ascii="Calibri" w:hAnsi="Calibri" w:eastAsia="PingFang SC"/>
              </w:rPr>
              <w:t>Pallet 不能被添加到 Bundle 中</w:t>
            </w:r>
          </w:p>
        </w:tc>
      </w:tr>
    </w:tbl>
    <w:p/>
    <w:p>
      <w:pPr>
        <w:pStyle w:val="Heading3"/>
      </w:pPr>
      <w:r>
        <w:rPr>
          <w:rFonts w:ascii="Calibri" w:hAnsi="Calibri" w:eastAsia="PingFang SC"/>
        </w:rPr>
      </w:r>
      <w:r>
        <w:rPr>
          <w:rFonts w:ascii="Calibri" w:hAnsi="Calibri" w:eastAsia="PingFang SC"/>
        </w:rPr>
        <w:t>3.4 从托盘删除资产 Delete assets</w:t>
      </w:r>
    </w:p>
    <w:p>
      <w:pPr>
        <w:pStyle w:val="Heading4"/>
      </w:pPr>
      <w:r>
        <w:rPr>
          <w:rFonts w:ascii="Calibri" w:hAnsi="Calibri" w:eastAsia="PingFang SC"/>
        </w:rPr>
      </w:r>
      <w:r>
        <w:rPr>
          <w:rFonts w:ascii="Calibri" w:hAnsi="Calibri" w:eastAsia="PingFang SC"/>
        </w:rPr>
        <w:t>3.4.1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Delete Assets from pallet</w:t>
            </w:r>
          </w:p>
        </w:tc>
        <w:tc>
          <w:tcPr>
            <w:tcW w:type="dxa" w:w="2880"/>
          </w:tcPr>
          <w:p>
            <w:r/>
            <w:r>
              <w:rPr>
                <w:rFonts w:ascii="Calibri" w:hAnsi="Calibri" w:eastAsia="PingFang SC"/>
              </w:rPr>
              <w:t>从托盘删除资产</w:t>
            </w:r>
          </w:p>
        </w:tc>
        <w:tc>
          <w:tcPr>
            <w:tcW w:type="dxa" w:w="2880"/>
          </w:tcPr>
          <w:p>
            <w:r/>
            <w:r>
              <w:rPr>
                <w:rFonts w:ascii="Calibri" w:hAnsi="Calibri" w:eastAsia="PingFang SC"/>
              </w:rPr>
              <w:t>在托盘关联页卡 Assets 下，通过已添加资产 Action 对应的 Delete 删除；删除后不再展示，关联关系解除，被删除资产 Parent 设为空、其余字段值不变；若资产为父资产，其从托盘删除后，父资产下子资产也同样从托盘删除</w:t>
            </w:r>
          </w:p>
        </w:tc>
      </w:tr>
      <w:tr>
        <w:tc>
          <w:tcPr>
            <w:tcW w:type="dxa" w:w="2880"/>
          </w:tcPr>
          <w:p>
            <w:r/>
            <w:r>
              <w:rPr>
                <w:rFonts w:ascii="Calibri" w:hAnsi="Calibri" w:eastAsia="PingFang SC"/>
              </w:rPr>
              <w:t>删除托盘</w:t>
            </w:r>
          </w:p>
        </w:tc>
        <w:tc>
          <w:tcPr>
            <w:tcW w:type="dxa" w:w="2880"/>
          </w:tcPr>
          <w:p>
            <w:r/>
            <w:r>
              <w:rPr>
                <w:rFonts w:ascii="Calibri" w:hAnsi="Calibri" w:eastAsia="PingFang SC"/>
              </w:rPr>
              <w:t>托盘为空才可删除</w:t>
            </w:r>
          </w:p>
        </w:tc>
        <w:tc>
          <w:tcPr>
            <w:tcW w:type="dxa" w:w="2880"/>
          </w:tcPr>
          <w:p>
            <w:r/>
            <w:r>
              <w:rPr>
                <w:rFonts w:ascii="Calibri" w:hAnsi="Calibri" w:eastAsia="PingFang SC"/>
              </w:rPr>
              <w:t>当托盘下 Assets 页卡资产为空后才可删除，否则不可删除；不可删除时点击 "Delete" 提示 "You can't delete the pallet which has related asset."</w:t>
            </w:r>
          </w:p>
        </w:tc>
      </w:tr>
    </w:tbl>
    <w:p/>
    <w:p>
      <w:pPr>
        <w:pStyle w:val="Heading3"/>
      </w:pPr>
      <w:r>
        <w:rPr>
          <w:rFonts w:ascii="Calibri" w:hAnsi="Calibri" w:eastAsia="PingFang SC"/>
        </w:rPr>
      </w:r>
      <w:r>
        <w:rPr>
          <w:rFonts w:ascii="Calibri" w:hAnsi="Calibri" w:eastAsia="PingFang SC"/>
        </w:rPr>
        <w:t>3.5 移动托盘 Moving Pallets</w:t>
      </w:r>
    </w:p>
    <w:p>
      <w:pPr>
        <w:pStyle w:val="Heading4"/>
      </w:pPr>
      <w:r>
        <w:rPr>
          <w:rFonts w:ascii="Calibri" w:hAnsi="Calibri" w:eastAsia="PingFang SC"/>
        </w:rPr>
      </w:r>
      <w:r>
        <w:rPr>
          <w:rFonts w:ascii="Calibri" w:hAnsi="Calibri" w:eastAsia="PingFang SC"/>
        </w:rPr>
        <w:t>3.5.1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转移单移动托盘</w:t>
            </w:r>
          </w:p>
        </w:tc>
        <w:tc>
          <w:tcPr>
            <w:tcW w:type="dxa" w:w="2880"/>
          </w:tcPr>
          <w:p>
            <w:r/>
            <w:r>
              <w:rPr>
                <w:rFonts w:ascii="Calibri" w:hAnsi="Calibri" w:eastAsia="PingFang SC"/>
              </w:rPr>
              <w:t>用转移单将库存中的托盘及其中资产从一个库房移动到另一个库房</w:t>
            </w:r>
          </w:p>
        </w:tc>
        <w:tc>
          <w:tcPr>
            <w:tcW w:type="dxa" w:w="2880"/>
          </w:tcPr>
          <w:p>
            <w:r/>
            <w:r>
              <w:rPr>
                <w:rFonts w:ascii="Calibri" w:hAnsi="Calibri" w:eastAsia="PingFang SC"/>
              </w:rPr>
              <w:t>作为转移单工作流的一部分，在托盘上执行的更新适用于其中包含的资产</w:t>
            </w:r>
          </w:p>
        </w:tc>
      </w:tr>
      <w:tr>
        <w:tc>
          <w:tcPr>
            <w:tcW w:type="dxa" w:w="2880"/>
          </w:tcPr>
          <w:p>
            <w:r/>
            <w:r>
              <w:rPr>
                <w:rFonts w:ascii="Calibri" w:hAnsi="Calibri" w:eastAsia="PingFang SC"/>
              </w:rPr>
              <w:t>仅移动资产</w:t>
            </w:r>
          </w:p>
        </w:tc>
        <w:tc>
          <w:tcPr>
            <w:tcW w:type="dxa" w:w="2880"/>
          </w:tcPr>
          <w:p>
            <w:r/>
            <w:r>
              <w:rPr>
                <w:rFonts w:ascii="Calibri" w:hAnsi="Calibri" w:eastAsia="PingFang SC"/>
              </w:rPr>
              <w:t>仅移动托盘中包含的资产</w:t>
            </w:r>
          </w:p>
        </w:tc>
        <w:tc>
          <w:tcPr>
            <w:tcW w:type="dxa" w:w="2880"/>
          </w:tcPr>
          <w:p>
            <w:r/>
            <w:r>
              <w:rPr>
                <w:rFonts w:ascii="Calibri" w:hAnsi="Calibri" w:eastAsia="PingFang SC"/>
              </w:rPr>
              <w:t>若仅移动托盘中包含的资产，则任务结束后这些资产将从托盘中删除</w:t>
            </w:r>
          </w:p>
        </w:tc>
      </w:tr>
      <w:tr>
        <w:tc>
          <w:tcPr>
            <w:tcW w:type="dxa" w:w="2880"/>
          </w:tcPr>
          <w:p>
            <w:r/>
            <w:r>
              <w:rPr>
                <w:rFonts w:ascii="Calibri" w:hAnsi="Calibri" w:eastAsia="PingFang SC"/>
              </w:rPr>
              <w:t>移动空托盘</w:t>
            </w:r>
          </w:p>
        </w:tc>
        <w:tc>
          <w:tcPr>
            <w:tcW w:type="dxa" w:w="2880"/>
          </w:tcPr>
          <w:p>
            <w:r/>
            <w:r>
              <w:rPr>
                <w:rFonts w:ascii="Calibri" w:hAnsi="Calibri" w:eastAsia="PingFang SC"/>
              </w:rPr>
              <w:t>使用转移单移动空托盘</w:t>
            </w:r>
          </w:p>
        </w:tc>
        <w:tc>
          <w:tcPr>
            <w:tcW w:type="dxa" w:w="2880"/>
          </w:tcPr>
          <w:p>
            <w:r/>
            <w:r>
              <w:rPr>
                <w:rFonts w:ascii="Calibri" w:hAnsi="Calibri" w:eastAsia="PingFang SC"/>
              </w:rPr>
              <w:t>可以使用转移单移动空托盘</w:t>
            </w:r>
          </w:p>
        </w:tc>
      </w:tr>
      <w:tr>
        <w:tc>
          <w:tcPr>
            <w:tcW w:type="dxa" w:w="2880"/>
          </w:tcPr>
          <w:p>
            <w:r/>
            <w:r>
              <w:rPr>
                <w:rFonts w:ascii="Calibri" w:hAnsi="Calibri" w:eastAsia="PingFang SC"/>
              </w:rPr>
              <w:t>退回托盘及资产</w:t>
            </w:r>
          </w:p>
        </w:tc>
        <w:tc>
          <w:tcPr>
            <w:tcW w:type="dxa" w:w="2880"/>
          </w:tcPr>
          <w:p>
            <w:r/>
            <w:r>
              <w:rPr>
                <w:rFonts w:ascii="Calibri" w:hAnsi="Calibri" w:eastAsia="PingFang SC"/>
              </w:rPr>
              <w:t>收到的资产出现问题时退回</w:t>
            </w:r>
          </w:p>
        </w:tc>
        <w:tc>
          <w:tcPr>
            <w:tcW w:type="dxa" w:w="2880"/>
          </w:tcPr>
          <w:p>
            <w:r/>
            <w:r>
              <w:rPr>
                <w:rFonts w:ascii="Calibri" w:hAnsi="Calibri" w:eastAsia="PingFang SC"/>
              </w:rPr>
              <w:t>若作为转移订单一部分收到的全部或部分资产出现问题，可退回托盘及其资产；无法退回托盘中包含的单个资产</w:t>
            </w:r>
          </w:p>
        </w:tc>
      </w:tr>
    </w:tbl>
    <w:p/>
    <w:p>
      <w:pPr>
        <w:pStyle w:val="Heading3"/>
      </w:pPr>
      <w:r>
        <w:rPr>
          <w:rFonts w:ascii="Calibri" w:hAnsi="Calibri" w:eastAsia="PingFang SC"/>
        </w:rPr>
      </w:r>
      <w:r>
        <w:rPr>
          <w:rFonts w:ascii="Calibri" w:hAnsi="Calibri" w:eastAsia="PingFang SC"/>
        </w:rPr>
        <w:t>3.6 页面功能与交互逻辑</w:t>
      </w:r>
    </w:p>
    <w:p>
      <w:pPr>
        <w:pStyle w:val="Heading4"/>
      </w:pPr>
      <w:r>
        <w:rPr>
          <w:rFonts w:ascii="Calibri" w:hAnsi="Calibri" w:eastAsia="PingFang SC"/>
        </w:rPr>
      </w:r>
      <w:r>
        <w:rPr>
          <w:rFonts w:ascii="Calibri" w:hAnsi="Calibri" w:eastAsia="PingFang SC"/>
        </w:rPr>
        <w:t>3.6.1 规格入口</w:t>
      </w:r>
    </w:p>
    <w:p>
      <w:pPr>
        <w:pStyle w:val="ListBullet"/>
      </w:pPr>
      <w:r>
        <w:rPr>
          <w:rFonts w:ascii="Calibri" w:hAnsi="Calibri" w:eastAsia="PingFang SC"/>
        </w:rPr>
        <w:t>进入 Model 菜单后增加 Pallet models 入口；新建进入创建 model 页面，Save 后创建成功。</w:t>
      </w:r>
    </w:p>
    <w:p>
      <w:pPr>
        <w:pStyle w:val="Heading4"/>
      </w:pPr>
      <w:r>
        <w:rPr>
          <w:rFonts w:ascii="Calibri" w:hAnsi="Calibri" w:eastAsia="PingFang SC"/>
        </w:rPr>
      </w:r>
      <w:r>
        <w:rPr>
          <w:rFonts w:ascii="Calibri" w:hAnsi="Calibri" w:eastAsia="PingFang SC"/>
        </w:rPr>
        <w:t>3.6.2 资产台账（托盘资产）</w:t>
      </w:r>
    </w:p>
    <w:p>
      <w:pPr>
        <w:pStyle w:val="ListBullet"/>
      </w:pPr>
      <w:r>
        <w:rPr>
          <w:rFonts w:ascii="Calibri" w:hAnsi="Calibri" w:eastAsia="PingFang SC"/>
          <w:b/>
        </w:rPr>
        <w:t>左侧类型分类面板</w:t>
      </w:r>
      <w:r>
        <w:rPr>
          <w:rFonts w:ascii="Calibri" w:hAnsi="Calibri" w:eastAsia="PingFang SC"/>
        </w:rPr>
        <w:t>：按资产类型（硬件/耗材/捆绑/托盘/软件许可/云资产）分类，树形结构，展示各类型实时数量。</w:t>
      </w:r>
    </w:p>
    <w:p>
      <w:pPr>
        <w:pStyle w:val="ListBullet"/>
      </w:pPr>
      <w:r>
        <w:rPr>
          <w:rFonts w:ascii="Calibri" w:hAnsi="Calibri" w:eastAsia="PingFang SC"/>
        </w:rPr>
        <w:t>资产菜单项增加创建托盘资产入口，点击 New 进入新建详情页，Save 后创建成功。</w:t>
      </w:r>
    </w:p>
    <w:p>
      <w:pPr>
        <w:pStyle w:val="ListBullet"/>
      </w:pPr>
      <w:r>
        <w:rPr>
          <w:rFonts w:ascii="Calibri" w:hAnsi="Calibri" w:eastAsia="PingFang SC"/>
        </w:rPr>
        <w:t>托盘详情页关联页卡 Assets：显示已添加资产，支持 Add / Delete；删除托盘需 Assets 为空。</w:t>
      </w:r>
    </w:p>
    <w:p>
      <w:pPr>
        <w:pStyle w:val="ListBullet"/>
      </w:pPr>
      <w:r>
        <w:rPr>
          <w:rFonts w:ascii="Calibri" w:hAnsi="Calibri" w:eastAsia="PingFang SC"/>
        </w:rPr>
        <w:t>Asset tag 遵循 `PAL+7位数字` 规则；Display name 由 Asset tag 及 model 共同生成。</w:t>
      </w:r>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托盘规格 Pallet Model 可创建，Model category 默认 Pallet 且不可修改，其余字段与 Bundle model 一致。</w:t>
      </w:r>
    </w:p>
    <w:p>
      <w:pPr>
        <w:pStyle w:val="ListBullet"/>
      </w:pPr>
      <w:r>
        <w:rPr>
          <w:rFonts w:ascii="Calibri" w:hAnsi="Calibri" w:eastAsia="PingFang SC"/>
        </w:rPr>
        <w:t>托盘资产可创建，Asset tag 唯一且符合 `PAL+7位数字`；Display name 由 Asset tag+model 生成正确。</w:t>
      </w:r>
    </w:p>
    <w:p>
      <w:pPr>
        <w:pStyle w:val="ListBullet"/>
      </w:pPr>
      <w:r>
        <w:rPr>
          <w:rFonts w:ascii="Calibri" w:hAnsi="Calibri" w:eastAsia="PingFang SC"/>
        </w:rPr>
        <w:t>托盘资产字段随 State（In stock/In transit/Retired/Missing）正确联动（Reserved for/Stockroom/Location/Assigned to）。</w:t>
      </w:r>
    </w:p>
    <w:p>
      <w:pPr>
        <w:pStyle w:val="ListBullet"/>
      </w:pPr>
      <w:r>
        <w:rPr>
          <w:rFonts w:ascii="Calibri" w:hAnsi="Calibri" w:eastAsia="PingFang SC"/>
        </w:rPr>
        <w:t>向托盘添加资产满足条件 A（位置）、B（托盘 In stock）、C（资产状态）、D（无父资产）、E（父资产带子资产）；添加后资产状态/子状态/位置/库房与托盘同步、Parent 设为托盘、Reserved for 同步。</w:t>
      </w:r>
    </w:p>
    <w:p>
      <w:pPr>
        <w:pStyle w:val="ListBullet"/>
      </w:pPr>
      <w:r>
        <w:rPr>
          <w:rFonts w:ascii="Calibri" w:hAnsi="Calibri" w:eastAsia="PingFang SC"/>
        </w:rPr>
        <w:t>托盘状态不符合时添加提示准确；Pallet 不能被添加到 Bundle。</w:t>
      </w:r>
    </w:p>
    <w:p>
      <w:pPr>
        <w:pStyle w:val="ListBullet"/>
      </w:pPr>
      <w:r>
        <w:rPr>
          <w:rFonts w:ascii="Calibri" w:hAnsi="Calibri" w:eastAsia="PingFang SC"/>
        </w:rPr>
        <w:t>从托盘删除资产后 Parent 置空、其余字段不变；父资产删除时子资产一并删除；托盘为空才可删除，否则提示。</w:t>
      </w:r>
    </w:p>
    <w:p>
      <w:pPr>
        <w:pStyle w:val="ListBullet"/>
      </w:pPr>
      <w:r>
        <w:rPr>
          <w:rFonts w:ascii="Calibri" w:hAnsi="Calibri" w:eastAsia="PingFang SC"/>
        </w:rPr>
        <w:t>转移单可移动托盘及资产、移动空托盘、仅移动资产（结束后从托盘删除）、退回托盘及资产。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