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硬件资产增删改查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Estate &amp; Action / Hardware Asset　｜　对应原型：资产管理 → 资产台账（硬件资产）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`/asset/ledger`（列表）、`/asset/ledger/:id`（详情）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《Assets 硬件资产增删改查》《Hardware asset--Asset Estate &amp; Action》《台账管理-批量修改某些属性信息》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新建硬件资产增删改查需求，明确字段字典、状态机、创建两种模式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 Asset tag 系统生成规则：硬件资产 `P+9位数字`（参考 ServiceNow）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按最新系统原型对齐字段命名、列表默认列、左侧类型分类面板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Asset（资产）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企业实物/虚拟资产的台账记录，承载财务、位置、状态、生命周期信息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CI（配置项）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 中的配置项，资产可与 CI 双向关联（一对一引用）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Model（规格）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资产的规格模型，定义型号、类别、制造商等，资产由规格实例化而来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资产标签，系统按规则生成的资产唯一编码（硬件 `P+9位数字`）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State / Substate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资产状态 / 子状态，构成资产生命周期状态机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硬件资产需先有规格模型再实例化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映射管理（Field/Status Mapping）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与 CMDB CI 的属性/状态映射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硬件资产折旧字段引用折旧方案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当企业建立了规格模型（Model）之后，需要对与规格对应的实物资产进行创建与管理。硬件资产是 ITAM 的核心资产类型，覆盖计算机、服务器、网络设备、外设等实体设备。系统需支持对硬件资产完整生命周期（采购→入库→在用→维修→退役→处置）的记录与流转，并围绕财务价值管理诉求，联动合同、成本/费用、厂商/组织进行运营管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：跟踪资产生命周期流转对企业财务管理的影响，围绕财务价值管理诉求，联动合同、费用/成本、厂商/组织、运营管理。</w:t>
      </w:r>
    </w:p>
    <w:p>
      <w:pPr>
        <w:pStyle w:val="ListBullet"/>
      </w:pPr>
      <w:r>
        <w:rPr>
          <w:rFonts w:ascii="Calibri" w:hAnsi="Calibri" w:eastAsia="PingFang SC"/>
          <w:b/>
        </w:rPr>
        <w:t>透明度提升</w:t>
      </w:r>
      <w:r>
        <w:rPr>
          <w:rFonts w:ascii="Calibri" w:hAnsi="Calibri" w:eastAsia="PingFang SC"/>
        </w:rPr>
        <w:t>：建立资产可见性，遏制未知资产扩散，解决费用分配问题。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：控制资本支出与运营支出，提升已有资产利用率，提供库存监督。</w:t>
      </w:r>
    </w:p>
    <w:p>
      <w:pPr>
        <w:pStyle w:val="ListBullet"/>
      </w:pPr>
      <w:r>
        <w:rPr>
          <w:rFonts w:ascii="Calibri" w:hAnsi="Calibri" w:eastAsia="PingFang SC"/>
          <w:b/>
        </w:rPr>
        <w:t>风险缓解</w:t>
      </w:r>
      <w:r>
        <w:rPr>
          <w:rFonts w:ascii="Calibri" w:hAnsi="Calibri" w:eastAsia="PingFang SC"/>
        </w:rPr>
        <w:t>：减少重复采购，最小化风险，支持合规，快速定位资产、跟踪转移、明确资产责任人。</w:t>
      </w:r>
    </w:p>
    <w:p>
      <w:pPr>
        <w:pStyle w:val="ListBullet"/>
      </w:pPr>
      <w:r>
        <w:rPr>
          <w:rFonts w:ascii="Calibri" w:hAnsi="Calibri" w:eastAsia="PingFang SC"/>
          <w:b/>
        </w:rPr>
        <w:t>流程优化</w:t>
      </w:r>
      <w:r>
        <w:rPr>
          <w:rFonts w:ascii="Calibri" w:hAnsi="Calibri" w:eastAsia="PingFang SC"/>
        </w:rPr>
        <w:t>：在规划、获取、接收、替换、转移、退役、处置各环节提升效率、减少错误。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HAM（Hardware Asset Management）：资产与 CI 一对一关联；资产标签按前缀规则自动生成；列表页支持树形分类与多字段筛选；预留 Overview、Asset tasks Tab。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，我希望在创建资产时自动/手动关联 CMDB CI，以便资产与配置数据保持一致。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，我希望按类型（硬件/耗材/软件/捆绑/托盘/云）快速筛选资产并查看关键字段，以便高效盘查。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，我希望资产记录完整承载采购、成本、折旧信息，以便进行资产价值核算。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资产实例化模块</w:t>
      </w:r>
    </w:p>
    <w:p>
      <w:r>
        <w:rPr>
          <w:rFonts w:ascii="Calibri" w:hAnsi="Calibri" w:eastAsia="PingFang SC"/>
        </w:rPr>
        <w:t>在系统中创建资产的目的，是实现对企业资产全面、系统、科学的管理。通过创建资产记录，可存储序列化设备的详细信息（零件、工具、消耗品、预装件、层次化多组件资产），并捕捉复杂关系、保修、服务合同与租赁条款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创建资产（两种模式）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`model`（规格模型表，引用）</w:t>
      </w:r>
    </w:p>
    <w:p>
      <w:pPr>
        <w:pStyle w:val="ListBullet"/>
      </w:pPr>
      <w:r>
        <w:rPr>
          <w:rFonts w:ascii="Calibri" w:hAnsi="Calibri" w:eastAsia="PingFang SC"/>
        </w:rPr>
        <w:t>`cmdb_ci`（配置项表，引用 `ciId`）</w:t>
      </w:r>
    </w:p>
    <w:p>
      <w:pPr>
        <w:pStyle w:val="ListBullet"/>
      </w:pPr>
      <w:r>
        <w:rPr>
          <w:rFonts w:ascii="Calibri" w:hAnsi="Calibri" w:eastAsia="PingFang SC"/>
        </w:rPr>
        <w:t>`location` / `department` / `company` / `vendor`（组织与位置引用表）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创建硬件资产-模式1A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手动创建，创建资产时同步自动创建 CI 并关联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发起创建时调用 CMDB API 创建 CI，获得 ciId 回填 Asset 的引用字段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创建硬件资产-模式1B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手动创建，创建资产时手动选择已有 CI 并关联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选入单条 CI 获取 ciId 回填 Asset 引用字段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创建硬件资产-模式2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周期性后台任务自动创建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 设定固定任务每日执行一次，读取 CMDB CI 库，对当日新增且未绑定资产的 CI 自动创建 Asset；需页面配置可选择哪些类型实物可生成资产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tag 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系统按规则生成资产唯一编码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 `P+9位数字`（参考 ServiceNow），详见《资产标识配置规则》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硬件资产字段说明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硬件资产显示名称，用于界面展示与识别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资产类别（计算机/服务器/网络设备等），用于分类管理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关联配置项，记录资产的具体配置/组件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具体型号，提供详细规格信息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资产标签，唯一标识（序列号/条码），便于追踪与物理识别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序列号，硬件资产唯一序列号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资产状态（In use/Retired 等），反映当前使用情况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子状态，状态的更细分类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分配给的用户/部门，明确使用责任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物理位置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管理方（团队/个人）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所有者（用户/部门），确定责任归属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所属公司/组织（多公司环境）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父级资产，表示资产层级关系（如服务器含多块硬盘）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资产功能/用途（Primary/Secondary/Shared）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采购订单号，关联采购信息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GL account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总账账户，记录财务信息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购买成本/当前估值（USD）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成本中心，用于成本分配与预算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供应商/制造商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获取方式（Purchase/Lease/Rental/Loan/DaaS）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支出类型（Capex/Opex）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Disposal reason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处置原因（报废/出售/捐赠等）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Scheduled retirement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计划退役日期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Retired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实际退役日期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Resale price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转售价格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折旧方法/策略（引用折旧方案）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折旧生效日期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Residual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残值日期的预计价值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使用寿命结束时的预计残值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Depreciated 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已折旧总金额（账面价值参考）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Lease contract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关联租赁合同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Warranty expiration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保修到期日期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支持团队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Supported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支持人/供应商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Work 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工作笔记/备注（维护记录、问题报告等）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库房，用于存储资产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total_core_count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CPU 总核心数，从 CMDB CI 获取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total_cpu_count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CPU 总数，从 CMDB CI 获取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Purchase / Lease / Rental / Loan / Device as a 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获取方式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Primary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用于主要功能（如员工日常工作站）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Secondary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用于次要/备用功能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Shared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共享使用（会议室设备、共享打印机等）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Capex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资本支出，通过折旧/摊销在使用寿命内分摊成本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Opex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运营支出，发生即计入当期费用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已订购未收货（substate=none）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在库存中可分配（substate 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transit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运输中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已分配使用中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维修/维护中（substate=none）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已退役，等待/已处置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丢失或无法找到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构建/配置中（新建资产默认状态，substate=none）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 / Reserved / Defective / Pending repair / Pending install / Pending disposal / Pending transfer / Pre-allocated / On hold / Quarantine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库存态子状态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Substate（Retired）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Disposed / Sold / Donated / Vendor credit / Lease return / Obsolete / RMA / Buy 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退役态子状态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Substate（Missing）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Lost / Stolen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丢失态子状态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列表页（资产台账-硬件资产）</w:t>
      </w:r>
    </w:p>
    <w:p>
      <w:pPr>
        <w:pStyle w:val="ListBullet"/>
      </w:pPr>
      <w:r>
        <w:rPr>
          <w:rFonts w:ascii="Calibri" w:hAnsi="Calibri" w:eastAsia="PingFang SC"/>
          <w:b/>
        </w:rPr>
        <w:t>左侧类型分类面板</w:t>
      </w:r>
      <w:r>
        <w:rPr>
          <w:rFonts w:ascii="Calibri" w:hAnsi="Calibri" w:eastAsia="PingFang SC"/>
        </w:rPr>
        <w:t>：按资产类型（硬件资产/耗材资产/捆绑资产/托盘资产/软件许可/云资产）分类，展示各类型实时数量；点击切换筛选。</w:t>
      </w:r>
    </w:p>
    <w:p>
      <w:pPr>
        <w:pStyle w:val="ListBullet"/>
      </w:pPr>
      <w:r>
        <w:rPr>
          <w:rFonts w:ascii="Calibri" w:hAnsi="Calibri" w:eastAsia="PingFang SC"/>
          <w:b/>
        </w:rPr>
        <w:t>默认展示列</w:t>
      </w:r>
      <w:r>
        <w:rPr>
          <w:rFonts w:ascii="Calibri" w:hAnsi="Calibri" w:eastAsia="PingFang SC"/>
        </w:rPr>
        <w:t>：Display name、Model category、Asset tag、Serial number、Assigned to、Company、State、Substate；支持将「硬件资产字段说明」表中所有字段加入筛选。</w:t>
      </w:r>
    </w:p>
    <w:p>
      <w:pPr>
        <w:pStyle w:val="ListBullet"/>
      </w:pPr>
      <w:r>
        <w:rPr>
          <w:rFonts w:ascii="Calibri" w:hAnsi="Calibri" w:eastAsia="PingFang SC"/>
          <w:b/>
        </w:rPr>
        <w:t>展示数量</w:t>
      </w:r>
      <w:r>
        <w:rPr>
          <w:rFonts w:ascii="Calibri" w:hAnsi="Calibri" w:eastAsia="PingFang SC"/>
        </w:rPr>
        <w:t>：顶部显示硬件资产总数。</w:t>
      </w:r>
    </w:p>
    <w:p>
      <w:pPr>
        <w:pStyle w:val="ListBullet"/>
      </w:pPr>
      <w:r>
        <w:rPr>
          <w:rFonts w:ascii="Calibri" w:hAnsi="Calibri" w:eastAsia="PingFang SC"/>
          <w:b/>
        </w:rPr>
        <w:t>排序</w:t>
      </w:r>
      <w:r>
        <w:rPr>
          <w:rFonts w:ascii="Calibri" w:hAnsi="Calibri" w:eastAsia="PingFang SC"/>
        </w:rPr>
        <w:t>：默认按创建时间倒序，保证新建资产置顶可见。</w:t>
      </w:r>
    </w:p>
    <w:p>
      <w:pPr>
        <w:pStyle w:val="ListBullet"/>
      </w:pPr>
      <w:r>
        <w:rPr>
          <w:rFonts w:ascii="Calibri" w:hAnsi="Calibri" w:eastAsia="PingFang SC"/>
          <w:b/>
        </w:rPr>
        <w:t>预留 Tab</w:t>
      </w:r>
      <w:r>
        <w:rPr>
          <w:rFonts w:ascii="Calibri" w:hAnsi="Calibri" w:eastAsia="PingFang SC"/>
        </w:rPr>
        <w:t>：参考 ServiceNow，预留 Overview 页、Asset tasks 页（暂不展示数据，后续扩展）。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：新建、编辑、删除（二次确认 Popconfirm）、批量修改属性（详见《台账管理-批量修改》）、导入、导出。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详情页（新建/编辑）</w:t>
      </w:r>
    </w:p>
    <w:p>
      <w:pPr>
        <w:pStyle w:val="ListBullet"/>
      </w:pPr>
      <w:r>
        <w:rPr>
          <w:rFonts w:ascii="Calibri" w:hAnsi="Calibri" w:eastAsia="PingFang SC"/>
        </w:rPr>
        <w:t>分组展示：</w:t>
      </w:r>
      <w:r>
        <w:rPr>
          <w:rFonts w:ascii="Calibri" w:hAnsi="Calibri" w:eastAsia="PingFang SC"/>
          <w:b/>
        </w:rPr>
        <w:t>基本信息（General）</w:t>
      </w:r>
      <w:r>
        <w:rPr>
          <w:rFonts w:ascii="Calibri" w:hAnsi="Calibri" w:eastAsia="PingFang SC"/>
        </w:rPr>
        <w:t>、</w:t>
      </w:r>
      <w:r>
        <w:rPr>
          <w:rFonts w:ascii="Calibri" w:hAnsi="Calibri" w:eastAsia="PingFang SC"/>
          <w:b/>
        </w:rPr>
        <w:t>财务信息（Financials）</w:t>
      </w:r>
      <w:r>
        <w:rPr>
          <w:rFonts w:ascii="Calibri" w:hAnsi="Calibri" w:eastAsia="PingFang SC"/>
        </w:rPr>
        <w:t>、</w:t>
      </w:r>
      <w:r>
        <w:rPr>
          <w:rFonts w:ascii="Calibri" w:hAnsi="Calibri" w:eastAsia="PingFang SC"/>
          <w:b/>
        </w:rPr>
        <w:t>折旧信息（Depreciation）</w:t>
      </w:r>
      <w:r>
        <w:rPr>
          <w:rFonts w:ascii="Calibri" w:hAnsi="Calibri" w:eastAsia="PingFang SC"/>
        </w:rPr>
        <w:t>、</w:t>
      </w:r>
      <w:r>
        <w:rPr>
          <w:rFonts w:ascii="Calibri" w:hAnsi="Calibri" w:eastAsia="PingFang SC"/>
          <w:b/>
        </w:rPr>
        <w:t>保修与支持</w:t>
      </w:r>
      <w:r>
        <w:rPr>
          <w:rFonts w:ascii="Calibri" w:hAnsi="Calibri" w:eastAsia="PingFang SC"/>
        </w:rPr>
        <w:t>、</w:t>
      </w:r>
      <w:r>
        <w:rPr>
          <w:rFonts w:ascii="Calibri" w:hAnsi="Calibri" w:eastAsia="PingFang SC"/>
          <w:b/>
        </w:rPr>
        <w:t>工作笔记</w:t>
      </w:r>
      <w:r>
        <w:rPr>
          <w:rFonts w:ascii="Calibri" w:hAnsi="Calibri" w:eastAsia="PingFang SC"/>
        </w:rPr>
        <w:t>。</w:t>
      </w:r>
    </w:p>
    <w:p>
      <w:pPr>
        <w:pStyle w:val="ListBullet"/>
      </w:pPr>
      <w:r>
        <w:rPr>
          <w:rFonts w:ascii="Calibri" w:hAnsi="Calibri" w:eastAsia="PingFang SC"/>
        </w:rPr>
        <w:t>类型专属字段随资产类型联动显示（硬件资产展示序列号、CPU 核数等）。</w:t>
      </w:r>
    </w:p>
    <w:p>
      <w:pPr>
        <w:pStyle w:val="ListBullet"/>
      </w:pPr>
      <w:r>
        <w:rPr>
          <w:rFonts w:ascii="Calibri" w:hAnsi="Calibri" w:eastAsia="PingFang SC"/>
        </w:rPr>
        <w:t>深链访问不存在的资产 ID 时展示 404 结果页与返回入口。</w:t>
      </w:r>
    </w:p>
    <w:p>
      <w:pPr>
        <w:pStyle w:val="ListBullet"/>
      </w:pPr>
      <w:r>
        <w:rPr>
          <w:rFonts w:ascii="Calibri" w:hAnsi="Calibri" w:eastAsia="PingFang SC"/>
        </w:rPr>
        <w:t>保存时做字段校验（必填/类型/长度），编码字段（Asset tag）按规则只读生成或校验唯一。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校验与约束</w:t>
      </w:r>
    </w:p>
    <w:p>
      <w:pPr>
        <w:pStyle w:val="ListBullet"/>
      </w:pPr>
      <w:r>
        <w:rPr>
          <w:rFonts w:ascii="Calibri" w:hAnsi="Calibri" w:eastAsia="PingFang SC"/>
        </w:rPr>
        <w:t>Asset tag 全局唯一，硬件资产遵循 `P+9位数字` 规则。</w:t>
      </w:r>
    </w:p>
    <w:p>
      <w:pPr>
        <w:pStyle w:val="ListBullet"/>
      </w:pPr>
      <w:r>
        <w:rPr>
          <w:rFonts w:ascii="Calibri" w:hAnsi="Calibri" w:eastAsia="PingFang SC"/>
        </w:rPr>
        <w:t>State 与 Substate 需符合状态机约束（如 Retired 才可选退役类 Substate）。</w:t>
      </w:r>
    </w:p>
    <w:p>
      <w:pPr>
        <w:pStyle w:val="ListBullet"/>
      </w:pPr>
      <w:r>
        <w:rPr>
          <w:rFonts w:ascii="Calibri" w:hAnsi="Calibri" w:eastAsia="PingFang SC"/>
        </w:rPr>
        <w:t>资产与 CI 为一对一引用；删除资产进入回收站（详见《查看及恢复已删除资产》）。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硬件资产可完成创建、查看、编辑、删除全流程，字段与字典值符合本文定义。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列表左侧类型分类面板计数准确，默认列与筛选可用，默认按创建时间倒序。</w:t>
      </w:r>
    </w:p>
    <w:p>
      <w:pPr>
        <w:pStyle w:val="ListBullet"/>
      </w:pPr>
      <w:r>
        <w:rPr>
          <w:rFonts w:ascii="Calibri" w:hAnsi="Calibri" w:eastAsia="PingFang SC"/>
        </w:rPr>
        <w:t>详情页分组正确、类型专属字段联动、404 守卫生效。</w:t>
      </w:r>
    </w:p>
    <w:p>
      <w:pPr>
        <w:pStyle w:val="ListBullet"/>
      </w:pPr>
      <w:r>
        <w:rPr>
          <w:rFonts w:ascii="Calibri" w:hAnsi="Calibri" w:eastAsia="PingFang SC"/>
        </w:rPr>
        <w:t>Asset tag 唯一且符合生成规则；状态机切换符合约束。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