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资产维保管理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Warranty / Other Lifecycle Mgmt　｜　对应原型：资产管理 → 资产台账（维保视角）、资产洞察（维保看板）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权威依据：源文档《Asset Warranty（资产维保）》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 / 资产洞察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`/asset/warranty`（维保看板）、`/asset/ledger`（台账，维保字段）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《Asset Warranty（资产维保）》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4.25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初版，明确资产维保看板（合同角度 + 资产供应商角度）两类展示口径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补充生命周期阶段（EOL/EOS/EOES/EOSale）分时间维度统计口径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增加丰富组件优化（Label 分组、时间轴组件）与后续趋势图规划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Warranty（维保）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资产的保修/维护保障期，来源于资产供应商生命周期或维保类合同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Maintenance 合同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合同类型为 maintenance 的维保合同，记录维保起止与续保时间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Lifecycle phase（生命周期阶段）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资产供应商侧定义的产品生命周期阶段，含 EOL/EOS/EOES/End of Sale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Life（EOL）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生命周期结束，产品不再获任何官方支持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Support life（EOS）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维保生命周期结束，标准支持服务期满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Extended Support life（EOES）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扩展支持生命周期结束，标准支持期满后额外提供的支持期也即将结束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 of Sale（EOSale）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销售终止，产品不再由制造商/供应商销售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end_time / renewal_end_time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合同结束时间 / 合同续保结束时间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提供资产台账与 Warranty expiration、生命周期字段来源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合同管理与合同规格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提供 maintenance 类维保合同及 end_time/renewal_end_time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到期预警与通知场景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维保/生命周期到期触发通知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资产洞察看板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维保看板作为洞察 Dashboard 的组成部分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企业需要及时掌握资产关联的维保合同与维保时间，重点关注即将到期的资产，并按规格分布进行统计，以便提前规划续保、更换或退役。资产维保管理从两种角度展示报表：</w:t>
      </w:r>
      <w:r>
        <w:rPr>
          <w:rFonts w:ascii="Calibri" w:hAnsi="Calibri" w:eastAsia="PingFang SC"/>
          <w:b/>
        </w:rPr>
        <w:t>合同角度</w:t>
      </w:r>
      <w:r>
        <w:rPr>
          <w:rFonts w:ascii="Calibri" w:hAnsi="Calibri" w:eastAsia="PingFang SC"/>
        </w:rPr>
        <w:t>与</w:t>
      </w:r>
      <w:r>
        <w:rPr>
          <w:rFonts w:ascii="Calibri" w:hAnsi="Calibri" w:eastAsia="PingFang SC"/>
          <w:b/>
        </w:rPr>
        <w:t>资产供应商角度</w:t>
      </w:r>
      <w:r>
        <w:rPr>
          <w:rFonts w:ascii="Calibri" w:hAnsi="Calibri" w:eastAsia="PingFang SC"/>
        </w:rPr>
        <w:t>。合同角度关注维保合同的 `end_time`（结束时间）与 `renewal_end_time`（续保结束时间）；资产供应商角度关注资产生命周期阶段（Lifecycle phase）的 End of Sale、End of Support、End of Extended Support、End of Life。</w:t>
      </w:r>
    </w:p>
    <w:p>
      <w:r>
        <w:rPr>
          <w:rFonts w:ascii="Calibri" w:hAnsi="Calibri" w:eastAsia="PingFang SC"/>
        </w:rPr>
        <w:t>参考 ServiceNow 在资产概览（Asset Overview）中提供的「Hardware warranty expiration this year（今年硬件保修到期）」展示，说明今年将有多少硬件保修到期。若单独建设 Overview，可考虑增加不同时间维度（本月/本季度/本年/明年）的统计。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到期可视化</w:t>
      </w:r>
      <w:r>
        <w:rPr>
          <w:rFonts w:ascii="Calibri" w:hAnsi="Calibri" w:eastAsia="PingFang SC"/>
        </w:rPr>
        <w:t>：集中展示即将到期的维保与生命周期资产，避免因维保过期导致的运维风险与非计划停机。</w:t>
      </w:r>
    </w:p>
    <w:p>
      <w:pPr>
        <w:pStyle w:val="ListBullet"/>
      </w:pPr>
      <w:r>
        <w:rPr>
          <w:rFonts w:ascii="Calibri" w:hAnsi="Calibri" w:eastAsia="PingFang SC"/>
          <w:b/>
        </w:rPr>
        <w:t>续保决策支持</w:t>
      </w:r>
      <w:r>
        <w:rPr>
          <w:rFonts w:ascii="Calibri" w:hAnsi="Calibri" w:eastAsia="PingFang SC"/>
        </w:rPr>
        <w:t>：区分「已到期」与「续保后到期」，帮助管理员判断是否需要再次续保。</w:t>
      </w:r>
    </w:p>
    <w:p>
      <w:pPr>
        <w:pStyle w:val="ListBullet"/>
      </w:pPr>
      <w:r>
        <w:rPr>
          <w:rFonts w:ascii="Calibri" w:hAnsi="Calibri" w:eastAsia="PingFang SC"/>
          <w:b/>
        </w:rPr>
        <w:t>规格分布洞察</w:t>
      </w:r>
      <w:r>
        <w:rPr>
          <w:rFonts w:ascii="Calibri" w:hAnsi="Calibri" w:eastAsia="PingFang SC"/>
        </w:rPr>
        <w:t>：以饼状图展示今年即将过期资产的规格分布，辅助批量采购/更换决策。</w:t>
      </w:r>
    </w:p>
    <w:p>
      <w:pPr>
        <w:pStyle w:val="ListBullet"/>
      </w:pPr>
      <w:r>
        <w:rPr>
          <w:rFonts w:ascii="Calibri" w:hAnsi="Calibri" w:eastAsia="PingFang SC"/>
          <w:b/>
        </w:rPr>
        <w:t>成本控制</w:t>
      </w:r>
      <w:r>
        <w:rPr>
          <w:rFonts w:ascii="Calibri" w:hAnsi="Calibri" w:eastAsia="PingFang SC"/>
        </w:rPr>
        <w:t>：提前规划维保与更换，避免临时高价采购与紧急维修。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参考竞品（ServiceNow、Globe 等）：产品本身维度展示本月/本季度/本年/明年生命周期结束（End of Life）、维保生命结束（End of Support life）、扩展支持结束（End of Extended Support life）、销售终止（End of Sale）的设备数量；ServiceNow 视图支持不同时间维度切换。ITAM 采用「产品本身主题 + 合同主题」双主题看板，后续以时间维度扩展柱状图/趋势图。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，我希望查看今年即将维保到期的资产及其维保时间，以便提前安排续保或更换。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，我希望按生命周期阶段（EOL/EOS/EOES/EOSale）分时间维度查看资产数量，以便规划设备替换节奏。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采购/财务</w:t>
      </w:r>
      <w:r>
        <w:rPr>
          <w:rFonts w:ascii="Calibri" w:hAnsi="Calibri" w:eastAsia="PingFang SC"/>
        </w:rPr>
        <w:t>，我希望看到今年即将过期资产的规格分布饼图，以便统一预算与批量采购。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维保看板（Asset Warranty）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`asset`（资产主表，读取 Warranty expiration、Lifecycle phase、model 等字段）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`model`（规格模型表，读取生命周期阶段与规格分布维度）</w:t>
      </w:r>
    </w:p>
    <w:p>
      <w:pPr>
        <w:pStyle w:val="ListBullet"/>
      </w:pPr>
      <w:r>
        <w:rPr>
          <w:rFonts w:ascii="Calibri" w:hAnsi="Calibri" w:eastAsia="PingFang SC"/>
        </w:rPr>
        <w:t>`contract`（合同表，读取合同类型 maintenance、end_time、renewal_end_time）</w:t>
      </w:r>
    </w:p>
    <w:p>
      <w:pPr>
        <w:pStyle w:val="ListBullet"/>
      </w:pPr>
      <w:r>
        <w:rPr>
          <w:rFonts w:ascii="Calibri" w:hAnsi="Calibri" w:eastAsia="PingFang SC"/>
        </w:rPr>
        <w:t>`contract_asset`（合同-资产关联表，用于按合同统计覆盖资产）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p>
      <w:r>
        <w:rPr>
          <w:rFonts w:ascii="Calibri" w:hAnsi="Calibri" w:eastAsia="PingFang SC"/>
        </w:rPr>
        <w:t>看板依据 ITAM 表结构设计宽表，围绕「产品本身主题 + 合同主题」组织。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生命周期结束（End of Life）统计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分别展示本月、本季度、本年、明年生命周期属于 End of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按资产关联规格的 Lifecycle phase = End of Life，落在对应时间区间统计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维保结束（End of Support life）统计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分别展示本月、本季度、本年、明年生命周期属于 End of Support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 = End of Support life，按时间区间统计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扩展支持结束（End of Extended Support life）统计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分别展示本月、本季度、本年、明年属于 End of Extended Support life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 = End of Extended Support life，按时间区间统计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销售终止（End of Sale）统计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分别展示本月、本季度、本年、明年属于 End of Sale 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 = End of Sale，按时间区间统计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维保合同到期统计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本月/本季度/本年/明年维保合同（合同类型=maintenance）到期（end_time 到期）的资产数量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统计维保合同 end_time 落在对应区间的资产；</w:t>
            </w:r>
            <w:r>
              <w:rPr>
                <w:rFonts w:ascii="Calibri" w:hAnsi="Calibri" w:eastAsia="PingFang SC"/>
                <w:b/>
              </w:rPr>
              <w:t>需去掉已有续约合同的资产</w:t>
            </w:r>
            <w:r>
              <w:rPr>
                <w:rFonts w:ascii="Calibri" w:hAnsi="Calibri" w:eastAsia="PingFang SC"/>
              </w:rPr>
              <w:t>（避免重复计入）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维保续保到期统计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本月/本季度/本年/明年维保合同续保到期（renewal_end_time 到期）的资产数量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统计维保合同 renewal_end_time 落在对应区间的资产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今年过期资产规格分布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以饼状图展示今年即将过期资产的规格分布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对今年到期资产按 model/model category 聚合，饼图展示占比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跳转联动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点击维保合同到期项可跳转至对应资产/合同列表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携带筛选条件跳转台账或合同列表页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时间维度扩展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后续以时间为维度提供柱状图/趋势图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设计宽表时预留时间维度字段，支持按时间轴聚合（分阶段实现）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Warranty expiration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资产保修到期日期，来源于 `asset` 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资产供应商侧生命周期阶段（EOL/EOS/EOES/End of Sale）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Lifecycle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生命周期阶段对应的日期，用于时间区间归类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Contract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合同类型，维保统计取 maintenance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end_time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合同结束时间，用于「维保合同到期」统计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renewal_end_time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合同续保结束时间，用于「续保到期」统计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资产规格，用于规格分布饼图聚合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规格类别，用于规格分布聚合维度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Life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生命周期结束，产品不再获官方更新、修补或技术支持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Support life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维保生命周期结束，标准支持服务期满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Extended Support life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扩展支持生命周期结束，标准支持期满后的额外支持期也即将结束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Lifecycle phase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End of Sale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销售终止，产品不再由制造商/供应商销售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Contract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maintenance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维保合同类型，维保看板统计的合同口径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时间维度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本月 / 本季度 / 本年 / 明年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四个统计时间区间，各指标均按此四档展示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看板布局</w:t>
      </w:r>
    </w:p>
    <w:p>
      <w:pPr>
        <w:pStyle w:val="ListBullet"/>
      </w:pPr>
      <w:r>
        <w:rPr>
          <w:rFonts w:ascii="Calibri" w:hAnsi="Calibri" w:eastAsia="PingFang SC"/>
          <w:b/>
        </w:rPr>
        <w:t>双主题结构</w:t>
      </w:r>
      <w:r>
        <w:rPr>
          <w:rFonts w:ascii="Calibri" w:hAnsi="Calibri" w:eastAsia="PingFang SC"/>
        </w:rPr>
        <w:t>：上方为「产品本身主题」（EOL/EOS/EOES/End of Sale 四组，各含本月/本季度/本年/明年数量卡片）；下方为「合同主题」（维保合同到期、续保到期）。</w:t>
      </w:r>
    </w:p>
    <w:p>
      <w:pPr>
        <w:pStyle w:val="ListBullet"/>
      </w:pPr>
      <w:r>
        <w:rPr>
          <w:rFonts w:ascii="Calibri" w:hAnsi="Calibri" w:eastAsia="PingFang SC"/>
          <w:b/>
        </w:rPr>
        <w:t>规格分布</w:t>
      </w:r>
      <w:r>
        <w:rPr>
          <w:rFonts w:ascii="Calibri" w:hAnsi="Calibri" w:eastAsia="PingFang SC"/>
        </w:rPr>
        <w:t>：以饼状图展示「今年要过期的资产规格分布」。</w:t>
      </w:r>
    </w:p>
    <w:p>
      <w:pPr>
        <w:pStyle w:val="ListBullet"/>
      </w:pPr>
      <w:r>
        <w:rPr>
          <w:rFonts w:ascii="Calibri" w:hAnsi="Calibri" w:eastAsia="PingFang SC"/>
          <w:b/>
        </w:rPr>
        <w:t>跳转</w:t>
      </w:r>
      <w:r>
        <w:rPr>
          <w:rFonts w:ascii="Calibri" w:hAnsi="Calibri" w:eastAsia="PingFang SC"/>
        </w:rPr>
        <w:t>：点击维保合同到期数量可跳转至过滤后的资产/合同列表。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丰富组件优化</w:t>
      </w:r>
    </w:p>
    <w:p>
      <w:pPr>
        <w:pStyle w:val="ListBullet"/>
      </w:pPr>
      <w:r>
        <w:rPr>
          <w:rFonts w:ascii="Calibri" w:hAnsi="Calibri" w:eastAsia="PingFang SC"/>
          <w:b/>
        </w:rPr>
        <w:t>Label 分组</w:t>
      </w:r>
      <w:r>
        <w:rPr>
          <w:rFonts w:ascii="Calibri" w:hAnsi="Calibri" w:eastAsia="PingFang SC"/>
        </w:rPr>
        <w:t>：清晰的分组展示，直接做分组较复杂，优先支持 Label 标签分组。</w:t>
      </w:r>
    </w:p>
    <w:p>
      <w:pPr>
        <w:pStyle w:val="ListBullet"/>
      </w:pPr>
      <w:r>
        <w:rPr>
          <w:rFonts w:ascii="Calibri" w:hAnsi="Calibri" w:eastAsia="PingFang SC"/>
          <w:b/>
        </w:rPr>
        <w:t>时间组件</w:t>
      </w:r>
      <w:r>
        <w:rPr>
          <w:rFonts w:ascii="Calibri" w:hAnsi="Calibri" w:eastAsia="PingFang SC"/>
        </w:rPr>
        <w:t>：当前缺少时间组件，无法重新选择时间；趋势图基于时间，需具备时间轴调整能力（如拖拽），可分阶段实现。</w:t>
      </w:r>
    </w:p>
    <w:p>
      <w:pPr>
        <w:pStyle w:val="ListBullet"/>
      </w:pPr>
      <w:r>
        <w:rPr>
          <w:rFonts w:ascii="Calibri" w:hAnsi="Calibri" w:eastAsia="PingFang SC"/>
          <w:b/>
        </w:rPr>
        <w:t>趋势图/柱状图</w:t>
      </w:r>
      <w:r>
        <w:rPr>
          <w:rFonts w:ascii="Calibri" w:hAnsi="Calibri" w:eastAsia="PingFang SC"/>
        </w:rPr>
        <w:t>：后续以时间为维度扩展柱状图/趋势图，宽表设计时预留时间维度。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校验与约束</w:t>
      </w:r>
    </w:p>
    <w:p>
      <w:pPr>
        <w:pStyle w:val="ListBullet"/>
      </w:pPr>
      <w:r>
        <w:rPr>
          <w:rFonts w:ascii="Calibri" w:hAnsi="Calibri" w:eastAsia="PingFang SC"/>
        </w:rPr>
        <w:t>「维保合同到期」统计必须剔除已存在续约合同的资产，避免与「续保到期」重复计入。</w:t>
      </w:r>
    </w:p>
    <w:p>
      <w:pPr>
        <w:pStyle w:val="ListBullet"/>
      </w:pPr>
      <w:r>
        <w:rPr>
          <w:rFonts w:ascii="Calibri" w:hAnsi="Calibri" w:eastAsia="PingFang SC"/>
        </w:rPr>
        <w:t>生命周期阶段统计以资产关联规格的 Lifecycle phase 与对应日期为准。</w:t>
      </w:r>
    </w:p>
    <w:p>
      <w:pPr>
        <w:pStyle w:val="ListBullet"/>
      </w:pPr>
      <w:r>
        <w:rPr>
          <w:rFonts w:ascii="Calibri" w:hAnsi="Calibri" w:eastAsia="PingFang SC"/>
        </w:rPr>
        <w:t>时间维度统一为本月/本季度/本年/明年四档，口径需在各指标间保持一致。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维保看板可按合同角度（end_time / renewal_end_time）与供应商角度（EOL/EOS/EOES/End of Sale）分别统计并展示。</w:t>
      </w:r>
    </w:p>
    <w:p>
      <w:pPr>
        <w:pStyle w:val="ListBullet"/>
      </w:pPr>
      <w:r>
        <w:rPr>
          <w:rFonts w:ascii="Calibri" w:hAnsi="Calibri" w:eastAsia="PingFang SC"/>
        </w:rPr>
        <w:t>各指标均提供本月/本季度/本年/明年四个时间维度数量，且「维保合同到期」已去除有续约合同的资产。</w:t>
      </w:r>
    </w:p>
    <w:p>
      <w:pPr>
        <w:pStyle w:val="ListBullet"/>
      </w:pPr>
      <w:r>
        <w:rPr>
          <w:rFonts w:ascii="Calibri" w:hAnsi="Calibri" w:eastAsia="PingFang SC"/>
        </w:rPr>
        <w:t>今年过期资产规格分布饼图数据准确，可跳转至对应资产/合同列表。</w:t>
      </w:r>
    </w:p>
    <w:p>
      <w:pPr>
        <w:pStyle w:val="ListBullet"/>
      </w:pPr>
      <w:r>
        <w:rPr>
          <w:rFonts w:ascii="Calibri" w:hAnsi="Calibri" w:eastAsia="PingFang SC"/>
        </w:rPr>
        <w:t>组件优化：支持 Label 分组展示；时间轴/趋势图作为后续分阶段能力预留。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