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客户端访问合规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对应功能架构：License / Allocation Mgmt → Client Access &amp; Compliance　｜　对应原型：软件License → 客户端访问（Client Access）/ 合规管理（客户端访问合规）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 PRD《Client Access-- Allocation Mgmt》《Compliance of Client Access》+ ITAM 操作手册 + 系统原型 + ServiceNow SAM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软件License / 客户端访问与合规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`/settings/client-access`（Client Access 规则入口）、`/license/client-access/:id`（规则详情）、`/license/reconciliation`（合规计算，Type=Client access）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《Client Access-- Allocation Mgmt》《Compliance of Client Access》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 Client Access 规则（含 CAL 类型字典）与客户端访问合规计算，落表字段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04.27 迭代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增加 Devices with installations 页卡，关联页卡按 Type 动态展示（Users/Devices）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对齐原型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对齐 Settings 入口、合规触发（复用 Compliance calculate）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Client Access（客户端访问）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记录客户端（用户/设备）对服务器软件的访问，声明其已获许可授权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CAL（Client Access License）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客户端访问许可，按用户或设备计量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Count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人工指定的许可配额，为某 Cost center/Department 固定分配的 rights 配额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Devices with installations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记录设备实际动态安装信息的页卡，任何 Type 都必展示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僵尸用户/设备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Active=False 的用户/设备，可及时回收，无需等待使用回收规则命中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Software model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软件规格，承载 License Type/Product 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软件许可资产增删改查授权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Client Access 依赖软件实例授权与 rights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合规计算与补救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客户端访问合规复用 Compliance calculate 触发与补救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关联本期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软件实例有效期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库存可分配量取有效期内实例 rights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关联本期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组织管理（公司/部门/成本中心/位置）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Client Access 关联 Cost Center/Department/Company/Location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部分服务器软件（如 SQL Server、Citrix、IBM 软件）按客户端访问许可（CAL）计量，需记录哪些用户/设备被授权访问。相比软件安装/使用合规，客户端访问合规更具体：记录授权的成本中心、位置、实际使用用户的 Active 状态，可及时回收僵尸用户，无需等待使用回收规则命中。系统需支持创建 Client Access 规则、绑定用户/设备，并在合规计算时比对实际访问与台账授权、库存配额。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CAL 场景覆盖</w:t>
      </w:r>
      <w:r>
        <w:rPr>
          <w:rFonts w:ascii="Calibri" w:hAnsi="Calibri" w:eastAsia="PingFang SC"/>
        </w:rPr>
        <w:t>：支持 User/Device/User·Device CAL 及 IBM 系列度量单位。</w:t>
      </w:r>
    </w:p>
    <w:p>
      <w:pPr>
        <w:pStyle w:val="ListBullet"/>
      </w:pPr>
      <w:r>
        <w:rPr>
          <w:rFonts w:ascii="Calibri" w:hAnsi="Calibri" w:eastAsia="PingFang SC"/>
          <w:b/>
        </w:rPr>
        <w:t>配额管控</w:t>
      </w:r>
      <w:r>
        <w:rPr>
          <w:rFonts w:ascii="Calibri" w:hAnsi="Calibri" w:eastAsia="PingFang SC"/>
        </w:rPr>
        <w:t>：创建规则时校验库存可分配量，防止超配。</w:t>
      </w:r>
    </w:p>
    <w:p>
      <w:pPr>
        <w:pStyle w:val="ListBullet"/>
      </w:pPr>
      <w:r>
        <w:rPr>
          <w:rFonts w:ascii="Calibri" w:hAnsi="Calibri" w:eastAsia="PingFang SC"/>
          <w:b/>
        </w:rPr>
        <w:t>僵尸清理</w:t>
      </w:r>
      <w:r>
        <w:rPr>
          <w:rFonts w:ascii="Calibri" w:hAnsi="Calibri" w:eastAsia="PingFang SC"/>
        </w:rPr>
        <w:t>：识别 Active=False 用户/设备，及时回收授权。</w:t>
      </w:r>
    </w:p>
    <w:p>
      <w:pPr>
        <w:pStyle w:val="ListBullet"/>
      </w:pPr>
      <w:r>
        <w:rPr>
          <w:rFonts w:ascii="Calibri" w:hAnsi="Calibri" w:eastAsia="PingFang SC"/>
          <w:b/>
        </w:rPr>
        <w:t>合规闭环</w:t>
      </w:r>
      <w:r>
        <w:rPr>
          <w:rFonts w:ascii="Calibri" w:hAnsi="Calibri" w:eastAsia="PingFang SC"/>
        </w:rPr>
        <w:t>：复用统一 Compliance calculate 入口，同时计算安装与客户端访问合规。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 SAM 的 User subscription / Client access 工作区：以规则维度管理授权配额，按用户/设备绑定声明授权，合规复核比对实际访问与授权，僵尸账号可主动回收。本方案对齐并落地字段与库存校验口径。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软件资产管理员</w:t>
      </w:r>
      <w:r>
        <w:rPr>
          <w:rFonts w:ascii="Calibri" w:hAnsi="Calibri" w:eastAsia="PingFang SC"/>
        </w:rPr>
        <w:t>，我希望创建 Client Access 规则并指定配额与组织范围，以便管理 CAL 授权。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合规负责人</w:t>
      </w:r>
      <w:r>
        <w:rPr>
          <w:rFonts w:ascii="Calibri" w:hAnsi="Calibri" w:eastAsia="PingFang SC"/>
        </w:rPr>
        <w:t>，我希望绑定用户/设备并在合规计算中识别未授权访问与僵尸账号，以便及时回收。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采购/财务</w:t>
      </w:r>
      <w:r>
        <w:rPr>
          <w:rFonts w:ascii="Calibri" w:hAnsi="Calibri" w:eastAsia="PingFang SC"/>
        </w:rPr>
        <w:t>，我希望创建规则时系统校验可分配库存，以便不超配。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Client Access 规则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涉及到的表</w:t>
      </w:r>
    </w:p>
    <w:p>
      <w:pPr>
        <w:pStyle w:val="ListBullet"/>
      </w:pPr>
      <w:r>
        <w:rPr>
          <w:rFonts w:ascii="Calibri" w:hAnsi="Calibri" w:eastAsia="PingFang SC"/>
        </w:rPr>
        <w:t>`client_access`（客户端访问规则表）</w:t>
      </w:r>
    </w:p>
    <w:p>
      <w:pPr>
        <w:pStyle w:val="ListBullet"/>
      </w:pPr>
      <w:r>
        <w:rPr>
          <w:rFonts w:ascii="Calibri" w:hAnsi="Calibri" w:eastAsia="PingFang SC"/>
        </w:rPr>
        <w:t>`client_access_user`（用户绑定表）</w:t>
      </w:r>
    </w:p>
    <w:p>
      <w:pPr>
        <w:pStyle w:val="ListBullet"/>
      </w:pPr>
      <w:r>
        <w:rPr>
          <w:rFonts w:ascii="Calibri" w:hAnsi="Calibri" w:eastAsia="PingFang SC"/>
        </w:rPr>
        <w:t>`client_access_device`（设备绑定表）</w:t>
      </w:r>
    </w:p>
    <w:p>
      <w:pPr>
        <w:pStyle w:val="ListBullet"/>
      </w:pPr>
      <w:r>
        <w:rPr>
          <w:rFonts w:ascii="Calibri" w:hAnsi="Calibri" w:eastAsia="PingFang SC"/>
        </w:rPr>
        <w:t>`software_license`（软件实例，取有效期 rights 计算可分配量）</w:t>
      </w:r>
    </w:p>
    <w:p>
      <w:pPr>
        <w:pStyle w:val="ListBullet"/>
      </w:pPr>
      <w:r>
        <w:rPr>
          <w:rFonts w:ascii="Calibri" w:hAnsi="Calibri" w:eastAsia="PingFang SC"/>
        </w:rPr>
        <w:t>`cmdb_software_product_model`（软件规格，引用）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创建规则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Settings 增加 Client Access 入口，New 创建规则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用户创建实际访问时软件许可合规要求；名称满足唯一性检查，仅唯一时创建成功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库存校验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创建时校验 Count 是否超过可分配量 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Count ≤ X 则创建成功，否则提示"当前仅有 X 数量的权限可分配，不可超过此值。/ Currently, only X number of licenses are available for allocation, and this number must not be exceeded."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绑定用户/设备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在规则下添加 Users/Devices 绑定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绑定代表企业声明该实体已获授权；未绑定可能被判"未授权使用"触发告警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动态页卡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 Type 动态展示关联页卡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见 3.1.5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未授权告警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检测到未绑定用户/设备访问触发动作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发送告警邮件至 IT 管理员；自动生成服务工单要求检查权限或追加采购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3.1.3 可分配量 X 计算口径</w:t>
      </w:r>
    </w:p>
    <w:p>
      <w:r>
        <w:rPr>
          <w:rFonts w:ascii="Calibri" w:hAnsi="Calibri" w:eastAsia="PingFang SC"/>
        </w:rPr>
        <w:t>X = Client Access 中 software model 对应的有效期 license 实例中，Location、Cost center、Department、Company 与 Client Access 这几个字段值不冲突（值相同、或实例中这几个字段为空）的实例购买 Rights 数量之和。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3.1.4 字段说明（Client Access 规则）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客户端访问规则名称，输入框，必填，唯一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Software model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引用当前系统规格名称，必填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Choice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客户端访问类型，下拉字典，必填（无 None 值），见字典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Count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允许使用的许可证数量，即组织按协议拥有的最大使用权数量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Cost Center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引用现有成本中心，将访问权限与成本中心关联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Department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引用现有部门，指定访问权限所属部门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Company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引用现有公司实体，多公司/分支环境使用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Location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引用当前系统已有位置，访问的物理/逻辑位置标识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3.1.5 字段说明（用户绑定 / 设备绑定 / Devices with installations）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User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引用当前系统已有用户（用户绑定必填）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Device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引用当前系统已有硬件设备（设备绑定/Devices with installations 必填）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Active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Boolean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True/False，当前绑定记录是否生效，必填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Source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固定值"Internal"，表示内部创建管理，默认不可修改，仅展示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User 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用户分类（见字典），用于区分可授权/不可授权用户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3.1.6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User CAL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每用户访问服务器需一个许可证，按用户数计量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Device CAL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每设备访问服务器需一个许可证，按设备数计量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User/Device CAL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既可按用户数也可按设备数计量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Authorized User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被明确授权使用特定软件的用户（常用于 IBM 软件）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Authorized User Value Unit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计量选定用户访问 IBM 软件的数量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Employee User Value Unit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计量组织内所有员工访问 IBM 软件的总数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External User Value Unit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计量组织外用户访问 IBM 软件的总数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User 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None / Licensable / Licensable (Application) / Not Licensable (System)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用户是否可授权许可分类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Source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Internal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内部创建管理，固定值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Active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True / False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绑定记录是否生效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3.1.7 关联页卡展示规则（按 Type）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Type 选择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展示的关联页卡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任意 Type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必展示 Devices with installations（记录实际动态安装信息）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Device CAL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展示 Devices 页卡（原 Device 改名 Devices）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User/Device CAL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展示 Users 与 Devices 页卡（原 User 改名 Users）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其余（User 授权类）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仅展示 Users 页卡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客户端访问合规计算（Compliance of Client Access）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涉及到的表</w:t>
      </w:r>
    </w:p>
    <w:p>
      <w:pPr>
        <w:pStyle w:val="ListBullet"/>
      </w:pPr>
      <w:r>
        <w:rPr>
          <w:rFonts w:ascii="Calibri" w:hAnsi="Calibri" w:eastAsia="PingFang SC"/>
        </w:rPr>
        <w:t>`client_access_calculate_task`（客户端访问计算任务表）</w:t>
      </w:r>
    </w:p>
    <w:p>
      <w:pPr>
        <w:pStyle w:val="ListBullet"/>
      </w:pPr>
      <w:r>
        <w:rPr>
          <w:rFonts w:ascii="Calibri" w:hAnsi="Calibri" w:eastAsia="PingFang SC"/>
        </w:rPr>
        <w:t>`client_access_compliance_result`（客户端访问合规结果表）</w:t>
      </w:r>
    </w:p>
    <w:p>
      <w:pPr>
        <w:pStyle w:val="ListBullet"/>
      </w:pPr>
      <w:r>
        <w:rPr>
          <w:rFonts w:ascii="Calibri" w:hAnsi="Calibri" w:eastAsia="PingFang SC"/>
        </w:rPr>
        <w:t>`client_access` / `client_access_user` / `client_access_device`（实际访问数据）</w:t>
      </w:r>
    </w:p>
    <w:p>
      <w:pPr>
        <w:pStyle w:val="ListBullet"/>
      </w:pPr>
      <w:r>
        <w:rPr>
          <w:rFonts w:ascii="Calibri" w:hAnsi="Calibri" w:eastAsia="PingFang SC"/>
        </w:rPr>
        <w:t>`software_license`（台账授权比对）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触发计算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定时任务 + 前端触发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前端复用已有 Compliance calculate 入口，点击后同时计算安装合规与客户端访问合规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合规比对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实际访问数据与台账比对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比较 Client Access 中实际使用数据（users/devices/devices with installations）与系统台账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待移除识别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识别需移除的两类数据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1. 超过授权范围（超过 Count 或超过实例授权）的用户/设备；2. 僵尸（Active=False）用户/设备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3.2.3 字段说明（client_access_calculate_task 任务表）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TaskID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任务 ID，系统自动生成，唯一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Taskname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任务名称，规则 TaskID + 时间（精确到秒）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Unlicensed devices count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未授权使用设备数量（单条 unlicensed devices=true 加总）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Unlicensed users count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未授权用户数量（单条 unlicensed users=true 加总）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Unlicensed subscriptions count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未授权订阅数量（单条加总）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是否合规，字典值 Compliant/Not Compliant；有一条不合规即整体不合规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Software model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关联台账软件规格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Client access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关联引用 Client access 已有规则名称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固定值 Client access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3.2.4 字段说明（client_access_compliance_result 结果表）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Client access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关联引用 Client access 已有规则名称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Software model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关联台账软件规格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TaskID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引用计算任务表 TaskID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Software product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引用当前系统已有软件产品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Device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引用当前系统已有设备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Active of device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引用设备 Active 状态，显示 True/False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Unlicensed device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True/False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是否被授权使用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User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引用当前系统已有用户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Active of user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引用用户 Active 状态，显示 True/False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Unlicensed user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True/False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是否被授权用户使用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合规结果，字典值 Compliant/Not Compliant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页面功能与交互逻辑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3.3.1 Client Access 规则</w:t>
      </w:r>
    </w:p>
    <w:p>
      <w:pPr>
        <w:pStyle w:val="ListBullet"/>
      </w:pPr>
      <w:r>
        <w:rPr>
          <w:rFonts w:ascii="Calibri" w:hAnsi="Calibri" w:eastAsia="PingFang SC"/>
        </w:rPr>
        <w:t>入口：Settings → Client Access → New。</w:t>
      </w:r>
    </w:p>
    <w:p>
      <w:pPr>
        <w:pStyle w:val="ListBullet"/>
      </w:pPr>
      <w:r>
        <w:rPr>
          <w:rFonts w:ascii="Calibri" w:hAnsi="Calibri" w:eastAsia="PingFang SC"/>
        </w:rPr>
        <w:t>创建详情页填写 Name/Software model/Type/Count/Cost Center/Department/Company/Location。</w:t>
      </w:r>
    </w:p>
    <w:p>
      <w:pPr>
        <w:pStyle w:val="ListBullet"/>
      </w:pPr>
      <w:r>
        <w:rPr>
          <w:rFonts w:ascii="Calibri" w:hAnsi="Calibri" w:eastAsia="PingFang SC"/>
        </w:rPr>
        <w:t>名称唯一性校验；Count 库存校验（≤ X 才可创建，否则中英文提示）。</w:t>
      </w:r>
    </w:p>
    <w:p>
      <w:pPr>
        <w:pStyle w:val="ListBullet"/>
      </w:pPr>
      <w:r>
        <w:rPr>
          <w:rFonts w:ascii="Calibri" w:hAnsi="Calibri" w:eastAsia="PingFang SC"/>
        </w:rPr>
        <w:t>Type 选择后按 3.1.7 动态展示 Users/Devices/Devices with installations 页卡；在对应页卡添加绑定。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3.3.2 客户端访问合规</w:t>
      </w:r>
    </w:p>
    <w:p>
      <w:pPr>
        <w:pStyle w:val="ListBullet"/>
      </w:pPr>
      <w:r>
        <w:rPr>
          <w:rFonts w:ascii="Calibri" w:hAnsi="Calibri" w:eastAsia="PingFang SC"/>
        </w:rPr>
        <w:t>触发：定时任务或前端 Compliance calculate（同时计算安装与客户端访问合规）。</w:t>
      </w:r>
    </w:p>
    <w:p>
      <w:pPr>
        <w:pStyle w:val="ListBullet"/>
      </w:pPr>
      <w:r>
        <w:rPr>
          <w:rFonts w:ascii="Calibri" w:hAnsi="Calibri" w:eastAsia="PingFang SC"/>
        </w:rPr>
        <w:t>结果：任务表汇总 unlicensed devices/users/subscriptions count 与 Status；结果表逐条记录 Active 状态与是否授权。</w:t>
      </w:r>
    </w:p>
    <w:p>
      <w:pPr>
        <w:pStyle w:val="ListBullet"/>
      </w:pPr>
      <w:r>
        <w:rPr>
          <w:rFonts w:ascii="Calibri" w:hAnsi="Calibri" w:eastAsia="PingFang SC"/>
        </w:rPr>
        <w:t>待移除清单包含超授权与僵尸（Active=False）两类，供后续回收补救。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视图展示（近 6 个月趋势、每规则/部门合规看板）本期不做，仅保留数据与列表。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Client Access 规则可创建，Type 字典（7 种 CAL/Value Unit）完整，名称唯一性校验生效。</w:t>
      </w:r>
    </w:p>
    <w:p>
      <w:pPr>
        <w:pStyle w:val="ListBullet"/>
      </w:pPr>
      <w:r>
        <w:rPr>
          <w:rFonts w:ascii="Calibri" w:hAnsi="Calibri" w:eastAsia="PingFang SC"/>
        </w:rPr>
        <w:t>Count 库存校验按 X 口径（有效期实例、组织字段不冲突的 Rights 之和）执行，超额时中英文提示阻断。</w:t>
      </w:r>
    </w:p>
    <w:p>
      <w:pPr>
        <w:pStyle w:val="ListBullet"/>
      </w:pPr>
      <w:r>
        <w:rPr>
          <w:rFonts w:ascii="Calibri" w:hAnsi="Calibri" w:eastAsia="PingFang SC"/>
        </w:rPr>
        <w:t>关联页卡按 Type 动态展示：任意 Type 必含 Devices with installations，Device CAL 含 Devices，User/Device CAL 含 Users+Devices，其余含 Users。</w:t>
      </w:r>
    </w:p>
    <w:p>
      <w:pPr>
        <w:pStyle w:val="ListBullet"/>
      </w:pPr>
      <w:r>
        <w:rPr>
          <w:rFonts w:ascii="Calibri" w:hAnsi="Calibri" w:eastAsia="PingFang SC"/>
        </w:rPr>
        <w:t>用户/设备绑定字段（含 Active/Source/User type）符合定义。</w:t>
      </w:r>
    </w:p>
    <w:p>
      <w:pPr>
        <w:pStyle w:val="ListBullet"/>
      </w:pPr>
      <w:r>
        <w:rPr>
          <w:rFonts w:ascii="Calibri" w:hAnsi="Calibri" w:eastAsia="PingFang SC"/>
        </w:rPr>
        <w:t>客户端访问合规可由定时任务与前端 Compliance calculate 触发，任务表与结果表字段完整，能识别超授权与僵尸（Active=False）两类待移除数据。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