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软件套件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对应功能架构：Asset Model Mgmt / License → Software Suite　｜　对应原型：软件License → 软件规格（Suite Components / Suite Parents）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 PRD《(S)-Software Suite 软件套件》+ ITAM 操作手册 + 系统原型 + ServiceNow SAM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软件License / 软件规格（套件）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`/license/software-model/:id`（软件规格详情-Suite Components / Suite Parents 页卡）、`/license/suite`（套件列表）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《(S)-Software Suite 软件套件》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新建软件套件父/子关系维护（Suite Components / Suite Parents），明确套件推理与合规继承规则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对齐软件规格详情页 Suite 页卡命名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 Suite（软件套件）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发布商将相关应用分组的一组软件（如 Microsoft Office）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Suite parent（父套件）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套件父级规格（如 Office），其授权许可所有子组件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Suite child（子组件）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套件组成部分（如 Word/Excel/PowerPoint）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套件推理（Suite inference）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确定软件是否属于套件，并在授权时推断使用最佳/最有效套件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inference mandatory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复选框，勾选后合规检查使用具体规则进行检查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Domain（数据域）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套件可使用的数据/权限域范围（中心/部门/公司/用户组等）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软件规格（software model）是套件父/子的基础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合规计算与补救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套件合规继承规则影响子组件合规判定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关联本期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许可证类型与SaaS订阅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订阅模式决定套件合规继承走向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软件发布商常将相关应用打包为套件（如 Microsoft Office 含 Word、Excel、PowerPoint、Outlook、Access）。父套件的授权许可了所有子组件，一个软件规格可同时是多个套件的组件。系统需支持维护套件父/子关系，并通过套件推理在授权与合规检查时使用最有效的套件许可，避免为子组件重复采购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套件级授权</w:t>
      </w:r>
      <w:r>
        <w:rPr>
          <w:rFonts w:ascii="Calibri" w:hAnsi="Calibri" w:eastAsia="PingFang SC"/>
        </w:rPr>
        <w:t>：父套件授权覆盖所有子组件，减少重复许可。</w:t>
      </w:r>
    </w:p>
    <w:p>
      <w:pPr>
        <w:pStyle w:val="ListBullet"/>
      </w:pPr>
      <w:r>
        <w:rPr>
          <w:rFonts w:ascii="Calibri" w:hAnsi="Calibri" w:eastAsia="PingFang SC"/>
          <w:b/>
        </w:rPr>
        <w:t>推理优化</w:t>
      </w:r>
      <w:r>
        <w:rPr>
          <w:rFonts w:ascii="Calibri" w:hAnsi="Calibri" w:eastAsia="PingFang SC"/>
        </w:rPr>
        <w:t>：套件推理在授权时选择最佳/最有效套件，降低合规成本。</w:t>
      </w:r>
    </w:p>
    <w:p>
      <w:pPr>
        <w:pStyle w:val="ListBullet"/>
      </w:pPr>
      <w:r>
        <w:rPr>
          <w:rFonts w:ascii="Calibri" w:hAnsi="Calibri" w:eastAsia="PingFang SC"/>
          <w:b/>
        </w:rPr>
        <w:t>合规继承清晰</w:t>
      </w:r>
      <w:r>
        <w:rPr>
          <w:rFonts w:ascii="Calibri" w:hAnsi="Calibri" w:eastAsia="PingFang SC"/>
        </w:rPr>
        <w:t>：按订阅模式明确子组件合规检查遵循父套件还是子组件。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SAM 的 Software suites（cmdb_m2m_suite_model 多对多关系）：以父/子关系维护套件，支持套件推理与合规继承。本方案对齐父/子页卡维护与 inference mandatory 规则。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规格管理员</w:t>
      </w:r>
      <w:r>
        <w:rPr>
          <w:rFonts w:ascii="Calibri" w:hAnsi="Calibri" w:eastAsia="PingFang SC"/>
        </w:rPr>
        <w:t>，我希望为软件规格添加/删除子组件或父套件，以便建立套件关系。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合规负责人</w:t>
      </w:r>
      <w:r>
        <w:rPr>
          <w:rFonts w:ascii="Calibri" w:hAnsi="Calibri" w:eastAsia="PingFang SC"/>
        </w:rPr>
        <w:t>，我希望套件合规按订阅模式正确继承，以便子组件合规判定准确。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套件父/子关系维护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表名 [Table]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描述/用途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software suites [cmdb_m2m_suite_model]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多对多关系表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存储软件套件的父套件及子组件关系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Software Model [cmdb_software_product_model]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存储软件规格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 Suite Component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 software model 详情页 Suite Components 页卡 New 添加子组件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提交后进入 Suite 列表页，Suite child 显示 model 的"displayname+version"；当前 model 默认写入 Suite parent；仅逐条添加（非常用操作，不提供批量）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 Suite Parent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 software model 详情页 Suite Parents 页卡 New 添加父套件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提交后 Suite parent 显示 model 的"displayname+version"；当前 model 默认写入 Suite child；仅逐条添加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inference mandatory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复选框，勾选后合规检查使用具体规则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列表页 inference mandatory 列在勾选时显示"Yes"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Domain 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设置套件可使用的数据/权限域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通过数据字典维护，可为中心/部门/公司/用户组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 Suite Component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Suite 列表页 delete → Yes 删除子组件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删除后列表不再显示该记录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 Suite Parent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Suite 列表页 delete → Yes 删除父套件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删除后列表不再显示该记录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创建/添加权限角色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model 与添加兼容 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角色：model_manager；sam、category_manager、asset 同样具备创建 model 权限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字段说明（software suites 关系）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Suite parent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父套件规格，显示 model 的 displayname + version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Suite child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子组件规格，显示 model 的 displayname + version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inference mandatory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勾选后合规检查使用具体规则；列表勾选显示"Yes"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Domain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Choice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套件可使用的数据/权限域，字典维护（中心/部门/公司/用户组等）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inference mandatory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Yes（勾选）/ 空（未勾选）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勾选后合规检查使用具体规则；列表页显示 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Domain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中心 / 部门 / 公司 / 用户组 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数据/权限域范围，字典维护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套件推理与合规继承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合规继承规则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套件推理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确定软件是否属于套件，并在授权时推断使用最佳/最有效的套件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父套件订阅、子组件非订阅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子组件合规检查遵循父套件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仅子组件订阅、父套件非订阅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子组件合规检查遵循子组件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父套件与子组件均订阅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子组件合规检查遵循父套件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套件授权关系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套件组件使用套件许可一起授权，父套件授权即许可所有套件组件；一个软件规格可作为多个套件的组件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页面功能与交互逻辑</w:t>
      </w:r>
    </w:p>
    <w:p>
      <w:pPr>
        <w:pStyle w:val="ListBullet"/>
      </w:pPr>
      <w:r>
        <w:rPr>
          <w:rFonts w:ascii="Calibri" w:hAnsi="Calibri" w:eastAsia="PingFang SC"/>
          <w:b/>
        </w:rPr>
        <w:t>入口</w:t>
      </w:r>
      <w:r>
        <w:rPr>
          <w:rFonts w:ascii="Calibri" w:hAnsi="Calibri" w:eastAsia="PingFang SC"/>
        </w:rPr>
        <w:t>：software models 列表页点击某记录名称链接进入 model 详情页。</w:t>
      </w:r>
    </w:p>
    <w:p>
      <w:pPr>
        <w:pStyle w:val="ListBullet"/>
      </w:pPr>
      <w:r>
        <w:rPr>
          <w:rFonts w:ascii="Calibri" w:hAnsi="Calibri" w:eastAsia="PingFang SC"/>
          <w:b/>
        </w:rPr>
        <w:t>Suite Components 页卡</w:t>
      </w:r>
      <w:r>
        <w:rPr>
          <w:rFonts w:ascii="Calibri" w:hAnsi="Calibri" w:eastAsia="PingFang SC"/>
        </w:rPr>
        <w:t>：New 添加子组件（Suite child 下拉显示所有软件 Model 的 displayname/version），逐条添加；列表展示 Suite child、inference mandatory；delete → Yes 删除。</w:t>
      </w:r>
    </w:p>
    <w:p>
      <w:pPr>
        <w:pStyle w:val="ListBullet"/>
      </w:pPr>
      <w:r>
        <w:rPr>
          <w:rFonts w:ascii="Calibri" w:hAnsi="Calibri" w:eastAsia="PingFang SC"/>
          <w:b/>
        </w:rPr>
        <w:t>Suite Parents 页卡</w:t>
      </w:r>
      <w:r>
        <w:rPr>
          <w:rFonts w:ascii="Calibri" w:hAnsi="Calibri" w:eastAsia="PingFang SC"/>
        </w:rPr>
        <w:t>：New 添加父套件（Suite parent 下拉显示所有软件 Model 的 displayname/version），逐条添加；列表展示 Suite parent、inference mandatory；delete → Yes 删除。</w:t>
      </w:r>
    </w:p>
    <w:p>
      <w:pPr>
        <w:pStyle w:val="ListBullet"/>
      </w:pPr>
      <w:r>
        <w:rPr>
          <w:rFonts w:ascii="Calibri" w:hAnsi="Calibri" w:eastAsia="PingFang SC"/>
          <w:b/>
        </w:rPr>
        <w:t>Suite 列表页</w:t>
      </w:r>
      <w:r>
        <w:rPr>
          <w:rFonts w:ascii="Calibri" w:hAnsi="Calibri" w:eastAsia="PingFang SC"/>
        </w:rPr>
        <w:t>：inference mandatory 勾选显示"Yes"；支持翻译（参考翻译规范）。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软件规格详情页可在 Suite Components / Suite Parents 页卡逐条新增/删除父子关系，Suite child/parent 显示 displayname+version。</w:t>
      </w:r>
    </w:p>
    <w:p>
      <w:pPr>
        <w:pStyle w:val="ListBullet"/>
      </w:pPr>
      <w:r>
        <w:rPr>
          <w:rFonts w:ascii="Calibri" w:hAnsi="Calibri" w:eastAsia="PingFang SC"/>
        </w:rPr>
        <w:t>inference mandatory 勾选后列表显示"Yes"，合规检查使用具体规则；Domain 可通过字典维护。</w:t>
      </w:r>
    </w:p>
    <w:p>
      <w:pPr>
        <w:pStyle w:val="ListBullet"/>
      </w:pPr>
      <w:r>
        <w:rPr>
          <w:rFonts w:ascii="Calibri" w:hAnsi="Calibri" w:eastAsia="PingFang SC"/>
        </w:rPr>
        <w:t>套件合规继承按订阅模式（父订阅/子非订阅、仅子订阅、均订阅）三种规则正确判定子组件合规遵循对象。</w:t>
      </w:r>
    </w:p>
    <w:p>
      <w:pPr>
        <w:pStyle w:val="ListBullet"/>
      </w:pPr>
      <w:r>
        <w:rPr>
          <w:rFonts w:ascii="Calibri" w:hAnsi="Calibri" w:eastAsia="PingFang SC"/>
        </w:rPr>
        <w:t>数据存储于 cmdb_m2m_suite_model 多对多关系表，字段符合本文定义。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