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门户与应用中心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对应功能架构：关联产品 → 门户 / 应用中心（Portal）　｜　对应原型：门户 → 应用中心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字段来源：`prototype/src/pages/portal/AppCenter.tsx`（无独立 seed，为静态卡片配置），缺失处以「原型为准」备注。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门户（Portal）/ 应用中心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P2（ITAM 关联产品入口）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`/portal/apps`（应用中心）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《关联产品.md》第 5 章；截图 page_055/101/166/202/274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依据截图新建门户/应用中心页面需求，明确常用应用卡片与跳转映射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`AppCenter.tsx` 逐卡片落表；标注跳转目标映射的简化说明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门户（Portal）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产品级落地页，聚合各产品入口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应用中心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门户中的「常用应用」卡片网格，点击跳转到各产品首页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应用卡片（AppEntry）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单个应用入口，含标题/描述/图标/跳转目标/主题色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跳转目标（to）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卡片点击后进入的原型内路由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配置中心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「配置中心」卡片跳转配置台账 `/cmdb/ci`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「用户中心」卡片跳转用户管理 `/user-center/users`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「资产管理」卡片跳转资产台账 `/asset/ledger`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资产洞察看板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「报告报表」卡片跳转资产洞察 `/insight/dashboard`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自服务门户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「服务管理中心」卡片跳转自服务门户 `/self-service/portal`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截图跨多产品家族部署，门户作为产品级落地页，以「常用应用」卡片聚合各产品入口，帮助用户在配置中心、用户中心、资产管理、报告报表、服务管理中心之间快速切换。本模块在同一原型模板中补齐门户/应用中心页面，作为 ITAM 及其关联产品的统一入口。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统一入口</w:t>
      </w:r>
      <w:r>
        <w:rPr>
          <w:rFonts w:ascii="Calibri" w:hAnsi="Calibri" w:eastAsia="PingFang SC"/>
        </w:rPr>
        <w:t>：一个落地页聚合多产品入口，降低用户在多产品间导航的成本。</w:t>
      </w:r>
    </w:p>
    <w:p>
      <w:pPr>
        <w:pStyle w:val="ListBullet"/>
      </w:pPr>
      <w:r>
        <w:rPr>
          <w:rFonts w:ascii="Calibri" w:hAnsi="Calibri" w:eastAsia="PingFang SC"/>
          <w:b/>
        </w:rPr>
        <w:t>产品可见性</w:t>
      </w:r>
      <w:r>
        <w:rPr>
          <w:rFonts w:ascii="Calibri" w:hAnsi="Calibri" w:eastAsia="PingFang SC"/>
        </w:rPr>
        <w:t>：以卡片直观呈现各产品及其定位描述，提升产品发现效率。</w:t>
      </w:r>
    </w:p>
    <w:p>
      <w:pPr>
        <w:pStyle w:val="ListBullet"/>
      </w:pPr>
      <w:r>
        <w:rPr>
          <w:rFonts w:ascii="Calibri" w:hAnsi="Calibri" w:eastAsia="PingFang SC"/>
          <w:b/>
        </w:rPr>
        <w:t>一致体验</w:t>
      </w:r>
      <w:r>
        <w:rPr>
          <w:rFonts w:ascii="Calibri" w:hAnsi="Calibri" w:eastAsia="PingFang SC"/>
        </w:rPr>
        <w:t>：卡片图标、主题色与描述统一风格，形成一致的产品家族视觉。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参考企业级平台常见的「应用门户 / App Launcher」（如 ServiceNow 首页应用磁贴、Salesforce App Launcher）：以磁贴/卡片聚合子应用入口并跳转。本原型为静态卡片网格，卡片配置内置于代码，未做后台可配置化（见第 6 节）。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任一角色用户</w:t>
      </w:r>
      <w:r>
        <w:rPr>
          <w:rFonts w:ascii="Calibri" w:hAnsi="Calibri" w:eastAsia="PingFang SC"/>
        </w:rPr>
        <w:t>，我希望在门户看到所有可用产品卡片，以便一键进入目标产品。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，我希望从门户直接进入资产台账，以便快速开展日常工作。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应用中心（常用应用卡片）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无独立数据表；卡片为页面内静态配置数组（`AppEntry[]`，源自 `AppCenter.tsx`）。跳转目标引用 `ROUTES` 常量。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常用应用网格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以卡片网格展示常用应用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外层「常用应用」Card，内部 Row/Col 栅格，每卡 `span=8`（一行三个）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卡片跳转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点击卡片进入对应产品首页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卡片包裹 `Link`，跳转到卡片配置的 `to`（原型内路由）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卡片含图标/标题/描述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左侧图标（32px，主题色），右侧标题（加粗）+ 描述（灰色小字），hover 高亮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p>
      <w:r>
        <w:rPr>
          <w:rFonts w:ascii="Calibri" w:hAnsi="Calibri" w:eastAsia="PingFang SC"/>
        </w:rPr>
        <w:t>字段来源：`AppCenter.tsx` 的 `AppEntry` 类型（静态配置）。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title（标题）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应用名称，如「配置中心」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desc（描述）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应用一句话定位，如「CMDB 配置台账与模型」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icon（图标）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ReactNode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Ant Design 图标组件（以原型为准，非持久化字段）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to（跳转目标）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原型内路由，如 `/cmdb/ci`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color（主题色）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图标颜色（HEX），如 `#1677ff`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字段字典值说明（应用卡片清单）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卡片标题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跳转目标（to）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主题色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配置中心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CMDB 配置台账与模型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`/cmdb/ci`（配置台账）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`#1677ff`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组织机构 / 用户 / 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`/user-center/users`（用户管理）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`#52c41a`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资产台账与全生命周期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`/asset/ledger`（资产台账）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`#fa8c16`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报告报表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资产洞察与统计分析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`/insight/dashboard`（资产洞察看板）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`#722ed1`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服务管理中心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自服务门户与工单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`/self-service/portal`（自服务门户）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`#13c2c2`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应用中心页（`/portal/apps`）</w:t>
      </w:r>
    </w:p>
    <w:p>
      <w:pPr>
        <w:pStyle w:val="ListBullet"/>
      </w:pPr>
      <w:r>
        <w:rPr>
          <w:rFonts w:ascii="Calibri" w:hAnsi="Calibri" w:eastAsia="PingFang SC"/>
          <w:b/>
        </w:rPr>
        <w:t>标题</w:t>
      </w:r>
      <w:r>
        <w:rPr>
          <w:rFonts w:ascii="Calibri" w:hAnsi="Calibri" w:eastAsia="PingFang SC"/>
        </w:rPr>
        <w:t>：页面标题「应用中心」；卡片区外层为「常用应用」Card。</w:t>
      </w:r>
    </w:p>
    <w:p>
      <w:pPr>
        <w:pStyle w:val="ListBullet"/>
      </w:pPr>
      <w:r>
        <w:rPr>
          <w:rFonts w:ascii="Calibri" w:hAnsi="Calibri" w:eastAsia="PingFang SC"/>
          <w:b/>
        </w:rPr>
        <w:t>布局</w:t>
      </w:r>
      <w:r>
        <w:rPr>
          <w:rFonts w:ascii="Calibri" w:hAnsi="Calibri" w:eastAsia="PingFang SC"/>
        </w:rPr>
        <w:t>：Row/Col 栅格，每卡片 `span=8`（一行三个，自动换行）。</w:t>
      </w:r>
    </w:p>
    <w:p>
      <w:pPr>
        <w:pStyle w:val="ListBullet"/>
      </w:pPr>
      <w:r>
        <w:rPr>
          <w:rFonts w:ascii="Calibri" w:hAnsi="Calibri" w:eastAsia="PingFang SC"/>
          <w:b/>
        </w:rPr>
        <w:t>卡片交互</w:t>
      </w:r>
      <w:r>
        <w:rPr>
          <w:rFonts w:ascii="Calibri" w:hAnsi="Calibri" w:eastAsia="PingFang SC"/>
        </w:rPr>
        <w:t>：`hoverable`，点击整卡通过 `Link` 跳转到 `to`；图标 32px 主题色，右侧标题加粗、描述灰色小字。</w:t>
      </w:r>
    </w:p>
    <w:p>
      <w:pPr>
        <w:pStyle w:val="ListBullet"/>
      </w:pPr>
      <w:r>
        <w:rPr>
          <w:rFonts w:ascii="Calibri" w:hAnsi="Calibri" w:eastAsia="PingFang SC"/>
          <w:b/>
        </w:rPr>
        <w:t>跳转目标映射</w:t>
      </w:r>
      <w:r>
        <w:rPr>
          <w:rFonts w:ascii="Calibri" w:hAnsi="Calibri" w:eastAsia="PingFang SC"/>
        </w:rPr>
        <w:t>：报告报表 → 资产洞察看板；服务管理中心 → 自服务门户（均为本原型内最贴近的已实现页面）。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应用中心展示 5 张常用应用卡片，标题/描述/图标/主题色符合本文清单。</w:t>
      </w:r>
    </w:p>
    <w:p>
      <w:pPr>
        <w:pStyle w:val="ListBullet"/>
      </w:pPr>
      <w:r>
        <w:rPr>
          <w:rFonts w:ascii="Calibri" w:hAnsi="Calibri" w:eastAsia="PingFang SC"/>
        </w:rPr>
        <w:t>每张卡片可点击跳转到对应原型路由；hover 有高亮反馈。</w:t>
      </w:r>
    </w:p>
    <w:p>
      <w:pPr>
        <w:pStyle w:val="ListBullet"/>
      </w:pPr>
      <w:r>
        <w:rPr>
          <w:rFonts w:ascii="Calibri" w:hAnsi="Calibri" w:eastAsia="PingFang SC"/>
        </w:rPr>
        <w:t>布局为一行三个卡片，自动换行；页面标题与「常用应用」分组正确。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5. 数据来源说明</w:t>
      </w:r>
    </w:p>
    <w:p>
      <w:pPr>
        <w:pStyle w:val="ListBullet"/>
      </w:pPr>
      <w:r>
        <w:rPr>
          <w:rFonts w:ascii="Calibri" w:hAnsi="Calibri" w:eastAsia="PingFang SC"/>
        </w:rPr>
        <w:t>权威依据：`去重后图片` 截图（门户 page_055/101/166/202/274）与 `AppCenter.tsx`。</w:t>
      </w:r>
    </w:p>
    <w:p>
      <w:pPr>
        <w:pStyle w:val="ListBullet"/>
      </w:pPr>
      <w:r>
        <w:rPr>
          <w:rFonts w:ascii="Calibri" w:hAnsi="Calibri" w:eastAsia="PingFang SC"/>
        </w:rPr>
        <w:t>卡片配置内置于页面代码，非持久化数据表。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6. 简化说明（原型范围）</w:t>
      </w:r>
    </w:p>
    <w:p>
      <w:pPr>
        <w:pStyle w:val="ListBullet"/>
      </w:pPr>
      <w:r>
        <w:rPr>
          <w:rFonts w:ascii="Calibri" w:hAnsi="Calibri" w:eastAsia="PingFang SC"/>
          <w:b/>
        </w:rPr>
        <w:t>静态卡片</w:t>
      </w:r>
      <w:r>
        <w:rPr>
          <w:rFonts w:ascii="Calibri" w:hAnsi="Calibri" w:eastAsia="PingFang SC"/>
        </w:rPr>
        <w:t>：卡片清单硬编码于页面，未做后台可配置（增删改卡片/排序/权限过滤）。</w:t>
      </w:r>
    </w:p>
    <w:p>
      <w:pPr>
        <w:pStyle w:val="ListBullet"/>
      </w:pPr>
      <w:r>
        <w:rPr>
          <w:rFonts w:ascii="Calibri" w:hAnsi="Calibri" w:eastAsia="PingFang SC"/>
          <w:b/>
        </w:rPr>
        <w:t>跳转目标映射</w:t>
      </w:r>
      <w:r>
        <w:rPr>
          <w:rFonts w:ascii="Calibri" w:hAnsi="Calibri" w:eastAsia="PingFang SC"/>
        </w:rPr>
        <w:t>：报告报表 → 资产洞察看板；服务管理中心 → 自服务门户（本原型内最贴近的已实现页面）。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