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系统架构与信息架构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对应功能架构：00-总览 / 功能架构 + 信息架构（菜单组合）+ 技术架构　｜　对应原型：全局左侧导航与门户/应用中心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权威依据：源文档《00.ITAM 架构设计》《菜单组合调整需求》 + 最新系统截图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00-总览（系统架构与信息架构）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全局左侧导航 `navConfig`、门户/应用中心 `/portal/apps`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《00.ITAM 架构设计》《菜单组合调整需求》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建立功能架构 L1/L2-L3、Roadmap、技术架构（SN vs CW）框架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菜单组合调整：按角色划分 6 大中心，优化功能定位路径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以系统原型左侧导航为准落地一级/二级信息架构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FA（Functional Architecture）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功能架构，分 L1/L2/L3 层级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TA（Technical Architecture）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技术架构（平台层）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SN / CW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ServiceNow / 云智慧（Cloudwise），技术能力对标与映射对象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信息架构（IA）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菜单与页面的组织结构（一级/二级/N 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按用户角色聚合功能的顶层分组（本需求划分为 6 大中心）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门户/应用中心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多产品（ITAM/CMDB/用户中心等）的统一入口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全模块 PRD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各业务模块 PRD 归属本架构下的功能层级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进行中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门户/应用中心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多产品统一入口与常用应用配置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用户中心/权限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角色驱动的菜单可见性与授权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ITAM 系统经过多次迭代，功能持续扩充。源文档《00.ITAM 架构设计》从功能架构（FA L1/L2-L3）、2025 产品发布计划、Roadmap（L1）及技术架构（平台层，SN vs CW 能力对标与映射）四个维度定义系统蓝图。同时，随着功能增多出现「功能分散、操作不连贯」问题：功能未按角色区分、分散在不同位置，用户难以快速定位；相关联操作分散在不同菜单，增加学习成本与操作路径。《菜单组合调整需求》据此按角色重组菜单为 6 大中心。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蓝图统一</w:t>
      </w:r>
      <w:r>
        <w:rPr>
          <w:rFonts w:ascii="Calibri" w:hAnsi="Calibri" w:eastAsia="PingFang SC"/>
        </w:rPr>
        <w:t>：以 FA/TA 统一系统功能与技术边界，指导各模块落地。</w:t>
      </w:r>
    </w:p>
    <w:p>
      <w:pPr>
        <w:pStyle w:val="ListBullet"/>
      </w:pPr>
      <w:r>
        <w:rPr>
          <w:rFonts w:ascii="Calibri" w:hAnsi="Calibri" w:eastAsia="PingFang SC"/>
          <w:b/>
        </w:rPr>
        <w:t>角色导向</w:t>
      </w:r>
      <w:r>
        <w:rPr>
          <w:rFonts w:ascii="Calibri" w:hAnsi="Calibri" w:eastAsia="PingFang SC"/>
        </w:rPr>
        <w:t>：按 6 大中心组织菜单，不同角色快速找到对应功能。</w:t>
      </w:r>
    </w:p>
    <w:p>
      <w:pPr>
        <w:pStyle w:val="ListBullet"/>
      </w:pPr>
      <w:r>
        <w:rPr>
          <w:rFonts w:ascii="Calibri" w:hAnsi="Calibri" w:eastAsia="PingFang SC"/>
          <w:b/>
        </w:rPr>
        <w:t>操作连贯</w:t>
      </w:r>
      <w:r>
        <w:rPr>
          <w:rFonts w:ascii="Calibri" w:hAnsi="Calibri" w:eastAsia="PingFang SC"/>
        </w:rPr>
        <w:t>：将关联操作聚合，缩短操作路径、降低学习成本。</w:t>
      </w:r>
    </w:p>
    <w:p>
      <w:pPr>
        <w:pStyle w:val="ListBullet"/>
      </w:pPr>
      <w:r>
        <w:rPr>
          <w:rFonts w:ascii="Calibri" w:hAnsi="Calibri" w:eastAsia="PingFang SC"/>
          <w:b/>
        </w:rPr>
        <w:t>能力对标</w:t>
      </w:r>
      <w:r>
        <w:rPr>
          <w:rFonts w:ascii="Calibri" w:hAnsi="Calibri" w:eastAsia="PingFang SC"/>
        </w:rPr>
        <w:t>：以 SN vs CW 映射明确平台技术特性差距与演进方向。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对标 ServiceNow：以工作空间/角色驱动组织功能入口，平台层提供统一的流程、数据与权限能力。本需求以 SN 能力为映射基准（SN Vs. CW, and Mapping），并结合角色化中心重组信息架构。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，我希望按角色进入对应中心，以便快速定位日常功能。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普通用户</w:t>
      </w:r>
      <w:r>
        <w:rPr>
          <w:rFonts w:ascii="Calibri" w:hAnsi="Calibri" w:eastAsia="PingFang SC"/>
        </w:rPr>
        <w:t>，我希望在自服务中心完成申请、查询、盘点配合，以便无需理解后台概念。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架构/产品</w:t>
      </w:r>
      <w:r>
        <w:rPr>
          <w:rFonts w:ascii="Calibri" w:hAnsi="Calibri" w:eastAsia="PingFang SC"/>
        </w:rPr>
        <w:t>，我希望有清晰的 FA/TA 蓝图，以便规划 Roadmap 与技术演进。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功能架构（Functional Architecture）</w:t>
      </w:r>
    </w:p>
    <w:p>
      <w:r>
        <w:rPr>
          <w:rFonts w:ascii="Calibri" w:hAnsi="Calibri" w:eastAsia="PingFang SC"/>
        </w:rPr>
        <w:t>源文档以分层方式定义功能架构：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FA - L1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一级功能域（资产管理、资产维护、资产盘点、软件对账、合同管理、库存管理、成本管理、软件 License、预警管理、资源管理、组织管理、资产洞察、自服务、设置、回收站等）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FA - L2 / L3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各一级功能域下的二/三级功能（如资产管理下的资产台账、资产规格、规格分类、映射管理；成本管理下的固定资产、费用条目、成本中心、折旧方案、费率卡、软件 License 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Functional Features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功能特性清单（源文档以图示表达，本文以信息架构表落地）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Product Launch Schedule for 2025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2025 年产品发布计划（分阶段发布节奏）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Roadmap 2025（L1）</w:t>
      </w:r>
    </w:p>
    <w:p>
      <w:r>
        <w:rPr>
          <w:rFonts w:ascii="Calibri" w:hAnsi="Calibri" w:eastAsia="PingFang SC"/>
        </w:rPr>
        <w:t>源文档以 L1 维度给出 2025 年路线图，明确各一级功能域的建设与发布优先级（按阶段推进各功能域从基础能力到高级能力的落地）。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技术架构（Technical Architecture · Platform）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Platform Technical Features - SN Vs. CW, and Mapping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以 ServiceNow 平台技术特性为基准，对比云智慧（CW）平台能力并建立映射关系，识别平台层（流程引擎、数据模型/CMDB、权限、集成、报表等）的能力差距与演进方向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说明：源文档该部分以架构图与「暂不支持下载」的图示内容表达，本文以文字口径概述；技术选型与平台能力细节以架构图为准。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信息架构（菜单组合调整：按角色划分 6 大中心）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问题与目标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功能分散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未按角色区分功能，分散在不同位置，用户难以快速定位所需功能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操作不连贯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相关联操作分散在不同菜单下，增加学习成本与操作路径</w:t>
            </w:r>
          </w:p>
        </w:tc>
      </w:tr>
    </w:tbl>
    <w:p/>
    <w:p>
      <w:r>
        <w:rPr>
          <w:rFonts w:ascii="Calibri" w:hAnsi="Calibri" w:eastAsia="PingFang SC"/>
        </w:rPr>
        <w:t>目标：把菜单按使用系统的用户角色划分为 6 大中心，方便不同角色快速找到对应系统功能（具体场景以 Xmind/系统首页原型为准）。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6 大中心（角色导向）划分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说明：源文档以 Xmind/首页原型表达「6 大中心」的角色化组织。结合系统原型，落地为以下角色导向的中心分组（各中心聚合下述一级模块）。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中心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面向角色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聚合的一级模块（示例）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普通员工/使用人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自服务门户、我的工单、我的资产、我的盘点、我的维护、我的合同、库存不足预警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资产运营中心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资产管理员/IT 运维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资产管理（台账/规格/规格分类/映射）、资产维护、资产盘点、库存管理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合规与许可中心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软件合规专员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软件对账、软件 License、合同管理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成本与洞察中心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财务/管理层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成本管理、资产洞察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基础数据中心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系统管理员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组织管理、资源管理、预警管理、设置、回收站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平台门户中心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全部角色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门户/应用中心（多产品入口）、配置中心（CMDB）、用户中心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系统信息架构落地表（以原型左侧导航为准）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一级/二级菜单清单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一级模块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二级菜单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原型路由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`/self-service/portal`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我的工单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`/self-service/tickets`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`/self-service/my-assets`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我的盘点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`/self-service/my-audits`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我的维护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`/self-service/my-maintenance`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`/self-service/my-contracts`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库存不足预警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`/self-service/stock-request`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资产台账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`/asset/ledger`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`/asset/model`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资产规格分类管理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`/asset/model-category`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映射管理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`/asset/ci-mapping`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资产维护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维护工单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`/maintenance/order`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资产盘点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盘点模板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`/audit/template`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资产盘点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盘点计划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`/audit/plan`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资产盘点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`/audit/task`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软件对账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对账记录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`/reconciliation/record`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`/contract/list`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`/contract/spec`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我的审批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`/contract/approval`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`/contract/renewal`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调整记录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`/contract/change`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库房类型管理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`/inventory/stockroom-type`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库房管理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`/inventory/stockroom`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货架管理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`/inventory/shelf`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服务位置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`/inventory/service-location`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库存规则配置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`/inventory/stock-rule`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预警管理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资产到期预警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`/warning/expiry`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预警管理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消息通知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`/warning/notification`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资源管理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位置管理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`/resource/location`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组织管理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公司管理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`/org/company`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组织管理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供应商目录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`/org/vendor`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组织管理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产品目录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`/org/product`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固定资产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`/cost/fixed-asset`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费用条目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`/cost/expense-line`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`/cost/cost-center`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折旧方案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`/cost/depreciation`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人工费率卡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`/cost/labor-rate`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任务费率卡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`/cost/task-rate`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`/cost/software-license`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`/license/config`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许可证类型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`/license/type`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`/license/reclaim-rule`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软件资产发现映射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`/license/discovery-mapping`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软件安装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`/license/installation`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软件使用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`/license/usage`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资产洞察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洞察看板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`/insight/dashboard`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Class管理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`/asset/settings/class`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资产标识配置规则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`/asset/settings/identifier-rule`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二维码标签设置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`/asset/settings/qr-label`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`/asset/settings/permission`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已删除资产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`/recycle-bin/assets`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配置中心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配置台账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`/cmdb/ci`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配置中心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`/cmdb/ci-type`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组织机构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`/user-center/org`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`/user-center/users`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角色管理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`/user-center/roles`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应用中心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`/portal/apps`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关联产品说明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关联产品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定位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配置中心（CMDB）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资产与配置项（CI）双向关联的数据底座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组织机构、用户、角色与权限，驱动菜单可见性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门户/应用中心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多产品统一入口（配置中心/用户中心/报告报表/服务管理中心/资产管理等），支持常用应用配置与添加分组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页面层级定义</w:t>
      </w:r>
    </w:p>
    <w:p>
      <w:r>
        <w:rPr>
          <w:rFonts w:ascii="Calibri" w:hAnsi="Calibri" w:eastAsia="PingFang SC"/>
        </w:rPr>
        <w:t>层级由「进入路径的点击深度」决定：一级 = 点左侧导航默认页；二级 = 点一级页面蓝链进入；三级 = 点二级页面链接进入；以此类推，每经一次页面内可点击链接跳转，层级 +1。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日志审计</w:t>
      </w:r>
    </w:p>
    <w:p>
      <w:r>
        <w:rPr>
          <w:rFonts w:ascii="Calibri" w:hAnsi="Calibri" w:eastAsia="PingFang SC"/>
        </w:rPr>
        <w:t>菜单/权限相关配置的变更按统一日志规范记录（模块归属：用户中心/设置）。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其他说明</w:t>
      </w:r>
    </w:p>
    <w:p>
      <w:pPr>
        <w:pStyle w:val="ListBullet"/>
      </w:pPr>
      <w:r>
        <w:rPr>
          <w:rFonts w:ascii="Calibri" w:hAnsi="Calibri" w:eastAsia="PingFang SC"/>
        </w:rPr>
        <w:t>截图存在多种品牌皮肤（轻帆云/云智慧/智能业务运维/IT Asset Management），判定为同一产品家族的不同部署/皮肤，布局一致，统一按中性「IT Asset Management」皮肤复刻。</w:t>
      </w:r>
    </w:p>
    <w:p>
      <w:pPr>
        <w:pStyle w:val="ListBullet"/>
      </w:pPr>
      <w:r>
        <w:rPr>
          <w:rFonts w:ascii="Calibri" w:hAnsi="Calibri" w:eastAsia="PingFang SC"/>
        </w:rPr>
        <w:t>需要考虑移动端适配问题。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功能架构以 FA L1/L2-L3 与 Roadmap 2025 覆盖全部一级功能域，各模块 PRD 可归位。</w:t>
      </w:r>
    </w:p>
    <w:p>
      <w:pPr>
        <w:pStyle w:val="ListBullet"/>
      </w:pPr>
      <w:r>
        <w:rPr>
          <w:rFonts w:ascii="Calibri" w:hAnsi="Calibri" w:eastAsia="PingFang SC"/>
        </w:rPr>
        <w:t>技术架构以 SN vs CW 映射口径明确平台能力对标与演进方向。</w:t>
      </w:r>
    </w:p>
    <w:p>
      <w:pPr>
        <w:pStyle w:val="ListBullet"/>
      </w:pPr>
      <w:r>
        <w:rPr>
          <w:rFonts w:ascii="Calibri" w:hAnsi="Calibri" w:eastAsia="PingFang SC"/>
        </w:rPr>
        <w:t>信息架构按角色划分 6 大中心，且落地的一级/二级菜单与原型左侧导航一致。</w:t>
      </w:r>
    </w:p>
    <w:p>
      <w:pPr>
        <w:pStyle w:val="ListBullet"/>
      </w:pPr>
      <w:r>
        <w:rPr>
          <w:rFonts w:ascii="Calibri" w:hAnsi="Calibri" w:eastAsia="PingFang SC"/>
        </w:rPr>
        <w:t>门户/应用中心作为多产品统一入口，配置中心与用户中心作为关联产品接入。</w:t>
      </w:r>
    </w:p>
    <w:p>
      <w:pPr>
        <w:pStyle w:val="ListBullet"/>
      </w:pPr>
      <w:r>
        <w:rPr>
          <w:rFonts w:ascii="Calibri" w:hAnsi="Calibri" w:eastAsia="PingFang SC"/>
        </w:rPr>
        <w:t>页面层级定义可用于后续布局描述与交互跳转的层级判定。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