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 w:eastAsia="Times New Roman"/>
          <w:b/>
          <w:i w:val="0"/>
          <w:color w:val="1A1A2E"/>
          <w:sz w:val="28"/>
        </w:rPr>
        <w:t>4 БЕЗОПАСНОСТЬ ЖИЗНЕДЕЯТЕЛЬНОСТИ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A1A2E"/>
          <w:sz w:val="28"/>
        </w:rPr>
        <w:t>4.1 Мероприятия по охране труда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К работам по разработке и сопровождению прикладных решений на платформе «1С:Предприятие» допускаются: лица не моложе 18 лет, прошедшие обязательные предварительные и периодические медицинские освидетельствования на предмет пригодности для работы с персональным компьютером; лица, прошедшие вводный инструктаж по охране труда; лица, прошедшие обучение безопасным приемам и методам труда по программе, утвержденной руководителем предприятия, и проверку знаний, в том числе по электробезопасности; лица с присвоением 1-й квалификационной группы по электробезопасности; лица, прошедшие инструктаж по охране труда на конкретном рабочем месте.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Работа разработчика 1С относится к категории работ, связанных с вредными условиями труда (группа А — работа с видеодисплейным терминалом). В процессе труда на разработчика оказывают действие следующие неблагоприятные факторы, которые можно разделить на три группы: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/>
          <w:sz w:val="28"/>
        </w:rPr>
      </w: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гигиенические: повышенный уровень электромагнитных излучений от монитора и системного блока, повышенный уровень статического электричества, недостаточная освещенность рабочей зоны;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/>
          <w:sz w:val="28"/>
        </w:rPr>
      </w: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эргономические: неудобная рабочая поза, длительное статическое напряжение мышц спины и шеи, повторяющиеся движения рук при работе с клавиатурой и мышью;</w:t>
      </w:r>
    </w:p>
    <w:p>
      <w:pPr>
        <w:pStyle w:val="ListParagraph"/>
        <w:spacing w:line="360" w:lineRule="auto" w:after="0" w:before="0"/>
        <w:ind w:left="709" w:hanging="340"/>
        <w:jc w:val="both"/>
      </w:pPr>
      <w:r>
        <w:rPr>
          <w:rFonts w:ascii="Times New Roman" w:hAnsi="Times New Roman"/>
          <w:sz w:val="28"/>
        </w:rPr>
      </w: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психофизиологические: интеллектуальное и эмоциональное напряжение, монотонность труда, стресс при отладке кода и сроках сдачи задач.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В соответствии с СанПиН 1.2.3685-21 «Гигиенические нормативы и требования к обеспечению безопасности и (или) безвредности для человека факторов среды обитания» и типовой инструкцией по охране труда для пользователей ПК, регламентированные перерывы при работе с ВДТ и ПЭВМ устанавливаются в зависимости от категории трудовой деятельности и продолжительности рабочей смены. Для разработчиков программного обеспечения (категория Iб — работа с высоким интеллектуальным напряжением и длительной концентрацией внимания) при 8-часовой рабочей смене суммарное время регламентированных перерывов составляет 60 минут: по 15 минут через каждый час работы.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Таблица 4.1 — Время регламентированных перерывов при работе с ВДТ и ПЭВМ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Категория трудовой деятельности</w:t>
            </w:r>
          </w:p>
        </w:tc>
        <w:tc>
          <w:tcPr>
            <w:tcW w:type="dxa" w:w="2339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Продолжительность смены, ч</w:t>
            </w:r>
          </w:p>
        </w:tc>
        <w:tc>
          <w:tcPr>
            <w:tcW w:type="dxa" w:w="2339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Суммарное время перерывов, мин</w:t>
            </w:r>
          </w:p>
        </w:tc>
        <w:tc>
          <w:tcPr>
            <w:tcW w:type="dxa" w:w="2339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Распределение перерывов</w:t>
            </w:r>
          </w:p>
        </w:tc>
      </w:tr>
      <w:tr>
        <w:tc>
          <w:tcPr>
            <w:tcW w:type="dxa" w:w="2339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Iб (высокое интеллектуальное напряжение)</w:t>
            </w:r>
          </w:p>
        </w:tc>
        <w:tc>
          <w:tcPr>
            <w:tcW w:type="dxa" w:w="2339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8</w:t>
            </w:r>
          </w:p>
        </w:tc>
        <w:tc>
          <w:tcPr>
            <w:tcW w:type="dxa" w:w="2339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60</w:t>
            </w:r>
          </w:p>
        </w:tc>
        <w:tc>
          <w:tcPr>
            <w:tcW w:type="dxa" w:w="2339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по 15 мин через каждый ч</w:t>
            </w:r>
          </w:p>
        </w:tc>
      </w:tr>
    </w:tbl>
    <w:p>
      <w:pPr>
        <w:spacing w:after="120"/>
      </w:pP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В ООО «ЛюксонДекор» уделяется значительное внимание режиму труда и выполняются все перечисленные требования.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A1A2E"/>
          <w:sz w:val="28"/>
        </w:rPr>
        <w:t>4.2 Общие санитарно-гигиенические требования к рабочей зоне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Помещение, где расположено рабочее место разработчика 1С, располагается на 2-м этаже четырехэтажного офисного здания ООО «ЛюксонДекор». Площадь помещения составляет 30 м² (длина — 6 м, ширина — 5 м). Высота потолка — 3 м. В данном помещении оборудовано 5 рабочих мест, оснащенных ПК. Соответственно площадь, приходящаяся на 1 рабочее место, составляет 6 м² (при нормативе не менее 6 м² по СанПиН 1.2.3685-21). Объем на 1 человека составляет 18 м³ (при нормативе 20 м³ — отклонение 10%, компенсируется эффективной приточно-вытяжной вентиляцией). Средняя температура воздуха в помещении составляет около 22 °С (при норме 22-24 °С в холодный период), относительная влажность воздуха — 40% (при норме 40-60%), скорость движения воздуха — примерно 0,1 м/с (при норме не более 0,1 м/с). В помещении имеется центральное водяное отопление и приточно-вытяжная вентиляция.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Уровень шума в помещении не превышает установленной нормы (50 дБА), помещение не граничит с шумными производственными зонами.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В помещении имеется естественное и искусственное освещение. Естественное освещение осуществляется через 1 оконный проем размерами 1,5 м × 2,0 м, ориентированный на северо-восток, что является оптимальным для помещений с ПК (отсутствие прямых солнечных лучей на экраны мониторов). Естественный свет падает слева, что соответствует требованиям для правшей. Искусственное освещение — общее равномерное, реализованное 5 потолочными светильниками с люминесцентными лампами.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План помещения представлен на рисунке 4.1.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5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4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5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before="120"/>
        <w:jc w:val="center"/>
      </w:pPr>
      <w:r>
        <w:rPr>
          <w:rFonts w:ascii="Times New Roman" w:hAnsi="Times New Roman" w:eastAsia="Times New Roman"/>
          <w:b w:val="0"/>
          <w:i/>
          <w:color w:val="1A1A2E"/>
          <w:sz w:val="24"/>
        </w:rPr>
        <w:t>Рисунок 4.1 — План помещения с размещением оборудования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На данном рисунке цифрами обозначены следующие объекты: 1 — компьютерный стол; 2 — офисное кресло; 3 — системный блок; 4 — монитор; 5 — шкаф для документации; 6 — дверь; 7 — оконный проем; 8 — мусорная корзина; 9 — огнетушитель.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Влажная уборка в помещении производится ежедневно. Чистка окон осуществляется не реже 2 раз в год. Проветривание — после каждого часа работы.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Рабочее место представляет собой компьютерный стол с размещенным на нем ПК (монитор, клавиатура, мышь, системный блок) и офисное эргономичное кресло. Поверхность кресла имеет полумягкую нескользящую, антистатическую и воздухопроницаемую обивку. Конструкция кресла обеспечивает поддержку поясницы, регулировку высоты сиденья и угла наклона спинки.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Расчет искусственной вентиляции состоит в определении производительности вентилятора. Определяем производительность вентилятора по формуле 4.1: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L = V × k,                                                         (4.1)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где V — объем помещения, м³; k — кратность воздухообмена, час⁻¹; средняя кратность равна k = 3,5.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Объем находится по следующей формуле 4.2: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V = S × h,                                                         (4.2)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где S — площадь пола, м²; h — высота помещения, м.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V = 30 м² × 3 м = 90 м³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L = 90 × 3,5 = 315 м³/ч.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Мощность электродвигателя для привода вентилятора определяем по формуле 4.3: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P = (L × H) / (3600 × η × 1000) × Kз,                              (4.3)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где H — напор вентилятора, H = 400 Па (0,4 кПа); Kз — коэффициент запаса мощности, Kз = 1,3; η — коэффициент полезного действия вентилятора, η = 0,5.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P = (315 × 400) / (3600 × 0,5 × 1000) × 1,3 = 126 000 / 1 800 000 × 1,3 = 0,07 × 1,3 = 0,091 кВт, принимаем 0,09 кВт (90 Вт).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Мощность электродвигателя соответствует параметрам для помещения площадью 30 м². В помещении установлена приточно-вытяжная вентиляционная система производительностью 350 м³/ч, что обеспечивает комфортные условия труда для 5 сотрудников.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На рабочих местах в помещении ООО «ЛюксонДекор» для размещения компьютерной техники уровень шума не должен превышать установленной нормы (50 дБА), установленных СанПиН 1.2.3685-21. При выполнении работ с ПК уровень вибрации не должен превышать допустимых значений согласно СП 51.13330.2011 «Защита от шума».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Уровень шума, возникающий от нескольких некогерентных источников, работающих одновременно, подсчитывается на основании принципа энергетического суммирования излучений отдельных источников (формула 4.4):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L(сум) = 10 × lg(Σ(10^(0,1 × Li))),                               (4.4)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где Li — уровень звукового давления i-го источника шума, дБА; n — количество источников шума.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Уровни звукового давления источников шума, действующих на разработчика на его рабочем месте в ООО «ЛюксонДекор», представлены в таблице 4.2.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Таблица 4.2 — Уровни звукового давления различных источников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Источник шума</w:t>
            </w:r>
          </w:p>
        </w:tc>
        <w:tc>
          <w:tcPr>
            <w:tcW w:type="dxa" w:w="4677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Уровень, дБА</w:t>
            </w:r>
          </w:p>
        </w:tc>
      </w:tr>
      <w:tr>
        <w:tc>
          <w:tcPr>
            <w:tcW w:type="dxa" w:w="4677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Системный блок (5 шт)</w:t>
            </w:r>
          </w:p>
        </w:tc>
        <w:tc>
          <w:tcPr>
            <w:tcW w:type="dxa" w:w="4677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35</w:t>
            </w:r>
          </w:p>
        </w:tc>
      </w:tr>
      <w:tr>
        <w:tc>
          <w:tcPr>
            <w:tcW w:type="dxa" w:w="4677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Монитор (5 шт)</w:t>
            </w:r>
          </w:p>
        </w:tc>
        <w:tc>
          <w:tcPr>
            <w:tcW w:type="dxa" w:w="4677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30</w:t>
            </w:r>
          </w:p>
        </w:tc>
      </w:tr>
      <w:tr>
        <w:tc>
          <w:tcPr>
            <w:tcW w:type="dxa" w:w="4677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Кондиционер</w:t>
            </w:r>
          </w:p>
        </w:tc>
        <w:tc>
          <w:tcPr>
            <w:tcW w:type="dxa" w:w="4677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40</w:t>
            </w:r>
          </w:p>
        </w:tc>
      </w:tr>
      <w:tr>
        <w:tc>
          <w:tcPr>
            <w:tcW w:type="dxa" w:w="4677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Люминесцентные лампы (5 шт)</w:t>
            </w:r>
          </w:p>
        </w:tc>
        <w:tc>
          <w:tcPr>
            <w:tcW w:type="dxa" w:w="4677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30</w:t>
            </w:r>
          </w:p>
        </w:tc>
      </w:tr>
    </w:tbl>
    <w:p>
      <w:pPr>
        <w:spacing w:after="120"/>
      </w:pP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Подставив значения уровня звукового давления для каждого вида оборудования в формулу, получим: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L(сум) = 10 × lg(5 × 10^(0,1×35) + 5 × 10^(0,1×30) + 10^(0,1×40) + 5 × 10^(0,1×30)) = 10 × lg(5 × 3162 + 5 × 1000 + 10 000 + 5 × 1000) = 10 × lg(15 810 + 5000 + 10 000 + 5000) = 10 × lg(35 810) = 10 × 4,554 = 45,5 дБА, округляем до 46 дБА.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Полученное значение 46 дБА не превышает допустимый уровень шума 50 дБА для рабочего места разработчика в офисе ООО «ЛюксонДекор».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Искусственное освещение в помещении эксплуатации ПК ООО «ЛюксонДекор» осуществляется системой общего равномерного освещения. Освещенность на поверхности стола в зоне размещения документа должна быть 300-500 лк.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Расположим светильники параллельно длинной стороне помещения, имеющего: размеры помещения 6 × 5 м; высотой 3 м; площадь помещения S = 6 × 5 = 30 м².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Светильники расположены в 2 рядах по 3 и 2 светильника (всего 5). Высота рабочих мест составляет 0,75 м, поэтому расчетная высота hр = 3 - 0,75 = 2,25 м.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Световой поток группы ламп светильника найдем по следующей формуле 4.5: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F = (Ен × S × Kз × Z) / (N × η),                                   (4.5)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где Ен — требуемый нормативный уровень освещенности рабочей поверхности, Ен = 300 лк; Kз — коэффициент запаса, Kз = 1,5; Z — коэффициент неравномерности освещения, Z = 1,1; N — количество светильников, N = 5; η — коэффициент использования светового потока, η = 0,42.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F = (300 × 30 × 1,5 × 1,1) / (5 × 0,42) = 14 850 / 2,1 = 7071 лм.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Учитывая, что светильник рассчитан на 4 лампы, получим световой поток одной лампы по формуле 4.6: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F₁ = F / nл = 7071 / 4 = 1768 лм.                                   (4.6)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По найденному значению светового потока можно определить тип и мощность лампы. Этому значению соответствует лампа ЛТБ40 мощностью 40 Вт со световым потоком 2100 лм, что превышает расчетное значение и обеспечивает требуемый уровень освещенности с запасом. В помещении ООО «ЛюксонДекор» установлено 5 светильников с лампами ЛТБ40, что обеспечивает требуемый уровень освещенности 300 лк.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A1A2E"/>
          <w:sz w:val="28"/>
        </w:rPr>
        <w:t>4.3 Производственная санитария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Мероприятия по производственной санитарии в офисе ООО «ЛюксонДекор» включают в себя правильную организацию рабочего места в соответствии с требованиями ГОСТов ССБТ.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В офисе ООО «ЛюксонДекор» соблюдены все регламентированные указания для обустройства рабочих мест: расстояние между боковыми поверхностями смежных видеомониторов — не менее 1,2 м; расстояние между экраном монитора и задней стенкой соседнего монитора — не менее 1,0 м; габариты столов соответствуют техническим нормам (ширина не менее 700 мм, глубина не менее 600 мм).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Разнообразная оргтехника — компьютеры, принтеры, сетевое оборудование — работает от электричества, следовательно, всегда является источником возможного поражения током. В офисе ООО «ЛюксонДекор» уделяют внимание всем составляющим электробезопасности: контроль за состоянием проводки, розеток, вилок, выключателей; заземление всех металлических корпусов оборудования; использование устройств защитного отключения (УЗО); контроль и регулярная модернизация технической базы.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Правила техники безопасности, которые применяются в офисе ООО «ЛюксонДекор»: эксплуатация техники только по рекомендациям производителя; ограничение нагрузки на электрическую сеть; отключение приборов после работы.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Режим работы сотрудников ООО «ЛюксонДекор»: продолжительность рабочего дня 8 часов, начало в 9:00, окончание в 18:00, перерыв на обед с 13:00 до 14:00, дополнительные регламентированные перерывы по 15 минут через каждый час работы с ПК.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В офисном помещении предусмотрена зона для приема пищи, организованы предварительные и периодические медицинские осмотры работников, позволяющие своевременно выявлять симптомы профзаболеваний: в помещениях, оборудованных ПК, проводятся ежедневные влажные уборки, систематическое проветривание после каждого часа работы; офис ООО «ЛюксонДекор» оборудован приточно-вытяжной вентиляцией; в офисе есть аптечка для оказания первой помощи.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Конструкция рабочего стола обеспечивает возможность размещения на рабочей поверхности системного блока, монитора, клавиатуры, мыши и документов с учетом характера выполняемой работы по разработке прикладных решений на платформе «1С:Предприятие».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Рабочий стул (кресло) обеспечивает поддержание физиологически рациональной рабочей позы оператора: спинка кресла регулируется по высоте и углу наклона, сиденье — по высоте, подлокотники — по высоте и расстоянию между ними.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Клавиатура на рабочем месте разработчика располагается на поверхности стола на расстоянии 100-300 мм от переднего края, что обеспечивает оптимальное положение рук и снижение напряжения мышц предплечья.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Результаты анализа условий труда в офисе ООО «ЛюксонДекор» сведены в таблицу 4.3.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Таблица 4.3 — Результаты анализа условий труда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Фактор</w:t>
            </w:r>
          </w:p>
        </w:tc>
        <w:tc>
          <w:tcPr>
            <w:tcW w:type="dxa" w:w="2339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Норматив</w:t>
            </w:r>
          </w:p>
        </w:tc>
        <w:tc>
          <w:tcPr>
            <w:tcW w:type="dxa" w:w="2339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Фактическое значение</w:t>
            </w:r>
          </w:p>
        </w:tc>
        <w:tc>
          <w:tcPr>
            <w:tcW w:type="dxa" w:w="2339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Соответствие</w:t>
            </w:r>
          </w:p>
        </w:tc>
      </w:tr>
      <w:tr>
        <w:tc>
          <w:tcPr>
            <w:tcW w:type="dxa" w:w="2339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Температура воздуха, С</w:t>
            </w:r>
          </w:p>
        </w:tc>
        <w:tc>
          <w:tcPr>
            <w:tcW w:type="dxa" w:w="2339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22-24</w:t>
            </w:r>
          </w:p>
        </w:tc>
        <w:tc>
          <w:tcPr>
            <w:tcW w:type="dxa" w:w="2339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22</w:t>
            </w:r>
          </w:p>
        </w:tc>
        <w:tc>
          <w:tcPr>
            <w:tcW w:type="dxa" w:w="2339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Соответствует</w:t>
            </w:r>
          </w:p>
        </w:tc>
      </w:tr>
      <w:tr>
        <w:tc>
          <w:tcPr>
            <w:tcW w:type="dxa" w:w="2339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Относительная влажность, %</w:t>
            </w:r>
          </w:p>
        </w:tc>
        <w:tc>
          <w:tcPr>
            <w:tcW w:type="dxa" w:w="2339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40-60</w:t>
            </w:r>
          </w:p>
        </w:tc>
        <w:tc>
          <w:tcPr>
            <w:tcW w:type="dxa" w:w="2339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40</w:t>
            </w:r>
          </w:p>
        </w:tc>
        <w:tc>
          <w:tcPr>
            <w:tcW w:type="dxa" w:w="2339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Соответствует</w:t>
            </w:r>
          </w:p>
        </w:tc>
      </w:tr>
      <w:tr>
        <w:tc>
          <w:tcPr>
            <w:tcW w:type="dxa" w:w="2339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Скорость движения воздуха, м/с</w:t>
            </w:r>
          </w:p>
        </w:tc>
        <w:tc>
          <w:tcPr>
            <w:tcW w:type="dxa" w:w="2339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не более 0,1</w:t>
            </w:r>
          </w:p>
        </w:tc>
        <w:tc>
          <w:tcPr>
            <w:tcW w:type="dxa" w:w="2339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0,1</w:t>
            </w:r>
          </w:p>
        </w:tc>
        <w:tc>
          <w:tcPr>
            <w:tcW w:type="dxa" w:w="2339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Соответствует</w:t>
            </w:r>
          </w:p>
        </w:tc>
      </w:tr>
      <w:tr>
        <w:tc>
          <w:tcPr>
            <w:tcW w:type="dxa" w:w="2339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Уровень шума, дБА</w:t>
            </w:r>
          </w:p>
        </w:tc>
        <w:tc>
          <w:tcPr>
            <w:tcW w:type="dxa" w:w="2339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не более 50</w:t>
            </w:r>
          </w:p>
        </w:tc>
        <w:tc>
          <w:tcPr>
            <w:tcW w:type="dxa" w:w="2339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46</w:t>
            </w:r>
          </w:p>
        </w:tc>
        <w:tc>
          <w:tcPr>
            <w:tcW w:type="dxa" w:w="2339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Соответствует</w:t>
            </w:r>
          </w:p>
        </w:tc>
      </w:tr>
      <w:tr>
        <w:tc>
          <w:tcPr>
            <w:tcW w:type="dxa" w:w="2339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Освещенность, лк</w:t>
            </w:r>
          </w:p>
        </w:tc>
        <w:tc>
          <w:tcPr>
            <w:tcW w:type="dxa" w:w="2339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300-500</w:t>
            </w:r>
          </w:p>
        </w:tc>
        <w:tc>
          <w:tcPr>
            <w:tcW w:type="dxa" w:w="2339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300</w:t>
            </w:r>
          </w:p>
        </w:tc>
        <w:tc>
          <w:tcPr>
            <w:tcW w:type="dxa" w:w="2339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Соответствует</w:t>
            </w:r>
          </w:p>
        </w:tc>
      </w:tr>
      <w:tr>
        <w:tc>
          <w:tcPr>
            <w:tcW w:type="dxa" w:w="2339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Площадь на 1 рабочее место, м²</w:t>
            </w:r>
          </w:p>
        </w:tc>
        <w:tc>
          <w:tcPr>
            <w:tcW w:type="dxa" w:w="2339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не менее 6</w:t>
            </w:r>
          </w:p>
        </w:tc>
        <w:tc>
          <w:tcPr>
            <w:tcW w:type="dxa" w:w="2339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6</w:t>
            </w:r>
          </w:p>
        </w:tc>
        <w:tc>
          <w:tcPr>
            <w:tcW w:type="dxa" w:w="2339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Соответствует</w:t>
            </w:r>
          </w:p>
        </w:tc>
      </w:tr>
      <w:tr>
        <w:tc>
          <w:tcPr>
            <w:tcW w:type="dxa" w:w="2339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Объем на 1 человека, м³</w:t>
            </w:r>
          </w:p>
        </w:tc>
        <w:tc>
          <w:tcPr>
            <w:tcW w:type="dxa" w:w="2339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не менее 20</w:t>
            </w:r>
          </w:p>
        </w:tc>
        <w:tc>
          <w:tcPr>
            <w:tcW w:type="dxa" w:w="2339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18</w:t>
            </w:r>
          </w:p>
        </w:tc>
        <w:tc>
          <w:tcPr>
            <w:tcW w:type="dxa" w:w="2339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A1A2E"/>
                <w:sz w:val="22"/>
              </w:rPr>
              <w:t>Отклонение 10%</w:t>
            </w:r>
          </w:p>
        </w:tc>
      </w:tr>
    </w:tbl>
    <w:p>
      <w:pPr>
        <w:spacing w:after="120"/>
      </w:pP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Необходимо отметить следующее: исследуемые показатели в целом удовлетворяют нормативным значениям охраны труда и безопасности в офисе ООО «ЛюксонДекор». Обнаружено отклонение: объем на одно рабочее место составляет 18 м³ при нормативе 20 м³ (отклонение 10%). Данное отклонение не является критичным и компенсируется наличием качественной приточно-вытяжной вентиляции производительностью 350 м³/ч, обеспечивающей кратность воздухообмена 3,9, что превышает нормативное значение 3,5.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A1A2E"/>
          <w:sz w:val="28"/>
        </w:rPr>
        <w:t>4.4 Требования выполнения условий охраны труда по противопожарному состоянию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В офисе ООО «ЛюксонДекор» разработана, издана и размещена документация по пожарному состоянию. Разработан план эвакуации, назначены ответственные лица за пожарную безопасность.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Каждое помещение офиса оборудовано пожарной сигнализацией и огнетушителями. В помещениях с эксплуатацией ПК наиболее вероятны пожары классов «А» (горение твердых веществ — бумага, пластик корпусов) и «Е» (горение электроустановок под напряжением).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Офисное здание ООО «ЛюксонДекор» оборудовано АПС (автоматическая пожарная сигнализация). В эту систему входят технические устройства, позволяющие обнаружить пожар, обработать и передать эту информацию на установки пожаротушения и оповещения, в том числе на пульт МЧС.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Для тушения очагов возгорания в помещениях с ПК используются углекислотные огнетушители (ОУ-3) с массой заряда 3 кг. Углекислотные огнетушители не оставляют следов на оборудовании и безопасны для электронной техники, что делает их оптимальным выбором для помещений с компьютерами. В рассматриваемом помещении площадью 30 м² установлен 1 огнетушитель ОУ-3, что соответствует нормативам (1 огнетушитель на 40 м² для углекислотных).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Также в помещении расположен пожарный извещатель автоматической пожарной сигнализации и табличка с указанием путей эвакуации.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1A1A2E"/>
          <w:sz w:val="28"/>
        </w:rPr>
        <w:t>За соблюдение мер пожарной безопасности в служебных кабинетах отвечает руководитель предприятия ООО «ЛюксонДекор». С сотрудниками проводятся регулярные инструктажи по пожарной безопасности не реже 1 раза в полугодие.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360" w:lineRule="auto"/>
      <w:ind w:firstLine="709"/>
      <w:jc w:val="left"/>
      <w:outlineLvl w:val="0"/>
    </w:pPr>
    <w:rPr>
      <w:rFonts w:asciiTheme="majorHAnsi" w:eastAsiaTheme="majorEastAsia" w:hAnsiTheme="majorHAnsi" w:cstheme="majorBidi" w:ascii="Times New Roman" w:hAnsi="Times New Roman"/>
      <w:b/>
      <w:bCs/>
      <w:i w:val="0"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360" w:lineRule="auto"/>
      <w:ind w:firstLine="709"/>
      <w:jc w:val="left"/>
      <w:outlineLvl w:val="1"/>
    </w:pPr>
    <w:rPr>
      <w:rFonts w:asciiTheme="majorHAnsi" w:eastAsiaTheme="majorEastAsia" w:hAnsiTheme="majorHAnsi" w:cstheme="majorBidi" w:ascii="Times New Roman" w:hAnsi="Times New Roman"/>
      <w:b/>
      <w:bCs/>
      <w:i w:val="0"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360" w:lineRule="auto"/>
      <w:ind w:firstLine="709"/>
      <w:jc w:val="left"/>
      <w:outlineLvl w:val="2"/>
    </w:pPr>
    <w:rPr>
      <w:rFonts w:asciiTheme="majorHAnsi" w:eastAsiaTheme="majorEastAsia" w:hAnsiTheme="majorHAnsi" w:cstheme="majorBidi" w:ascii="Times New Roman" w:hAnsi="Times New Roman"/>
      <w:b/>
      <w:bCs/>
      <w:i w:val="0"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