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12BA" w14:textId="77777777" w:rsidR="009F5E3C" w:rsidRDefault="009F5E3C">
      <w:pPr>
        <w:spacing w:after="0" w:line="240" w:lineRule="auto"/>
        <w:jc w:val="center"/>
        <w:rPr>
          <w:rFonts w:eastAsia="黑体" w:cs="Times New Roman" w:hint="eastAsia"/>
          <w:b/>
          <w:bCs/>
          <w:sz w:val="44"/>
          <w:szCs w:val="42"/>
          <w:lang w:eastAsia="zh-CN"/>
        </w:rPr>
      </w:pPr>
    </w:p>
    <w:p w14:paraId="1B74370C" w14:textId="77777777" w:rsidR="009F5E3C" w:rsidRDefault="00000000">
      <w:pPr>
        <w:spacing w:after="0" w:line="240" w:lineRule="auto"/>
        <w:jc w:val="center"/>
        <w:rPr>
          <w:rFonts w:eastAsia="黑体" w:cs="Times New Roman" w:hint="eastAsia"/>
          <w:b/>
          <w:bCs/>
          <w:sz w:val="44"/>
          <w:szCs w:val="42"/>
          <w:lang w:eastAsia="zh-CN"/>
        </w:rPr>
      </w:pPr>
      <w:r>
        <w:rPr>
          <w:rFonts w:eastAsia="黑体" w:cs="Times New Roman"/>
          <w:b/>
          <w:bCs/>
          <w:sz w:val="44"/>
          <w:szCs w:val="42"/>
          <w:lang w:eastAsia="zh-CN"/>
        </w:rPr>
        <w:t>第五届中国研究生金融科技创新大赛</w:t>
      </w:r>
    </w:p>
    <w:p w14:paraId="54709A27" w14:textId="77777777" w:rsidR="009F5E3C" w:rsidRDefault="00000000">
      <w:pPr>
        <w:spacing w:line="600" w:lineRule="exact"/>
        <w:jc w:val="center"/>
        <w:rPr>
          <w:rFonts w:ascii="Times New Roman" w:hAnsi="Times New Roman" w:cs="Times New Roman"/>
          <w:b/>
          <w:bCs/>
          <w:sz w:val="32"/>
          <w:szCs w:val="32"/>
          <w:lang w:eastAsia="zh-CN"/>
        </w:rPr>
      </w:pPr>
      <w:r>
        <w:rPr>
          <w:rFonts w:eastAsia="黑体" w:cs="Times New Roman" w:hint="eastAsia"/>
          <w:b/>
          <w:bCs/>
          <w:sz w:val="44"/>
          <w:szCs w:val="42"/>
          <w:lang w:eastAsia="zh-CN"/>
        </w:rPr>
        <w:t>“</w:t>
      </w:r>
      <w:r>
        <w:rPr>
          <w:rFonts w:eastAsia="黑体" w:cs="Times New Roman"/>
          <w:b/>
          <w:bCs/>
          <w:sz w:val="44"/>
          <w:szCs w:val="42"/>
          <w:lang w:eastAsia="zh-CN"/>
        </w:rPr>
        <w:t>揭榜挂帅</w:t>
      </w:r>
      <w:r>
        <w:rPr>
          <w:rFonts w:eastAsia="黑体" w:cs="Times New Roman" w:hint="eastAsia"/>
          <w:b/>
          <w:bCs/>
          <w:sz w:val="44"/>
          <w:szCs w:val="42"/>
          <w:lang w:eastAsia="zh-CN"/>
        </w:rPr>
        <w:t>”</w:t>
      </w:r>
      <w:r>
        <w:rPr>
          <w:rFonts w:eastAsia="黑体" w:cs="Times New Roman"/>
          <w:b/>
          <w:bCs/>
          <w:sz w:val="44"/>
          <w:szCs w:val="42"/>
          <w:lang w:eastAsia="zh-CN"/>
        </w:rPr>
        <w:t>赛题说明</w:t>
      </w:r>
    </w:p>
    <w:tbl>
      <w:tblPr>
        <w:tblW w:w="100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1984"/>
        <w:gridCol w:w="1346"/>
        <w:gridCol w:w="3331"/>
      </w:tblGrid>
      <w:tr w:rsidR="009F5E3C" w14:paraId="0F77E333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D6BF5A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一、命题单位基本情况</w:t>
            </w:r>
          </w:p>
        </w:tc>
      </w:tr>
      <w:tr w:rsidR="009F5E3C" w14:paraId="1C667DE8" w14:textId="77777777">
        <w:trPr>
          <w:trHeight w:val="600"/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53C69D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单位名称</w:t>
            </w:r>
          </w:p>
        </w:tc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F73984" w14:textId="77777777" w:rsidR="009F5E3C" w:rsidRDefault="00000000">
            <w:pPr>
              <w:spacing w:after="0" w:line="240" w:lineRule="auto"/>
              <w:jc w:val="center"/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  <w:t>东吴证券股份有限公司</w:t>
            </w:r>
          </w:p>
        </w:tc>
      </w:tr>
      <w:tr w:rsidR="009F5E3C" w14:paraId="0D2E794E" w14:textId="77777777">
        <w:trPr>
          <w:trHeight w:val="600"/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F8F7FD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单位地址</w:t>
            </w:r>
          </w:p>
        </w:tc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4E5C0F" w14:textId="77777777" w:rsidR="009F5E3C" w:rsidRDefault="00000000">
            <w:pPr>
              <w:spacing w:after="0" w:line="240" w:lineRule="auto"/>
              <w:jc w:val="center"/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  <w:t>江苏省苏州市工业园区星阳街5号</w:t>
            </w:r>
          </w:p>
        </w:tc>
      </w:tr>
      <w:tr w:rsidR="009F5E3C" w14:paraId="3483859B" w14:textId="77777777">
        <w:trPr>
          <w:trHeight w:val="817"/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F04E3F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单位简介</w:t>
            </w:r>
          </w:p>
        </w:tc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6A777" w14:textId="77777777" w:rsidR="009F5E3C" w:rsidRDefault="00000000">
            <w:pPr>
              <w:spacing w:after="0" w:line="240" w:lineRule="auto"/>
              <w:rPr>
                <w:rFonts w:ascii="仿宋" w:eastAsia="仿宋" w:hAnsi="仿宋" w:cs="仿宋" w:hint="eastAsia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  <w:t>东吴证券作为全国性综合类证券公司，高度重视数字化转型与金融科技创新。近年来，公司在人工智能赋能金融业务方面持续投入，大力推动大模型及 Agentic AI 技术在投研、财富管理、合规审计等领域的深层次应用，致力于打造行业领先的数智化金融服务生态，以科技赋能实体经济与资本市场的高质量发展。</w:t>
            </w:r>
          </w:p>
        </w:tc>
      </w:tr>
      <w:tr w:rsidR="009F5E3C" w14:paraId="7F478DBD" w14:textId="77777777">
        <w:trPr>
          <w:trHeight w:val="600"/>
          <w:jc w:val="center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A94B13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B1E17B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413C3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eastAsia="zh-CN"/>
              </w:rPr>
              <w:t>任川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16DEC7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职务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6D6850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eastAsia="zh-CN"/>
              </w:rPr>
              <w:t>信息技术总部副总经理</w:t>
            </w:r>
          </w:p>
        </w:tc>
      </w:tr>
      <w:tr w:rsidR="009F5E3C" w14:paraId="5D4D8101" w14:textId="77777777">
        <w:trPr>
          <w:trHeight w:val="600"/>
          <w:jc w:val="center"/>
        </w:trPr>
        <w:tc>
          <w:tcPr>
            <w:tcW w:w="2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59334" w14:textId="77777777" w:rsidR="009F5E3C" w:rsidRDefault="009F5E3C">
            <w:pPr>
              <w:spacing w:after="0" w:line="240" w:lineRule="auto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BD225C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手机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DBEFA0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18610756988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849C8C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邮箱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69561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rench@dwzq.com.cn</w:t>
            </w:r>
          </w:p>
        </w:tc>
      </w:tr>
      <w:tr w:rsidR="009F5E3C" w14:paraId="17D90F10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AEA3E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二、命题信息</w:t>
            </w:r>
          </w:p>
        </w:tc>
      </w:tr>
      <w:tr w:rsidR="009F5E3C" w14:paraId="6E0E708A" w14:textId="77777777">
        <w:trPr>
          <w:trHeight w:val="600"/>
          <w:jc w:val="center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2397AD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bCs/>
                <w:color w:val="000000"/>
                <w:sz w:val="28"/>
                <w:szCs w:val="28"/>
                <w:lang w:eastAsia="zh-CN"/>
              </w:rPr>
              <w:t>命题名称</w:t>
            </w:r>
          </w:p>
        </w:tc>
        <w:tc>
          <w:tcPr>
            <w:tcW w:w="7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7EBC66" w14:textId="77777777" w:rsidR="009F5E3C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val="en-US" w:eastAsia="zh-CN"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基于多智能体协同的港股IPO招股书解析与上市后风险预警探索</w:t>
            </w:r>
          </w:p>
        </w:tc>
      </w:tr>
      <w:tr w:rsidR="009F5E3C" w14:paraId="2E663289" w14:textId="77777777">
        <w:trPr>
          <w:trHeight w:val="600"/>
          <w:jc w:val="center"/>
        </w:trPr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005605" w14:textId="77777777" w:rsidR="009F5E3C" w:rsidRDefault="00000000">
            <w:pPr>
              <w:spacing w:after="0" w:line="240" w:lineRule="auto"/>
              <w:jc w:val="center"/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黑体" w:hAnsi="Times New Roman" w:cs="宋体" w:hint="eastAsia"/>
                <w:b/>
                <w:bCs/>
                <w:color w:val="000000"/>
                <w:sz w:val="28"/>
                <w:szCs w:val="28"/>
                <w:lang w:eastAsia="zh-CN"/>
              </w:rPr>
              <w:t>命题概述</w:t>
            </w:r>
          </w:p>
        </w:tc>
        <w:tc>
          <w:tcPr>
            <w:tcW w:w="793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F0C946" w14:textId="77777777" w:rsidR="009F5E3C" w:rsidRDefault="00000000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val="en-US" w:eastAsia="zh-CN"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8"/>
                <w:szCs w:val="28"/>
                <w:lang w:val="en-US" w:eastAsia="zh-CN"/>
              </w:rPr>
              <w:t>针对港股上市企业（尤其是未盈利公司）招股书专业度高、披露复杂的痛点，基于大语言模型与 Agentic AI 技术构建包含“基本面风控”与“市场情绪”的多角色智能体系统。实现对拟上市企业“内在财务/合规暗雷等”与“外在流动性”的交叉预警，并用上市当天、一周、一个月内、三个月内真实跌幅与破发数据进行辅助验证。</w:t>
            </w:r>
          </w:p>
        </w:tc>
      </w:tr>
      <w:tr w:rsidR="009F5E3C" w14:paraId="1F605570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AD7CC6" w14:textId="77777777" w:rsidR="009F5E3C" w:rsidRDefault="00000000">
            <w:pP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t>业务场景描述</w:t>
            </w:r>
          </w:p>
          <w:p w14:paraId="17988AF4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随着港股上市机制的改革，大量未盈利的生物科技及特专科技企业登陆港交所。这类企业财务结构复杂、商业化不确定性高，极易在上市后出现“暴涨暴跌”甚至深度破发的极端风险。当前面临三大瓶颈：</w:t>
            </w:r>
          </w:p>
          <w:p w14:paraId="52177002" w14:textId="77777777" w:rsidR="009F5E3C" w:rsidRDefault="00000000">
            <w:pPr>
              <w:numPr>
                <w:ilvl w:val="0"/>
                <w:numId w:val="1"/>
              </w:num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招股书财报复杂度极高，隐性暗雷难以人工排查。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港股招股说明书动辄数百页，充斥着复杂的估值对赌、大额关联交易以及现金流消耗风险。传统人工解读极易漏掉致命瑕疵。</w:t>
            </w:r>
          </w:p>
          <w:p w14:paraId="6830CD7F" w14:textId="77777777" w:rsidR="009F5E3C" w:rsidRDefault="00000000">
            <w:pPr>
              <w:numPr>
                <w:ilvl w:val="0"/>
                <w:numId w:val="1"/>
              </w:num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传统预警体系视角单一，缺乏融合法务合规、财务穿透与市场博弈等多角色的协同智能分析机制。</w:t>
            </w:r>
          </w:p>
          <w:p w14:paraId="334879FF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lastRenderedPageBreak/>
              <w:t>第三，缺乏“基本面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+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市场情绪”的共振风险评估。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一只新股的暴跌，往往不仅是因为公司质地差，更受制于发行当期的“大盘遇冷与板块流动性枯竭”。传统风控割裂了静态文本与动态行情的关联。</w:t>
            </w:r>
          </w:p>
          <w:p w14:paraId="7E7D04F3" w14:textId="77777777" w:rsidR="009F5E3C" w:rsidRDefault="009F5E3C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</w:p>
          <w:p w14:paraId="1D33CBE6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因此，亟需构建一套基于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的多角色协作风险预警系统，对招股书内涵与外部市场环境进行深度排查，并用上市后的真实走势反向验证其预警效力。</w:t>
            </w:r>
          </w:p>
          <w:p w14:paraId="67220680" w14:textId="77777777" w:rsidR="009F5E3C" w:rsidRDefault="009F5E3C">
            <w:pPr>
              <w:spacing w:after="0" w:line="240" w:lineRule="auto"/>
              <w:ind w:firstLineChars="200" w:firstLine="440"/>
              <w:jc w:val="both"/>
              <w:rPr>
                <w:rFonts w:hint="eastAsia"/>
                <w:lang w:eastAsia="zh-CN"/>
              </w:rPr>
            </w:pPr>
          </w:p>
        </w:tc>
      </w:tr>
      <w:tr w:rsidR="009F5E3C" w14:paraId="753EB4B8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BA639B" w14:textId="77777777" w:rsidR="009F5E3C" w:rsidRDefault="00000000">
            <w:pPr>
              <w:rPr>
                <w:rFonts w:hint="eastAsia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lastRenderedPageBreak/>
              <w:t>技术攻关问题描述</w:t>
            </w:r>
          </w:p>
          <w:p w14:paraId="028C1AD0" w14:textId="77777777" w:rsidR="009F5E3C" w:rsidRDefault="00000000">
            <w:pPr>
              <w:numPr>
                <w:ilvl w:val="0"/>
                <w:numId w:val="2"/>
              </w:num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面对动辄数百页的复杂金融长文本，如何利用大语言模型（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LLM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）克服“幻觉”瓶颈，精准抽取标准化财务指标与非标隐性风险特征（如未盈利企业的现金消耗率、特殊股东对赌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赎回条款、核心管线进度等），通过语义分析技术，发现在招股书“风险因素”等章节的“文本粉饰度”较高的内容等等。</w:t>
            </w:r>
          </w:p>
          <w:p w14:paraId="53ED4772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2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、在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框架下，如何设计涵盖法务合规、财务穿透与市场分析等多专家角色的协作架构？当不同领域智能体的解析结果存在逻辑冲突时，系统如何通过自主规划、辩论与查证链路，实现逻辑自洽的交叉验证与风险判定。</w:t>
            </w:r>
          </w:p>
          <w:p w14:paraId="50DACEDC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招股书体现的基本面瑕疵属于低频、静态的文本特征，而发行期的大盘冷暖、板块流动性属于高频、动态的时序特征。如何进行跨模态融合，充分考虑外部市场环境与基本面风险的综合因素，构建更完整预警评价体系。</w:t>
            </w:r>
          </w:p>
        </w:tc>
      </w:tr>
      <w:tr w:rsidR="009F5E3C" w14:paraId="749097D6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A7FF24" w14:textId="77777777" w:rsidR="009F5E3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t>攻关任务描述</w:t>
            </w:r>
          </w:p>
          <w:p w14:paraId="24F3CB24" w14:textId="77777777" w:rsidR="009F5E3C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任务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1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：招股书“防幻觉”解析与非标隐性风险抽取</w:t>
            </w:r>
          </w:p>
          <w:p w14:paraId="37C4ED5C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聚焦解决复杂金融长文本的理解与防幻觉问题，参赛团队需构建面向港股数百页招股说明书（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PDF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）的解析与特征抽取模块。精准抽取标准化财务指标与非标隐性风险特征（如未盈利企业的现金消耗率、特殊股东对赌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赎回条款、核心管线进度等），以及“文本粉饰度”较高的原文切片。</w:t>
            </w:r>
          </w:p>
          <w:p w14:paraId="18D2BA21" w14:textId="77777777" w:rsidR="009F5E3C" w:rsidRDefault="009F5E3C">
            <w:pPr>
              <w:spacing w:after="0" w:line="240" w:lineRule="auto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</w:p>
          <w:p w14:paraId="673B3BBC" w14:textId="77777777" w:rsidR="009F5E3C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任务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2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：多角色尽调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Agent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协作架构与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Skill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编排</w:t>
            </w:r>
          </w:p>
          <w:p w14:paraId="666F7A87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围绕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复杂分析流程的逻辑自洽问题，参赛团队需设计模拟真实投行团队的多智能体协作架构。构建法务合规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、财务穿透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、市场情绪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及总控决策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。并将长文档检索、同行估值比对、现金流消耗测算、情绪热度打分等能力封装为可复用的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Skill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，实现从“输入招股书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PDF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与代码”到“输出多维风险结论”的自动化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Pipeline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5DBC8813" w14:textId="77777777" w:rsidR="009F5E3C" w:rsidRDefault="009F5E3C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</w:p>
          <w:p w14:paraId="24BD247C" w14:textId="77777777" w:rsidR="009F5E3C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任务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3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：可解释新股预警报告与投研复核工具</w:t>
            </w:r>
          </w:p>
          <w:p w14:paraId="072D6BE3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参赛团队需构建可解释性高、可移植、可复用的工具，自动生成单家或批量新股的《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IPO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风险穿透预警报告》，清晰列示：触发高风险的核心诱因，以及精准映射至招股书原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PDF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页码与段落的证据截图、当前时间窗的风险预测。最终提供可运行的原型系统、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API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服务或可视化的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交互界面，支持投研人员进行高效的人机协同复核。</w:t>
            </w:r>
          </w:p>
        </w:tc>
      </w:tr>
      <w:tr w:rsidR="009F5E3C" w14:paraId="2A42717A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1DEBAB" w14:textId="77777777" w:rsidR="009F5E3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lastRenderedPageBreak/>
              <w:t>现有基础</w:t>
            </w:r>
          </w:p>
          <w:p w14:paraId="18E6F3F0" w14:textId="77777777" w:rsidR="009F5E3C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技术与平台储备：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命题单位在金融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AI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领域具有深厚积累，自主研发的企业级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AIaaS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平台已具备底层算力调度、主流开源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闭源大模型接入、模型训练、微调与评测能力，可支撑上市公司信息披露文本理解、风险识别与预测模型验证。</w:t>
            </w:r>
          </w:p>
          <w:p w14:paraId="6F28F87B" w14:textId="77777777" w:rsidR="009F5E3C" w:rsidRDefault="00000000">
            <w:pPr>
              <w:spacing w:after="0" w:line="240" w:lineRule="auto"/>
              <w:ind w:firstLineChars="200" w:firstLine="562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Agentic AI 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架构基础：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目前已在内部深入研发以“推理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-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行动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-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观察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-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反思”为核心的多智能体协同架构，在合规、审计、投研等复杂金融场景的自动化巡检与逻辑问答中进行了初步验证，积累了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Agent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框架搭建、工具调用、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Skill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挂载、任务编排和推理日志追踪经验。</w:t>
            </w:r>
          </w:p>
          <w:p w14:paraId="11D16CAA" w14:textId="77777777" w:rsidR="009F5E3C" w:rsidRDefault="00000000">
            <w:pPr>
              <w:spacing w:after="0" w:line="240" w:lineRule="auto"/>
              <w:ind w:firstLineChars="200" w:firstLine="562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数据资源沉淀：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已具备近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年港股招股说明书、港股基本信息、历史行情等数据基础。</w:t>
            </w:r>
          </w:p>
        </w:tc>
      </w:tr>
      <w:tr w:rsidR="009F5E3C" w14:paraId="064458B3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08263E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t>任务目标</w:t>
            </w:r>
          </w:p>
          <w:p w14:paraId="1DAFF8F5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构建一套基于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的港股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IPO 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风险预警算法系统，围绕招股说明书深度解析、多角色智能体协同推理、市场情绪共振评估和上市后表现验证，形成对新股上市风险的方向性预测、风险诱因归因和可解释预警报告生成能力。</w:t>
            </w:r>
          </w:p>
          <w:p w14:paraId="02EEA015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具体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目标如下：</w:t>
            </w:r>
          </w:p>
          <w:p w14:paraId="177FE746" w14:textId="77777777" w:rsidR="009F5E3C" w:rsidRDefault="00000000">
            <w:pP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技术指标</w:t>
            </w: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- </w:t>
            </w: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招股书风险解析与归因</w:t>
            </w:r>
          </w:p>
          <w:p w14:paraId="20D83144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招股说明书中关键风险要素抽取准确率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≥ 80%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，包括但不限于对赌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赎回条款、关联交易、客户或供应商集中度、现金流消耗压力等非标风险信息。关键证据片段召回率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≥ 85%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，即系统能够从招股书原文中准确定位支撑风险结论的段落或表格。</w:t>
            </w:r>
          </w:p>
          <w:p w14:paraId="20E6B71A" w14:textId="77777777" w:rsidR="009F5E3C" w:rsidRDefault="00000000">
            <w:pP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技术指标</w:t>
            </w: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- </w:t>
            </w: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多智能体协同与可解释性</w:t>
            </w:r>
          </w:p>
          <w:p w14:paraId="4E0B192A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Agent 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推理链路、角色分工、工具调用记录和证据来源可追踪率达到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100%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，</w:t>
            </w:r>
          </w:p>
          <w:p w14:paraId="1AD14D5B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逻辑解释有效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性高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（由专家评委或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LLM 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辅助评审对归因链条进行综合打分）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6A916184" w14:textId="77777777" w:rsidR="009F5E3C" w:rsidRDefault="00000000">
            <w:pP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技术指标</w:t>
            </w: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 xml:space="preserve"> - </w:t>
            </w: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上市风险</w:t>
            </w:r>
            <w:r>
              <w:rPr>
                <w:rFonts w:ascii="Times New Roman" w:eastAsia="仿宋" w:hAnsi="Times New Roman" w:cs="Times New Roman" w:hint="eastAsia"/>
                <w:b/>
                <w:bCs/>
                <w:color w:val="000000"/>
                <w:sz w:val="28"/>
                <w:szCs w:val="28"/>
                <w:lang w:val="en-US" w:eastAsia="zh-CN"/>
              </w:rPr>
              <w:t>预警业务参考价值</w:t>
            </w:r>
          </w:p>
          <w:p w14:paraId="6656ED67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对系统识别出的风险样本，结合其上市首日、上市后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个交易日、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20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个交易日及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60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个交易日的真实市场表现，评估预警结果的业务参考价值；其中，重点关注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“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上市后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个交易日内显著下跌风险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”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的识别能力，并给予更高权重进行综合评价。</w:t>
            </w:r>
          </w:p>
          <w:p w14:paraId="2FDE6A33" w14:textId="77777777" w:rsidR="009F5E3C" w:rsidRDefault="00000000">
            <w:pP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成果交付</w:t>
            </w:r>
          </w:p>
          <w:p w14:paraId="029D01F2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lastRenderedPageBreak/>
              <w:t>包含数据处理、招股书解析、特征构建、风险预测、多智能体编排与报告生成的完整项目源代码（含环境配置与运行脚本），或者在主流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Agentic AI 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框架中可复用的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IPO 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风险预警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Skill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5C60451A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可运行的风险预警原型系统或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API 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服务，支持输入公司名称、股票代码或招股书文件后，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输出预警提示和报告，支持投研人员进行高效的人机协同复核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7447EC62" w14:textId="77777777" w:rsidR="009F5E3C" w:rsidRDefault="00000000">
            <w:pP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测试集预测结果数据表、多智能体推理日志、关键证据片段、典型案例分析报告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等</w:t>
            </w:r>
            <w:r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  <w:t>。</w:t>
            </w:r>
          </w:p>
        </w:tc>
      </w:tr>
      <w:tr w:rsidR="009F5E3C" w14:paraId="7FF57AE6" w14:textId="77777777">
        <w:trPr>
          <w:trHeight w:val="600"/>
          <w:jc w:val="center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0B907D" w14:textId="77777777" w:rsidR="009F5E3C" w:rsidRDefault="00000000">
            <w:pP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eastAsia="黑体" w:hAnsi="Times New Roman" w:cs="Times New Roman"/>
                <w:b/>
                <w:bCs/>
                <w:color w:val="000000"/>
                <w:sz w:val="28"/>
                <w:szCs w:val="28"/>
                <w:lang w:eastAsia="zh-CN"/>
              </w:rPr>
              <w:lastRenderedPageBreak/>
              <w:t>数据集描述</w:t>
            </w:r>
          </w:p>
          <w:p w14:paraId="61B2CD7F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1.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招股说明书文本数据</w:t>
            </w:r>
          </w:p>
          <w:p w14:paraId="238262EC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提供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3-5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年在香港交易所上市企业的招股说明书原始文件，数据形式以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 PDF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为主。</w:t>
            </w:r>
          </w:p>
          <w:p w14:paraId="5C19ACC8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2.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港股基本信息数据</w:t>
            </w:r>
          </w:p>
          <w:p w14:paraId="60066592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提供对应上市企业的基础属性数据，包括股票代码、上市日期、所属行业、发行价格、发行规模、市值区间等结构化信息。</w:t>
            </w:r>
          </w:p>
          <w:p w14:paraId="707387F9" w14:textId="77777777" w:rsidR="009F5E3C" w:rsidRDefault="00000000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 xml:space="preserve">3. </w:t>
            </w: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历史行情与表现标签数据</w:t>
            </w:r>
          </w:p>
          <w:p w14:paraId="421D7A9C" w14:textId="1FE82529" w:rsidR="009F5E3C" w:rsidRPr="001D2167" w:rsidRDefault="00000000" w:rsidP="001D2167">
            <w:pPr>
              <w:spacing w:after="0" w:line="240" w:lineRule="auto"/>
              <w:ind w:firstLineChars="200" w:firstLine="560"/>
              <w:jc w:val="both"/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sz w:val="28"/>
                <w:szCs w:val="28"/>
                <w:lang w:val="en-US" w:eastAsia="zh-CN"/>
              </w:rPr>
              <w:t>包括日期、股票代码、开盘价、收盘价、最高价、最低价、成交量、涨跌幅指标。该部分数据用于回溯和分析上市时间点的市场情况，以及上市后个股的表现计算。</w:t>
            </w:r>
          </w:p>
        </w:tc>
      </w:tr>
    </w:tbl>
    <w:p w14:paraId="0778CDA8" w14:textId="77777777" w:rsidR="009F5E3C" w:rsidRDefault="009F5E3C">
      <w:pPr>
        <w:rPr>
          <w:rFonts w:hint="eastAsia"/>
          <w:lang w:eastAsia="zh-CN"/>
        </w:rPr>
      </w:pPr>
    </w:p>
    <w:sectPr w:rsidR="009F5E3C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D2C4E" w14:textId="77777777" w:rsidR="008A5CA2" w:rsidRDefault="008A5CA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834EB07" w14:textId="77777777" w:rsidR="008A5CA2" w:rsidRDefault="008A5CA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659B" w14:textId="77777777" w:rsidR="008A5CA2" w:rsidRDefault="008A5CA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AE401ED" w14:textId="77777777" w:rsidR="008A5CA2" w:rsidRDefault="008A5CA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B69C44"/>
    <w:multiLevelType w:val="singleLevel"/>
    <w:tmpl w:val="D7B69C44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 w15:restartNumberingAfterBreak="0">
    <w:nsid w:val="7EFCFA5A"/>
    <w:multiLevelType w:val="singleLevel"/>
    <w:tmpl w:val="7EFCFA5A"/>
    <w:lvl w:ilvl="0">
      <w:start w:val="1"/>
      <w:numFmt w:val="decimal"/>
      <w:suff w:val="nothing"/>
      <w:lvlText w:val="%1、"/>
      <w:lvlJc w:val="left"/>
    </w:lvl>
  </w:abstractNum>
  <w:num w:numId="1" w16cid:durableId="1340156375">
    <w:abstractNumId w:val="0"/>
  </w:num>
  <w:num w:numId="2" w16cid:durableId="42777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8E"/>
    <w:rsid w:val="001D2167"/>
    <w:rsid w:val="001D53FC"/>
    <w:rsid w:val="002D6D8F"/>
    <w:rsid w:val="002F4E8E"/>
    <w:rsid w:val="00380D72"/>
    <w:rsid w:val="005C316A"/>
    <w:rsid w:val="006018C8"/>
    <w:rsid w:val="008A5CA2"/>
    <w:rsid w:val="00913D29"/>
    <w:rsid w:val="009F5E3C"/>
    <w:rsid w:val="00B84ADE"/>
    <w:rsid w:val="00D87BFC"/>
    <w:rsid w:val="00FB79AE"/>
    <w:rsid w:val="00FC0FF6"/>
    <w:rsid w:val="2FFF862D"/>
    <w:rsid w:val="3BB7E763"/>
    <w:rsid w:val="3BDFEE17"/>
    <w:rsid w:val="3EBF3701"/>
    <w:rsid w:val="4FAE3986"/>
    <w:rsid w:val="5B6DAB64"/>
    <w:rsid w:val="5FEF523D"/>
    <w:rsid w:val="7FEDC551"/>
    <w:rsid w:val="7FEFBC38"/>
    <w:rsid w:val="7FEFD299"/>
    <w:rsid w:val="9BE96120"/>
    <w:rsid w:val="9F5B961E"/>
    <w:rsid w:val="BFF797B3"/>
    <w:rsid w:val="CEFE1071"/>
    <w:rsid w:val="CFE7ADB7"/>
    <w:rsid w:val="DC9F0F94"/>
    <w:rsid w:val="E76FDD40"/>
    <w:rsid w:val="F9DE32B0"/>
    <w:rsid w:val="FEDAA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275E"/>
  <w15:docId w15:val="{DCD2E6B2-9EBD-42C2-B055-94C73D99C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zh-CN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sz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李昊骅 南京大学</dc:creator>
  <cp:keywords/>
  <dc:description/>
  <cp:lastModifiedBy>博 刘</cp:lastModifiedBy>
  <cp:revision>4</cp:revision>
  <dcterms:created xsi:type="dcterms:W3CDTF">2026-04-18T11:07:00Z</dcterms:created>
  <dcterms:modified xsi:type="dcterms:W3CDTF">2026-07-24T01:35:00Z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58562D05B96F81D8569FF069BBABA429_43</vt:lpwstr>
  </property>
</Properties>
</file>