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Extração em fase sólida (SPE-PPL) de matéria orgânica dissolvida</w:t>
      </w:r>
    </w:p>
    <w:p>
      <w:pPr>
        <w:pStyle w:val="SOPSubtitle"/>
      </w:pPr>
      <w:r>
        <w:t>Concentração de MOD em cartucho de estireno-divinilbenzeno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e sistema de SPE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o condicionamento, carregamento, lavagem, secagem e eluição de MOD em cartuchos PPL, incluindo controles de recuperação e rastreabilidade.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Manipular HCl e metanol exclusivamente em capela.</w:t>
      </w:r>
    </w:p>
    <w:p>
      <w:r>
        <w:t>Metanol é inflamável e tóxico; eliminar fontes de ignição e usar luvas selecionadas pela FDS.</w:t>
      </w:r>
    </w:p>
    <w:p>
      <w:r>
        <w:t>Verificar compatibilidade e integridade das linhas antes de aplicar vácuo ou pressão.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Nunca deixar a resina secar entre condicionamento e carregamento. Metanol deve permanecer em capela e não pode ser evaporado em estufa comum.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Frascos de vidro âmbar limpos/adequados a DOC</w:t>
      </w:r>
    </w:p>
    <w:p>
      <w:pPr>
        <w:pStyle w:val="ListBullet"/>
      </w:pPr>
      <w:r>
        <w:t>Provetas e pipetas de vidro</w:t>
      </w:r>
    </w:p>
    <w:p>
      <w:pPr>
        <w:pStyle w:val="ListBullet"/>
      </w:pPr>
      <w:r>
        <w:t>Viais de vidro com tampa compatível</w:t>
      </w:r>
    </w:p>
    <w:p>
      <w:pPr>
        <w:pStyle w:val="ListBullet"/>
      </w:pPr>
      <w:r>
        <w:t>Frascos de coleta do eluato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Cartucho PPL de massa definida</w:t>
      </w:r>
    </w:p>
    <w:p>
      <w:pPr>
        <w:pStyle w:val="ListBullet"/>
      </w:pPr>
      <w:r>
        <w:t>Tubulação compatível com solvente</w:t>
      </w:r>
    </w:p>
    <w:p>
      <w:pPr>
        <w:pStyle w:val="ListBullet"/>
      </w:pPr>
      <w:r>
        <w:t>Rótulos resistentes a metanol</w:t>
      </w:r>
    </w:p>
    <w:p>
      <w:pPr>
        <w:pStyle w:val="Heading2"/>
      </w:pPr>
      <w:r>
        <w:t>Equipamentos</w:t>
      </w:r>
    </w:p>
    <w:p>
      <w:pPr>
        <w:pStyle w:val="ListBullet"/>
      </w:pPr>
      <w:r>
        <w:t>Sistema SPE com controle de vazão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Sistema de N₂ ou vácuo compatível</w:t>
      </w:r>
    </w:p>
    <w:p>
      <w:pPr>
        <w:pStyle w:val="ListBullet"/>
      </w:pPr>
      <w:r>
        <w:t>Medidor de pH calibrado</w:t>
      </w:r>
    </w:p>
    <w:p>
      <w:pPr>
        <w:pStyle w:val="ListBullet"/>
      </w:pPr>
      <w:r>
        <w:t>Analisador de carbono orgânico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 filtrada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Volume calculado pela concentração de DOC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HCl/Milli-Q pH 2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Para acidificação e lavagem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Metanol grau adequado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Condicionamento e eluição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PPL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100–200 µmol C por g de fase, salvo método validado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Calcular a carga de carbono alvo (100–200 µmol C por g de PPL) e o volume de amostra.</w:t>
      </w:r>
    </w:p>
    <w:p>
      <w:pPr>
        <w:pStyle w:val="ListBullet"/>
      </w:pPr>
      <w:r>
        <w:t>Preparar branco de procedimento e alíquota para DOC antes da extração.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Planejamento e acidificação</w:t>
      </w:r>
    </w:p>
    <w:p>
      <w:pPr>
        <w:pStyle w:val="ListNumber"/>
      </w:pPr>
      <w:r>
        <w:t>Medir DOC em alíquota separada e calcular a carga/volume de amostra.</w:t>
      </w:r>
    </w:p>
    <w:p>
      <w:pPr>
        <w:pStyle w:val="ListNumber"/>
      </w:pPr>
      <w:r>
        <w:t>Acidificar a amostra a pH 2 com reagente aprovado, lentamente e em capela; confirmar o pH.</w:t>
      </w:r>
    </w:p>
    <w:p>
      <w:pPr>
        <w:pStyle w:val="ListNumber"/>
      </w:pPr>
      <w:r>
        <w:t>Preparar branco de procedimento com a mesma água, frascos, ácido e fluxo.</w:t>
      </w:r>
    </w:p>
    <w:p>
      <w:pPr>
        <w:pStyle w:val="Heading2"/>
      </w:pPr>
      <w:r>
        <w:t>Condicionamento e carregamento</w:t>
      </w:r>
    </w:p>
    <w:p>
      <w:pPr>
        <w:pStyle w:val="ListNumber"/>
      </w:pPr>
      <w:r>
        <w:t>Condicionar o cartucho com pelo menos dois volumes de leito de metanol.</w:t>
      </w:r>
    </w:p>
    <w:p>
      <w:pPr>
        <w:pStyle w:val="ListNumber"/>
      </w:pPr>
      <w:r>
        <w:t>Passar pelo menos dois volumes de leito de água acidificada a pH 2 sem deixar a resina secar.</w:t>
      </w:r>
    </w:p>
    <w:p>
      <w:pPr>
        <w:pStyle w:val="ListNumber"/>
      </w:pPr>
      <w:r>
        <w:t>Carregar a amostra em vazão controlada, sem ultrapassar 40 mL/min nem o limite validado para o conjunto.</w:t>
      </w:r>
    </w:p>
    <w:p>
      <w:pPr>
        <w:pStyle w:val="ListNumber"/>
      </w:pPr>
      <w:r>
        <w:t>Registrar volume efetivo, tempo, vazão e qualquer interrupção.</w:t>
      </w:r>
    </w:p>
    <w:p>
      <w:pPr>
        <w:pStyle w:val="Heading2"/>
      </w:pPr>
      <w:r>
        <w:t>Lavagem, secagem e eluição</w:t>
      </w:r>
    </w:p>
    <w:p>
      <w:pPr>
        <w:pStyle w:val="ListNumber"/>
      </w:pPr>
      <w:r>
        <w:t>Lavar com pelo menos dois volumes de cartucho de HCl 0,01 mol/L ou solução validada a pH 2.</w:t>
      </w:r>
    </w:p>
    <w:p>
      <w:pPr>
        <w:pStyle w:val="ListNumber"/>
      </w:pPr>
      <w:r>
        <w:t>Secar o cartucho sob N₂/vácuo compatível pelo tempo validado e proteger de contaminação.</w:t>
      </w:r>
    </w:p>
    <w:p>
      <w:pPr>
        <w:pStyle w:val="ListNumber"/>
      </w:pPr>
      <w:r>
        <w:t>Eluir com metanol; para 1 g de PPL, usar como ponto de partida duas porções de 4 mL, sujeito a validação.</w:t>
      </w:r>
    </w:p>
    <w:p>
      <w:pPr>
        <w:pStyle w:val="ListNumber"/>
      </w:pPr>
      <w:r>
        <w:t>Coletar o eluato em vial identificado e homogeneizar suavemente.</w:t>
      </w:r>
    </w:p>
    <w:p>
      <w:pPr>
        <w:pStyle w:val="Heading2"/>
      </w:pPr>
      <w:r>
        <w:t>Recuperação e armazenamento</w:t>
      </w:r>
    </w:p>
    <w:p>
      <w:pPr>
        <w:pStyle w:val="ListNumber"/>
      </w:pPr>
      <w:r>
        <w:t>Separar alíquota representativa (por exemplo, 300 µL) para estimar a recuperação por DOC.</w:t>
      </w:r>
    </w:p>
    <w:p>
      <w:pPr>
        <w:pStyle w:val="ListNumber"/>
      </w:pPr>
      <w:r>
        <w:t>Calcular a recuperação considerando DOC inicial, volume extraído e carbono no extrato.</w:t>
      </w:r>
    </w:p>
    <w:p>
      <w:pPr>
        <w:pStyle w:val="ListNumber"/>
      </w:pPr>
      <w:r>
        <w:t>Armazenar o extrato em condição aprovada para inflamáveis, protegido de luz e evaporação.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82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0-fluxo-spe-pp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8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/>
          <w:i/>
          <w:color w:val="587078"/>
          <w:sz w:val="18"/>
        </w:rPr>
        <w:t>Figura 1. Fluxo geral de preparo, carregamento, lavagem, secagem e eluição em PPL; os volumes e reagentes devem seguir o método aprovado.</w:t>
      </w:r>
      <w:r>
        <w:rPr>
          <w:rFonts w:ascii="Calibri" w:hAnsi="Calibri"/>
          <w:color w:val="587078"/>
          <w:sz w:val="17"/>
        </w:rPr>
        <w:t xml:space="preserve"> Fonte: Preparação para isótopos MOD fornecida ao LCA.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Incluir branco de procedimento e, quando aplicável, duplicata e amostra fortificada.</w:t>
      </w:r>
    </w:p>
    <w:p>
      <w:pPr>
        <w:pStyle w:val="ListBullet"/>
      </w:pPr>
      <w:r>
        <w:t>Registrar recuperação de DOC; definir previamente faixa de aceitação.</w:t>
      </w:r>
    </w:p>
    <w:p>
      <w:pPr>
        <w:pStyle w:val="ListBullet"/>
      </w:pPr>
      <w:r>
        <w:t>Não aceitar cartucho que secou antes do carregamento, apresentou canalização ou vazamento.</w:t>
      </w:r>
    </w:p>
    <w:p>
      <w:pPr>
        <w:pStyle w:val="ListBullet"/>
      </w:pPr>
      <w:r>
        <w:t>Manter rastreabilidade entre amostra, cartucho, eluato e alíquota.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ListBullet"/>
      </w:pPr>
      <w:r>
        <w:t>Extratos em metanol devem permanecer em armário/refrigerador aprovado para inflamáveis, conforme avaliação local.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ListBullet"/>
      </w:pPr>
      <w:r>
        <w:t>Massa do PPL, volume da amostra, carga de carbono, vazão, volumes de lavagem/eluição e recuperação.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Coletar metanol e eluatos em recipiente de resíduo orgânico compatível; separar soluções ácidas.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Definir marca/massa dos cartuchos e volumes exatos por tamanho.</w:t>
      </w:r>
    </w:p>
    <w:p>
      <w:pPr>
        <w:pStyle w:val="ListBullet"/>
      </w:pPr>
      <w:r>
        <w:t>Aprovar faixa de recuperação e condição/prazo de armazenamento do extrato.</w:t>
      </w:r>
    </w:p>
    <w:p>
      <w:pPr>
        <w:pStyle w:val="ListBullet"/>
      </w:pPr>
      <w:r>
        <w:t>Definir método de limpeza da vidraria e critérios dos brancos.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2-10 · Extração SPE-PPL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Extração em fase sólida (SPE-PPL) de matéria orgânica dissolvida</dc:title>
  <dc:subject>2-10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