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Filtração de amostras para COD, metais dissolvidos e MPS</w:t>
      </w:r>
    </w:p>
    <w:p>
      <w:pPr>
        <w:pStyle w:val="SOPSubtitle"/>
      </w:pPr>
      <w:r>
        <w:t>Três fluxos independentes: carbono orgânico dissolvido, metais e material particulado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2-12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Área limpa de filtração; capela para acidificação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a divisão e filtração de amostras de água para carbono orgânico dissolvido (COD/DOC), metais dissolvidos e material particulado em suspensão (MPS/TSS), evitando contaminação cruzada e preservação incorreta.</w:t>
      </w:r>
    </w:p>
    <w:p>
      <w:r>
        <w:t>Os três fluxos são independentes. Não reutilize o mesmo filtrado, filtro ou frasco sem previsão explícita no plano de amostragem. A porosidade operacional de COD deve ser fixada pelo projeto.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Acidificar amostras para metais somente em capela, adicionando ácido lentamente.</w:t>
      </w:r>
    </w:p>
    <w:p>
      <w:r>
        <w:t>Manusear filtros com pinça limpa; usar proteção térmica para estufa/dessecador.</w:t>
      </w:r>
    </w:p>
    <w:p>
      <w:r>
        <w:t>Tratar amostras ambientais como potencialmente contaminadas.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Nunca acidifique a alíquota destinada a MPS. Para metais dissolvidos, filtre primeiro e acidifique o filtrado com HNO₃ a pH &lt;2. Para COD, não use materiais que liberem carbono orgânico.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Frascos âmbar de vidro preparados para COD</w:t>
      </w:r>
    </w:p>
    <w:p>
      <w:pPr>
        <w:pStyle w:val="ListBullet"/>
      </w:pPr>
      <w:r>
        <w:t>Frascos acidolavados compatíveis para metais</w:t>
      </w:r>
    </w:p>
    <w:p>
      <w:pPr>
        <w:pStyle w:val="ListBullet"/>
      </w:pPr>
      <w:r>
        <w:t>Conjunto de filtração de vidro/inócuo para MPS</w:t>
      </w:r>
    </w:p>
    <w:p>
      <w:pPr>
        <w:pStyle w:val="ListBullet"/>
      </w:pPr>
      <w:r>
        <w:t>Provetas para volume filtrado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COD: GF/F pré-combustado 0,7 µm ou cápsula 0,45 µm conforme método</w:t>
      </w:r>
    </w:p>
    <w:p>
      <w:pPr>
        <w:pStyle w:val="ListBullet"/>
      </w:pPr>
      <w:r>
        <w:t>Metais: membrana/cápsula 0,45 µm, baixa contaminação</w:t>
      </w:r>
    </w:p>
    <w:p>
      <w:pPr>
        <w:pStyle w:val="ListBullet"/>
      </w:pPr>
      <w:r>
        <w:t>MPS: filtro de fibra de vidro previamente preparado e pesado</w:t>
      </w:r>
    </w:p>
    <w:p>
      <w:pPr>
        <w:pStyle w:val="ListBullet"/>
      </w:pPr>
      <w:r>
        <w:t>Pinças limpas e folhas de alumínio preparadas</w:t>
      </w:r>
    </w:p>
    <w:p>
      <w:pPr>
        <w:pStyle w:val="Heading2"/>
      </w:pPr>
      <w:r>
        <w:t>Equipamentos</w:t>
      </w:r>
    </w:p>
    <w:p>
      <w:pPr>
        <w:pStyle w:val="ListBullet"/>
      </w:pPr>
      <w:r>
        <w:t>Sistema de vácuo/pressão controlada</w:t>
      </w:r>
    </w:p>
    <w:p>
      <w:pPr>
        <w:pStyle w:val="ListBullet"/>
      </w:pPr>
      <w:r>
        <w:t>Balança analítica com resolução adequada ao método</w:t>
      </w:r>
    </w:p>
    <w:p>
      <w:pPr>
        <w:pStyle w:val="ListBullet"/>
      </w:pPr>
      <w:r>
        <w:t>Estufa a 103–105 °C</w:t>
      </w:r>
    </w:p>
    <w:p>
      <w:pPr>
        <w:pStyle w:val="ListBullet"/>
      </w:pPr>
      <w:r>
        <w:t>Dessecador</w:t>
      </w:r>
    </w:p>
    <w:p>
      <w:pPr>
        <w:pStyle w:val="ListBullet"/>
      </w:pPr>
      <w:r>
        <w:t>Medidor de pH ou papel indicador de faixa apropriada</w:t>
      </w:r>
    </w:p>
    <w:p>
      <w:pPr>
        <w:pStyle w:val="ListBullet"/>
      </w:pPr>
      <w:r>
        <w:t>Capela química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Brancos e enxágues conforme analito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HNO₃ de alta pureza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Preservação do filtrado de metais a pH &lt;2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Homogeneizada imediatamente antes de dividir as alíquotas</w:t>
            </w:r>
          </w:p>
        </w:tc>
      </w:tr>
    </w:tbl>
    <w:p>
      <w:pPr>
        <w:spacing w:after="0"/>
      </w:pPr>
    </w:p>
    <w:p>
      <w:pPr>
        <w:pStyle w:val="Heading1"/>
      </w:pPr>
      <w:r>
        <w:t>4. Preparação antes de iniciar</w:t>
      </w:r>
    </w:p>
    <w:p>
      <w:pPr>
        <w:pStyle w:val="ListBullet"/>
      </w:pPr>
      <w:r>
        <w:t>Separar e rotular três conjuntos de frascos antes da homogeneização da amostra.</w:t>
      </w:r>
    </w:p>
    <w:p>
      <w:pPr>
        <w:pStyle w:val="ListBullet"/>
      </w:pPr>
      <w:r>
        <w:t>Preparar brancos de campo/equipamento e filtros condicionados conforme o analito.</w:t>
      </w:r>
    </w:p>
    <w:p>
      <w:pPr>
        <w:pStyle w:val="Heading1"/>
      </w:pPr>
      <w:r>
        <w:t>5. Procedimento</w:t>
      </w:r>
    </w:p>
    <w:p>
      <w:pPr>
        <w:pStyle w:val="Heading2"/>
      </w:pPr>
      <w:r>
        <w:t>Divisão da amostra</w:t>
      </w:r>
    </w:p>
    <w:p>
      <w:pPr>
        <w:pStyle w:val="ListNumber"/>
      </w:pPr>
      <w:r>
        <w:t>Conferir identificação, temperatura, integridade e tempo desde a coleta.</w:t>
      </w:r>
    </w:p>
    <w:p>
      <w:pPr>
        <w:pStyle w:val="ListNumber"/>
      </w:pPr>
      <w:r>
        <w:t>Homogeneizar sem introduzir bolhas excessivas e dividir imediatamente nas alíquotas COD, metais e MPS.</w:t>
      </w:r>
    </w:p>
    <w:p>
      <w:pPr>
        <w:pStyle w:val="ListNumber"/>
      </w:pPr>
      <w:r>
        <w:t>Processar branco e duplicata na frequência definida pelo plano de qualidade.</w:t>
      </w:r>
    </w:p>
    <w:p>
      <w:pPr>
        <w:pStyle w:val="Heading2"/>
      </w:pPr>
      <w:r>
        <w:t>Fluxo A — carbono orgânico dissolvido (COD/DOC)</w:t>
      </w:r>
    </w:p>
    <w:p>
      <w:pPr>
        <w:pStyle w:val="ListNumber"/>
      </w:pPr>
      <w:r>
        <w:t>Usar filtro de fibra de vidro 0,7 µm pré-combustado ou cápsula de 0,45 µm conforme a definição operacional aprovada para o projeto.</w:t>
      </w:r>
    </w:p>
    <w:p>
      <w:pPr>
        <w:pStyle w:val="ListNumber"/>
      </w:pPr>
      <w:r>
        <w:t>Condicionar o sistema conforme o método; descartar o volume de condicionamento quando previsto.</w:t>
      </w:r>
    </w:p>
    <w:p>
      <w:pPr>
        <w:pStyle w:val="ListNumber"/>
      </w:pPr>
      <w:r>
        <w:t>Filtrar para frasco âmbar preparado para carbono orgânico, minimizando exposição, espaço de cabeça e contaminação.</w:t>
      </w:r>
    </w:p>
    <w:p>
      <w:pPr>
        <w:pStyle w:val="ListNumber"/>
      </w:pPr>
      <w:r>
        <w:t>Manter protegido da luz e refrigerado conforme o método analítico; registrar porosidade, lote e volume.</w:t>
      </w:r>
    </w:p>
    <w:p>
      <w:r>
        <w:rPr>
          <w:rFonts w:ascii="Calibri" w:hAnsi="Calibri"/>
          <w:b/>
          <w:color w:val="7A5A00"/>
          <w:sz w:val="21"/>
        </w:rPr>
        <w:t xml:space="preserve">DECISÃO DO PROJETO: </w:t>
      </w:r>
      <w:r>
        <w:t>Não alternar entre 0,7 e 0,45 µm dentro de uma série. A definição operacional muda o resultado e deve constar no plano de amostragem.</w:t>
      </w:r>
    </w:p>
    <w:p>
      <w:pPr>
        <w:pStyle w:val="Heading2"/>
      </w:pPr>
      <w:r>
        <w:t>Fluxo B — metais dissolvidos</w:t>
      </w:r>
    </w:p>
    <w:p>
      <w:pPr>
        <w:pStyle w:val="ListNumber"/>
      </w:pPr>
      <w:r>
        <w:t>Montar o sistema limpo para metais e usar filtro de 0,45 µm de baixa contaminação.</w:t>
      </w:r>
    </w:p>
    <w:p>
      <w:pPr>
        <w:pStyle w:val="ListNumber"/>
      </w:pPr>
      <w:r>
        <w:t>Filtrar a alíquota antes de qualquer acidificação e coletar diretamente no frasco acidolavado.</w:t>
      </w:r>
    </w:p>
    <w:p>
      <w:pPr>
        <w:pStyle w:val="ListNumber"/>
      </w:pPr>
      <w:r>
        <w:t>Em capela, adicionar HNO₃ de alta pureza lentamente até pH &lt;2, conforme o método e volume aprovados.</w:t>
      </w:r>
    </w:p>
    <w:p>
      <w:pPr>
        <w:pStyle w:val="ListNumber"/>
      </w:pPr>
      <w:r>
        <w:t>Fechar, homogeneizar por inversão, conferir o rótulo e registrar volume de ácido e pH.</w:t>
      </w:r>
    </w:p>
    <w:p>
      <w:r>
        <w:rPr>
          <w:rFonts w:ascii="Calibri" w:hAnsi="Calibri"/>
          <w:b/>
          <w:color w:val="7A5A00"/>
          <w:sz w:val="21"/>
        </w:rPr>
        <w:t xml:space="preserve">CONTAMINAÇÃO: </w:t>
      </w:r>
      <w:r>
        <w:t>Metais exigem utensílios, luvas e área dedicados. Não usar pinças metálicas nem compartilhar frascos com o fluxo de COD.</w:t>
      </w:r>
    </w:p>
    <w:p>
      <w:pPr>
        <w:pStyle w:val="Heading2"/>
      </w:pPr>
      <w:r>
        <w:t>Fluxo C — material particulado em suspensão (MPS/TSS)</w:t>
      </w:r>
    </w:p>
    <w:p>
      <w:pPr>
        <w:pStyle w:val="ListNumber"/>
      </w:pPr>
      <w:r>
        <w:t>Preparar o filtro de fibra de vidro segundo o método, secar a 103–105 °C, resfriar em dessecador e pesar até massa constante (m₀).</w:t>
      </w:r>
    </w:p>
    <w:p>
      <w:pPr>
        <w:pStyle w:val="ListNumber"/>
      </w:pPr>
      <w:r>
        <w:t>Homogeneizar a alíquota e filtrar volume conhecido, ajustado para produzir massa mensurável sem sobrecarregar o filtro.</w:t>
      </w:r>
    </w:p>
    <w:p>
      <w:pPr>
        <w:pStyle w:val="ListNumber"/>
      </w:pPr>
      <w:r>
        <w:t>Lavar o filtro/resíduo conforme o método, manter a sucção brevemente e transferir o filtro para suporte identificado.</w:t>
      </w:r>
    </w:p>
    <w:p>
      <w:pPr>
        <w:pStyle w:val="ListNumber"/>
      </w:pPr>
      <w:r>
        <w:t>Secar a 103–105 °C, resfriar em dessecador e pesar; repetir até massa constante (m₁).</w:t>
      </w:r>
    </w:p>
    <w:p>
      <w:pPr>
        <w:pStyle w:val="ListNumber"/>
      </w:pPr>
      <w:r>
        <w:t>Calcular MPS (mg/L) = (m₁ − m₀, em mg) × 1000 / volume filtrado (mL).</w:t>
      </w:r>
    </w:p>
    <w:p>
      <w:pPr>
        <w:pStyle w:val="Heading1"/>
      </w:pPr>
      <w:r>
        <w:t>6. Controle e critérios de qualidade</w:t>
      </w:r>
    </w:p>
    <w:p>
      <w:pPr>
        <w:pStyle w:val="ListBullet"/>
      </w:pPr>
      <w:r>
        <w:t>Brancos de equipamento/campo adequados a cada analito e duplicatas conforme plano.</w:t>
      </w:r>
    </w:p>
    <w:p>
      <w:pPr>
        <w:pStyle w:val="ListBullet"/>
      </w:pPr>
      <w:r>
        <w:t>Registrar tipo, porosidade, lote, condicionamento e volume de cada filtro.</w:t>
      </w:r>
    </w:p>
    <w:p>
      <w:pPr>
        <w:pStyle w:val="ListBullet"/>
      </w:pPr>
      <w:r>
        <w:t>Para MPS, usar massa constante e balança verificada; registrar todas as pesagens.</w:t>
      </w:r>
    </w:p>
    <w:p>
      <w:pPr>
        <w:pStyle w:val="ListBullet"/>
      </w:pPr>
      <w:r>
        <w:t>Não aceitar amostra com identificação, preservação ou tempo de espera incompatível sem qualificar o resultado.</w:t>
      </w:r>
    </w:p>
    <w:p>
      <w:pPr>
        <w:pStyle w:val="Heading1"/>
      </w:pPr>
      <w:r>
        <w:t>7. Identificação, armazenamento e registros</w:t>
      </w:r>
    </w:p>
    <w:p>
      <w:pPr>
        <w:pStyle w:val="ListBullet"/>
      </w:pPr>
      <w:r>
        <w:t>Rotular cada alíquota com analito, condição de filtração, preservante, data/hora e executor.</w:t>
      </w:r>
    </w:p>
    <w:p>
      <w:pPr>
        <w:pStyle w:val="ListBullet"/>
      </w:pPr>
      <w:r>
        <w:t>COD: proteger da luz e refrigerar conforme o método; metais: filtrado preservado com HNO₃ a pH &lt;2; MPS: conservar/medir dentro do prazo aprovado.</w:t>
      </w:r>
    </w:p>
    <w:p>
      <w:pPr>
        <w:pStyle w:val="ListBullet"/>
      </w:pPr>
      <w:r>
        <w:t>Registrar cadeia de custódia e temperatura de transporte/armazenamento.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ListBullet"/>
      </w:pPr>
      <w:r>
        <w:t>Porosidade/lote do filtro, volume filtrado, pressão/vácuo, preservante, pH e pesagens de MPS.</w:t>
      </w:r>
    </w:p>
    <w:p>
      <w:pPr>
        <w:pStyle w:val="Heading1"/>
      </w:pPr>
      <w:r>
        <w:t>8.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ListBullet"/>
      </w:pPr>
      <w:r>
        <w:t>Filtrados e filtros podem conter contaminantes; classificar conforme amostra e analito.</w:t>
      </w:r>
    </w:p>
    <w:p>
      <w:pPr>
        <w:pStyle w:val="Heading1"/>
      </w:pPr>
      <w:r>
        <w:t>9. Observações para padronização local</w:t>
      </w:r>
    </w:p>
    <w:p>
      <w:pPr>
        <w:pStyle w:val="ListBullet"/>
      </w:pPr>
      <w:r>
        <w:t>Escolher 0,7 µm ou 0,45 µm como definição operacional de COD por projeto.</w:t>
      </w:r>
    </w:p>
    <w:p>
      <w:pPr>
        <w:pStyle w:val="ListBullet"/>
      </w:pPr>
      <w:r>
        <w:t>Definir preservação e prazo de análise do método instrumental utilizado.</w:t>
      </w:r>
    </w:p>
    <w:p>
      <w:pPr>
        <w:pStyle w:val="ListBullet"/>
      </w:pPr>
      <w:r>
        <w:t>Definir critérios de massa constante, faixa de volume e frequência de controles de MPS.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2-12 · Filtração de amostras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Filtração de amostras para COD, metais dissolvidos e MPS</dc:title>
  <dc:subject>2-12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