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drawing>
          <wp:inline xmlns:a="http://schemas.openxmlformats.org/drawingml/2006/main" xmlns:pic="http://schemas.openxmlformats.org/drawingml/2006/picture">
            <wp:extent cx="1051560" cy="536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GPBE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536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OPKicker"/>
      </w:pPr>
      <w:r>
        <w:t>PROTOCOLO DO LABORATÓRIO</w:t>
      </w:r>
    </w:p>
    <w:p>
      <w:pPr>
        <w:pStyle w:val="SOPTitle"/>
      </w:pPr>
      <w:r>
        <w:t>Demanda química de oxigênio (DQO) — método colorimétrico</w:t>
      </w:r>
    </w:p>
    <w:p>
      <w:pPr>
        <w:pStyle w:val="SOPSubtitle"/>
      </w:pPr>
      <w:r>
        <w:t>Digestão em tubo fechado e leitura espectrofotométrica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Código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2-13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Categoria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Metodologias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Local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Capela, bloco digestor e UV-Vis</w:t>
            </w:r>
          </w:p>
        </w:tc>
      </w:tr>
    </w:tbl>
    <w:p>
      <w:pPr>
        <w:spacing w:after="0"/>
      </w:pPr>
    </w:p>
    <w:p>
      <w:pPr>
        <w:pStyle w:val="Heading1"/>
      </w:pPr>
      <w:r>
        <w:t>1. Objetivo</w:t>
      </w:r>
    </w:p>
    <w:p>
      <w:r>
        <w:t>Padronizar a determinação de DQO por digestão com dicromato em tubo fechado e leitura colorimétrica, usando kit ou reagentes formalmente aprovados.</w:t>
      </w:r>
    </w:p>
    <w:p>
      <w:r>
        <w:t>A fórmula dos reagentes não foi fixada neste documento. Preferir kits/métodos validados e confirmar faixa, cloretos, preservação e interferências.</w:t>
      </w:r>
    </w:p>
    <w:p>
      <w:pPr>
        <w:pStyle w:val="Heading1"/>
      </w:pPr>
      <w:r>
        <w:t>2. Cuidados e segurança</w:t>
      </w:r>
    </w:p>
    <w:p>
      <w:r>
        <w:t>Realizar somente após treinamento específico e com técnico ou professor responsável disponível e ciente da atividade.</w:t>
      </w:r>
    </w:p>
    <w:p>
      <w:r>
        <w:t>Em qualquer dúvida, pare, mantenha o sistema em condição segura e pergunte ao técnico ou professor responsável.</w:t>
      </w:r>
    </w:p>
    <w:p>
      <w:r>
        <w:t>Nunca improvisar, executar etapa não prevista, alterar concentração/volume ou trabalhar sem a supervisão definida.</w:t>
      </w:r>
    </w:p>
    <w:p>
      <w:r>
        <w:t>Usar jaleco fechado, calça comprida, sapato fechado, óculos de segurança e luvas compatíveis com a FDS/FISPQ.</w:t>
      </w:r>
    </w:p>
    <w:p>
      <w:r>
        <w:t>Dicromato de potássio contém Cr(VI); ácido sulfúrico concentrado é corrosivo e a mistura pode conter mercúrio. Trabalhar em capela.</w:t>
      </w:r>
    </w:p>
    <w:p>
      <w:r>
        <w:t>Tratar tubos quentes como risco químico, térmico e de pressão.</w:t>
      </w:r>
    </w:p>
    <w:p>
      <w:r>
        <w:rPr>
          <w:rFonts w:ascii="Calibri" w:hAnsi="Calibri"/>
          <w:b/>
          <w:color w:val="9B1C1C"/>
          <w:sz w:val="22"/>
        </w:rPr>
        <w:t xml:space="preserve">Cuidado específico: </w:t>
      </w:r>
      <w:r>
        <w:t>Nunca abrir tubo quente ou pressurizado. Resíduos de DQO contendo Cr(VI), mercúrio e ácido são perigosos e não podem ir à pia.</w:t>
      </w:r>
    </w:p>
    <w:p>
      <w:pPr>
        <w:pStyle w:val="Heading1"/>
      </w:pPr>
      <w:r>
        <w:t>3. Materiais, reagentes e equipamentos</w:t>
      </w:r>
    </w:p>
    <w:p>
      <w:pPr>
        <w:pStyle w:val="Heading2"/>
      </w:pPr>
      <w:r>
        <w:t>Vidrarias e recipientes</w:t>
      </w:r>
    </w:p>
    <w:p>
      <w:pPr>
        <w:pStyle w:val="ListBullet"/>
      </w:pPr>
      <w:r>
        <w:t>Tubos de DQO compatíveis</w:t>
      </w:r>
    </w:p>
    <w:p>
      <w:pPr>
        <w:pStyle w:val="ListBullet"/>
      </w:pPr>
      <w:r>
        <w:t>Pipetas dedicadas</w:t>
      </w:r>
    </w:p>
    <w:p>
      <w:pPr>
        <w:pStyle w:val="ListBullet"/>
      </w:pPr>
      <w:r>
        <w:t>Rack resistente</w:t>
      </w:r>
    </w:p>
    <w:p>
      <w:pPr>
        <w:pStyle w:val="Heading2"/>
      </w:pPr>
      <w:r>
        <w:t>Materiais auxiliares</w:t>
      </w:r>
    </w:p>
    <w:p>
      <w:pPr>
        <w:pStyle w:val="ListBullet"/>
      </w:pPr>
      <w:r>
        <w:t>Kit/reagentes aprovados</w:t>
      </w:r>
    </w:p>
    <w:p>
      <w:pPr>
        <w:pStyle w:val="ListBullet"/>
      </w:pPr>
      <w:r>
        <w:t>Material de controle</w:t>
      </w:r>
    </w:p>
    <w:p>
      <w:pPr>
        <w:pStyle w:val="Heading2"/>
      </w:pPr>
      <w:r>
        <w:t>Equipamentos</w:t>
      </w:r>
    </w:p>
    <w:p>
      <w:pPr>
        <w:pStyle w:val="ListBullet"/>
      </w:pPr>
      <w:r>
        <w:t>Capela</w:t>
      </w:r>
    </w:p>
    <w:p>
      <w:pPr>
        <w:pStyle w:val="ListBullet"/>
      </w:pPr>
      <w:r>
        <w:t>Bloco a 150 °C</w:t>
      </w:r>
    </w:p>
    <w:p>
      <w:pPr>
        <w:pStyle w:val="ListBullet"/>
      </w:pPr>
      <w:r>
        <w:t>UV-Vis compatível</w:t>
      </w:r>
    </w:p>
    <w:p>
      <w:pPr>
        <w:pStyle w:val="Heading2"/>
      </w:pPr>
      <w:r>
        <w:t>Reagentes e quantidades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cantSplit/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Reagente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Especificação / quantidade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Reagente de DQO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Kit ou formulação aprovada com dicromato/ácido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Padrão/controle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Faixa compatível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Amostra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Preservação e diluição conforme método</w:t>
            </w:r>
          </w:p>
        </w:tc>
      </w:tr>
    </w:tbl>
    <w:p>
      <w:pPr>
        <w:spacing w:after="0"/>
      </w:pPr>
    </w:p>
    <w:p>
      <w:pPr>
        <w:pStyle w:val="Heading1"/>
      </w:pPr>
      <w:r>
        <w:t>4. Preparação antes de iniciar</w:t>
      </w:r>
    </w:p>
    <w:p>
      <w:pPr>
        <w:pStyle w:val="ListBullet"/>
      </w:pPr>
      <w:r>
        <w:t>Montar mapa com branco, curva, controle, duplicata e diluições.</w:t>
      </w:r>
    </w:p>
    <w:p>
      <w:pPr>
        <w:pStyle w:val="ListBullet"/>
      </w:pPr>
      <w:r>
        <w:t>Confirmar que tubos/kit correspondem à faixa esperada e ao bloco/espectrofotômetro.</w:t>
      </w:r>
    </w:p>
    <w:p>
      <w:pPr>
        <w:pStyle w:val="Heading1"/>
      </w:pPr>
      <w:r>
        <w:t>5. Procedimento</w:t>
      </w:r>
    </w:p>
    <w:p>
      <w:pPr>
        <w:pStyle w:val="Heading2"/>
      </w:pPr>
      <w:r>
        <w:t>Digestão e leitura</w:t>
      </w:r>
    </w:p>
    <w:p>
      <w:pPr>
        <w:pStyle w:val="ListNumber"/>
      </w:pPr>
      <w:r>
        <w:t>Homogeneizar a amostra preservada e preparar diluições quando necessário.</w:t>
      </w:r>
    </w:p>
    <w:p>
      <w:pPr>
        <w:pStyle w:val="ListNumber"/>
      </w:pPr>
      <w:r>
        <w:t>Adicionar alíquota aos tubos de branco, padrões, controles e amostras em capela.</w:t>
      </w:r>
    </w:p>
    <w:p>
      <w:pPr>
        <w:pStyle w:val="ListNumber"/>
      </w:pPr>
      <w:r>
        <w:t>Fechar tubos compatíveis, homogeneizar conforme fabricante e digerir a 150 °C por 2 h.</w:t>
      </w:r>
    </w:p>
    <w:p>
      <w:pPr>
        <w:pStyle w:val="ListNumber"/>
      </w:pPr>
      <w:r>
        <w:t>Resfriar completamente em rack protegido sem abrir.</w:t>
      </w:r>
    </w:p>
    <w:p>
      <w:pPr>
        <w:pStyle w:val="ListNumber"/>
      </w:pPr>
      <w:r>
        <w:t>Homogeneizar com cuidado e ler a 600 nm ou no comprimento/faixa do kit validado.</w:t>
      </w:r>
    </w:p>
    <w:p>
      <w:pPr>
        <w:pStyle w:val="ListNumber"/>
      </w:pPr>
      <w:r>
        <w:t>Calcular em mg/L O₂, aplicar diluição e qualificar interferências.</w:t>
      </w:r>
    </w:p>
    <w:p>
      <w:pPr>
        <w:pStyle w:val="Heading1"/>
      </w:pPr>
      <w:r>
        <w:t>6. Controle e critérios de qualidade</w:t>
      </w:r>
    </w:p>
    <w:p>
      <w:pPr>
        <w:pStyle w:val="ListBullet"/>
      </w:pPr>
      <w:r>
        <w:t>Branco, curva, controle, duplicata e fortificada conforme plano.</w:t>
      </w:r>
    </w:p>
    <w:p>
      <w:pPr>
        <w:pStyle w:val="ListBullet"/>
      </w:pPr>
      <w:r>
        <w:t>Não aceitar tubo com vazamento, cor indicativa de sobrecarga ou resultado fora da curva.</w:t>
      </w:r>
    </w:p>
    <w:p>
      <w:pPr>
        <w:pStyle w:val="ListBullet"/>
      </w:pPr>
      <w:r>
        <w:t>Documentar sólidos e cloretos que possam afetar o resultado.</w:t>
      </w:r>
    </w:p>
    <w:p>
      <w:pPr>
        <w:pStyle w:val="Heading1"/>
      </w:pPr>
      <w:r>
        <w:t>7. Identificação, armazenamento e registros</w:t>
      </w:r>
    </w:p>
    <w:p>
      <w:pPr>
        <w:pStyle w:val="ListBullet"/>
      </w:pPr>
      <w:r>
        <w:t>Rotular antes de iniciar a transferência: nome, concentração, solvente/matriz, data, responsável e perigos.</w:t>
      </w:r>
    </w:p>
    <w:p>
      <w:pPr>
        <w:pStyle w:val="ListBullet"/>
      </w:pPr>
      <w:r>
        <w:t>Registrar a preparação ou análise no controle do laboratório e vincular o lote às amostras.</w:t>
      </w:r>
    </w:p>
    <w:p>
      <w:pPr>
        <w:pStyle w:val="ListBullet"/>
      </w:pPr>
      <w:r>
        <w:t>Definir validade e condição de armazenamento somente após aprovação do responsável e consulta à FDS/FISPQ.</w:t>
      </w:r>
    </w:p>
    <w:p>
      <w:pPr>
        <w:pStyle w:val="Heading2"/>
      </w:pPr>
      <w:r>
        <w:t>Registros</w:t>
      </w:r>
    </w:p>
    <w:p>
      <w:pPr>
        <w:pStyle w:val="ListBullet"/>
      </w:pPr>
      <w:r>
        <w:t>Data, horário, nome e assinatura/rubrica de quem executou e de quem supervisionou.</w:t>
      </w:r>
    </w:p>
    <w:p>
      <w:pPr>
        <w:pStyle w:val="ListBullet"/>
      </w:pPr>
      <w:r>
        <w:t>Identificação, fabricante, lote e validade dos reagentes, filtros e padrões utilizados.</w:t>
      </w:r>
    </w:p>
    <w:p>
      <w:pPr>
        <w:pStyle w:val="ListBullet"/>
      </w:pPr>
      <w:r>
        <w:t>Equipamentos utilizados, identificação patrimonial e situação da calibração/verificação.</w:t>
      </w:r>
    </w:p>
    <w:p>
      <w:pPr>
        <w:pStyle w:val="ListBullet"/>
      </w:pPr>
      <w:r>
        <w:t>Cálculos, massas, volumes, pH, temperatura e qualquer desvio ou intercorrência.</w:t>
      </w:r>
    </w:p>
    <w:p>
      <w:pPr>
        <w:pStyle w:val="Heading1"/>
      </w:pPr>
      <w:r>
        <w:t>8. Limpeza e descarte</w:t>
      </w:r>
    </w:p>
    <w:p>
      <w:pPr>
        <w:pStyle w:val="ListBullet"/>
      </w:pPr>
      <w:r>
        <w:t>Segregar resíduos por compatibilidade química; nunca misturar correntes sem autorização.</w:t>
      </w:r>
    </w:p>
    <w:p>
      <w:pPr>
        <w:pStyle w:val="ListBullet"/>
      </w:pPr>
      <w:r>
        <w:t>Identificar o recipiente de resíduo com conteúdo, perigos, data e responsável.</w:t>
      </w:r>
    </w:p>
    <w:p>
      <w:pPr>
        <w:pStyle w:val="ListBullet"/>
      </w:pPr>
      <w:r>
        <w:t>Descontaminar a área e encaminhar resíduos conforme o plano de gerenciamento do LCA/UENF.</w:t>
      </w:r>
    </w:p>
    <w:p>
      <w:pPr>
        <w:pStyle w:val="ListBullet"/>
      </w:pPr>
      <w:r>
        <w:t>Comunicar imediatamente derramamentos, exposição, quebra de vidro ou descarte incorreto ao responsável.</w:t>
      </w:r>
    </w:p>
    <w:p>
      <w:pPr>
        <w:pStyle w:val="ListBullet"/>
      </w:pPr>
      <w:r>
        <w:t>Coletar integralmente tubos e resíduos de DQO como resíduo perigoso com Cr(VI)/metais/ácido.</w:t>
      </w:r>
    </w:p>
    <w:p>
      <w:pPr>
        <w:pStyle w:val="Heading1"/>
      </w:pPr>
      <w:r>
        <w:t>9. Observações para padronização local</w:t>
      </w:r>
    </w:p>
    <w:p>
      <w:pPr>
        <w:pStyle w:val="ListBullet"/>
      </w:pPr>
      <w:r>
        <w:t>Selecionar método/kit, faixa e volume exatos.</w:t>
      </w:r>
    </w:p>
    <w:p>
      <w:pPr>
        <w:pStyle w:val="ListBullet"/>
      </w:pPr>
      <w:r>
        <w:t>Definir curva, critérios de QC, preservação, validade e interferência de cloreto.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87078"/>
        <w:sz w:val="16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87078"/>
        <w:sz w:val="17"/>
      </w:rPr>
      <w:t>LCA · 2-13 · DQO colorimétrica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PTitle">
    <w:name w:val="SOP Title"/>
    <w:pPr>
      <w:spacing w:before="0" w:after="160"/>
    </w:pPr>
    <w:rPr>
      <w:rFonts w:ascii="Calibri" w:hAnsi="Calibri"/>
      <w:b/>
      <w:color w:val="17343B"/>
      <w:sz w:val="44"/>
    </w:rPr>
  </w:style>
  <w:style w:type="paragraph" w:customStyle="1" w:styleId="SOPKicker">
    <w:name w:val="SOP Kicker"/>
    <w:pPr>
      <w:spacing w:before="0" w:after="100"/>
    </w:pPr>
    <w:rPr>
      <w:rFonts w:ascii="Calibri" w:hAnsi="Calibri"/>
      <w:b/>
      <w:color w:val="2E74B5"/>
      <w:sz w:val="18"/>
    </w:rPr>
  </w:style>
  <w:style w:type="paragraph" w:customStyle="1" w:styleId="SOPSubtitle">
    <w:name w:val="SOP Subtitle"/>
    <w:pPr>
      <w:spacing w:before="0" w:after="200"/>
    </w:pPr>
    <w:rPr>
      <w:rFonts w:ascii="Calibri" w:hAnsi="Calibri"/>
      <w:b w:val="0"/>
      <w:color w:val="587078"/>
      <w:sz w:val="22"/>
    </w:rPr>
  </w:style>
  <w:style w:type="paragraph" w:customStyle="1" w:styleId="SOPSmall">
    <w:name w:val="SOP Small"/>
    <w:pPr>
      <w:spacing w:before="40" w:after="40"/>
    </w:pPr>
    <w:rPr>
      <w:rFonts w:ascii="Calibri" w:hAnsi="Calibri"/>
      <w:b w:val="0"/>
      <w:color w:val="5870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Demanda química de oxigênio (DQO) — método colorimétrico</dc:title>
  <dc:subject>2-13 — Metodologias</dc:subject>
  <dc:creator>Laboratório de Ciências Ambientais — UENF</dc:creator>
  <cp:keywords/>
  <dc:description>Documento do Laboratório de Ciências Ambientais — UENF.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