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Demanda bioquímica de oxigênio em 5 dias (DBO₅)</w:t>
      </w:r>
    </w:p>
    <w:p>
      <w:pPr>
        <w:pStyle w:val="SOPSubtitle"/>
      </w:pPr>
      <w:r>
        <w:t>Incubação no escuro a 20 °C e consumo de oxigênio dissolvido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2-14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Bancada de preparo e incubadora de DBO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diluição, inoculação quando necessária, medição de OD inicial/final, incubação e cálculo de DBO₅.</w:t>
      </w:r>
    </w:p>
    <w:p>
      <w:r>
        <w:t>O método é um bioensaio empírico. Diluições, semente e inibição de nitrificação devem ser definidos para cada matriz.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Tratar amostras ambientais/efluentes como potencialmente biológicas e químicas.</w:t>
      </w:r>
    </w:p>
    <w:p>
      <w:r>
        <w:t>Reagentes de fixação Winkler, se usados, exigem protocolo e FDS específicos.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Evitar bolhas e espaço de cabeça. Frascos devem incubar completamente cheios, no escuro, a 20 °C; qualquer perda/entrada de oxigênio invalida a interpretação.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Frascos de DBO com rolha esmerilhada</w:t>
      </w:r>
    </w:p>
    <w:p>
      <w:pPr>
        <w:pStyle w:val="ListBullet"/>
      </w:pPr>
      <w:r>
        <w:t>Balões/provetas e pipetas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Água de diluição</w:t>
      </w:r>
    </w:p>
    <w:p>
      <w:pPr>
        <w:pStyle w:val="ListBullet"/>
      </w:pPr>
      <w:r>
        <w:t>Semente e inibidor quando previstos</w:t>
      </w:r>
    </w:p>
    <w:p>
      <w:pPr>
        <w:pStyle w:val="ListBullet"/>
      </w:pPr>
      <w:r>
        <w:t>Controle GGA</w:t>
      </w:r>
    </w:p>
    <w:p>
      <w:pPr>
        <w:pStyle w:val="Heading2"/>
      </w:pPr>
      <w:r>
        <w:t>Equipamentos</w:t>
      </w:r>
    </w:p>
    <w:p>
      <w:pPr>
        <w:pStyle w:val="ListBullet"/>
      </w:pPr>
      <w:r>
        <w:t>Incubadora 20 ± 1 °C escura</w:t>
      </w:r>
    </w:p>
    <w:p>
      <w:pPr>
        <w:pStyle w:val="ListBullet"/>
      </w:pPr>
      <w:r>
        <w:t>Medidor de OD ou titulação aprovada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Analisar o mais cedo possível, conforme método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de diluição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Com nutrientes e semente quando aplicável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Controle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Glicose–ácido glutâmico ou equivalente aprovado</w:t>
            </w:r>
          </w:p>
        </w:tc>
      </w:tr>
    </w:tbl>
    <w:p>
      <w:pPr>
        <w:spacing w:after="0"/>
      </w:pPr>
    </w:p>
    <w:p>
      <w:pPr>
        <w:pStyle w:val="Heading1"/>
      </w:pPr>
      <w:r>
        <w:t>4. Preparação antes de iniciar</w:t>
      </w:r>
    </w:p>
    <w:p>
      <w:pPr>
        <w:pStyle w:val="ListBullet"/>
      </w:pPr>
      <w:r>
        <w:t>Estimar diluições para obter consumo mensurável e OD residual suficiente.</w:t>
      </w:r>
    </w:p>
    <w:p>
      <w:pPr>
        <w:pStyle w:val="ListBullet"/>
      </w:pPr>
      <w:r>
        <w:t>Preparar branco de diluição, controle de glicose/ácido glutâmico e semente quando aplicável.</w:t>
      </w:r>
    </w:p>
    <w:p>
      <w:pPr>
        <w:pStyle w:val="Heading1"/>
      </w:pPr>
      <w:r>
        <w:t>5. Procedimento</w:t>
      </w:r>
    </w:p>
    <w:p>
      <w:pPr>
        <w:pStyle w:val="Heading2"/>
      </w:pPr>
      <w:r>
        <w:t>Ensaio</w:t>
      </w:r>
    </w:p>
    <w:p>
      <w:pPr>
        <w:pStyle w:val="ListNumber"/>
      </w:pPr>
      <w:r>
        <w:t>Preparar água de diluição, branco, controle e série de diluições.</w:t>
      </w:r>
    </w:p>
    <w:p>
      <w:pPr>
        <w:pStyle w:val="ListNumber"/>
      </w:pPr>
      <w:r>
        <w:t>Encher frascos sem bolhas, medir OD inicial e vedar.</w:t>
      </w:r>
    </w:p>
    <w:p>
      <w:pPr>
        <w:pStyle w:val="ListNumber"/>
      </w:pPr>
      <w:r>
        <w:t>Incubar 5 dias a 20 °C, no escuro.</w:t>
      </w:r>
    </w:p>
    <w:p>
      <w:pPr>
        <w:pStyle w:val="ListNumber"/>
      </w:pPr>
      <w:r>
        <w:t>Medir OD final sem introduzir ar e selecionar diluições válidas.</w:t>
      </w:r>
    </w:p>
    <w:p>
      <w:pPr>
        <w:pStyle w:val="ListNumber"/>
      </w:pPr>
      <w:r>
        <w:t>Calcular DBO₅ considerando diluição e correção da semente; reportar em mg/L O₂.</w:t>
      </w:r>
    </w:p>
    <w:p>
      <w:pPr>
        <w:pStyle w:val="Heading1"/>
      </w:pPr>
      <w:r>
        <w:t>6. Controle e critérios de qualidade</w:t>
      </w:r>
    </w:p>
    <w:p>
      <w:pPr>
        <w:pStyle w:val="ListBullet"/>
      </w:pPr>
      <w:r>
        <w:t>Como referência, selecionar frascos com depleção ≥2 mg/L e OD residual ≥1 mg/L, sujeito ao método aprovado.</w:t>
      </w:r>
    </w:p>
    <w:p>
      <w:pPr>
        <w:pStyle w:val="ListBullet"/>
      </w:pPr>
      <w:r>
        <w:t>Branco de diluição e controle GGA dentro dos limites.</w:t>
      </w:r>
    </w:p>
    <w:p>
      <w:pPr>
        <w:pStyle w:val="ListBullet"/>
      </w:pPr>
      <w:r>
        <w:t>Temperatura e tempo de incubação registrados continuamente.</w:t>
      </w:r>
    </w:p>
    <w:p>
      <w:pPr>
        <w:pStyle w:val="Heading1"/>
      </w:pPr>
      <w:r>
        <w:t>7.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8.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9. Observações para padronização local</w:t>
      </w:r>
    </w:p>
    <w:p>
      <w:pPr>
        <w:pStyle w:val="ListBullet"/>
      </w:pPr>
      <w:r>
        <w:t>Definir volumes dos frascos disponíveis (inventário registra 200 mL) e validar o cálculo.</w:t>
      </w:r>
    </w:p>
    <w:p>
      <w:pPr>
        <w:pStyle w:val="ListBullet"/>
      </w:pPr>
      <w:r>
        <w:t>Definir método de OD, semente, inibidor, diluições e critérios de QC.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2-14 · DBO₅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bioquímica de oxigênio em 5 dias (DBO₅)</dc:title>
  <dc:subject>2-14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