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Fósforo total e ortofosfato por colorimetria</w:t>
      </w:r>
    </w:p>
    <w:p>
      <w:pPr>
        <w:pStyle w:val="SOPSubtitle"/>
      </w:pPr>
      <w:r>
        <w:t>Digestão com persulfato e complexo molibdato–antimônio–ascórbico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Capela, digestão e UV-Vis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diferenciação de frações, digestão quando necessária, desenvolvimento de cor e quantificação de fósforo em águas.</w:t>
      </w:r>
    </w:p>
    <w:p>
      <w:r>
        <w:t>A forma reportada depende de filtração e digestão. O plano deve declarar fósforo total, dissolvido ou ortofosfato reativo e a unidade como P.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Ácido sulfúrico e persulfato são corrosivo/oxidante; trabalhar em capela.</w:t>
      </w:r>
    </w:p>
    <w:p>
      <w:r>
        <w:t>Tartarato de antimônio e resíduos de reação devem ser segregados como resíduo com metal.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Não misturar resultados de frações diferentes. Filtração a 0,45 µm e digestão alteram a definição operacional do analito.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Erlenmeyers/tubos de digestão</w:t>
      </w:r>
    </w:p>
    <w:p>
      <w:pPr>
        <w:pStyle w:val="ListBullet"/>
      </w:pPr>
      <w:r>
        <w:t>Balões e pipetas</w:t>
      </w:r>
    </w:p>
    <w:p>
      <w:pPr>
        <w:pStyle w:val="ListBullet"/>
      </w:pPr>
      <w:r>
        <w:t>Cubetas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Filtros 0,45 µm quando dissolvido</w:t>
      </w:r>
    </w:p>
    <w:p>
      <w:pPr>
        <w:pStyle w:val="ListBullet"/>
      </w:pPr>
      <w:r>
        <w:t>Material de referência/controle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</w:t>
      </w:r>
    </w:p>
    <w:p>
      <w:pPr>
        <w:pStyle w:val="ListBullet"/>
      </w:pPr>
      <w:r>
        <w:t>Bloco/chapa/autoclave aprovado</w:t>
      </w:r>
    </w:p>
    <w:p>
      <w:pPr>
        <w:pStyle w:val="ListBullet"/>
      </w:pPr>
      <w:r>
        <w:t>UV-Vis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Persulfato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Digestão de fósforo total/dissolvido conforme método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Molibdato, tartarato de antimônio e ácido ascórbico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Reagentes de cor aprovados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Padrões de fosfato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Curva rastreável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Preparação antes de iniciar</w:t>
      </w:r>
    </w:p>
    <w:p>
      <w:pPr>
        <w:pStyle w:val="ListBullet"/>
      </w:pPr>
      <w:r>
        <w:t>Definir fração analítica e preparar curva, branco, controle e fortificada.</w:t>
      </w:r>
    </w:p>
    <w:p>
      <w:pPr>
        <w:pStyle w:val="ListBullet"/>
      </w:pPr>
      <w:r>
        <w:t>Descontaminar vidraria para fósforo e evitar detergentes fosfatados.</w:t>
      </w:r>
    </w:p>
    <w:p>
      <w:pPr>
        <w:pStyle w:val="Heading1"/>
      </w:pPr>
      <w:r>
        <w:t>5. Procedimento</w:t>
      </w:r>
    </w:p>
    <w:p>
      <w:pPr>
        <w:pStyle w:val="Heading2"/>
      </w:pPr>
      <w:r>
        <w:t>Definição e preparo</w:t>
      </w:r>
    </w:p>
    <w:p>
      <w:pPr>
        <w:pStyle w:val="ListNumber"/>
      </w:pPr>
      <w:r>
        <w:t>Separar alíquota não filtrada para total e filtrada a 0,45 µm para dissolvido/ortofosfato, conforme plano.</w:t>
      </w:r>
    </w:p>
    <w:p>
      <w:pPr>
        <w:pStyle w:val="ListNumber"/>
      </w:pPr>
      <w:r>
        <w:t>Para fósforo total/dissolvido, digerir com ácido/persulfato pelo método aprovado; não levar à secura.</w:t>
      </w:r>
    </w:p>
    <w:p>
      <w:pPr>
        <w:pStyle w:val="ListNumber"/>
      </w:pPr>
      <w:r>
        <w:t>Resfriar, ajustar volume e pH quando previsto.</w:t>
      </w:r>
    </w:p>
    <w:p>
      <w:pPr>
        <w:pStyle w:val="Heading2"/>
      </w:pPr>
      <w:r>
        <w:t>Colorimetria</w:t>
      </w:r>
    </w:p>
    <w:p>
      <w:pPr>
        <w:pStyle w:val="ListNumber"/>
      </w:pPr>
      <w:r>
        <w:t>Preparar branco, curva e controles na mesma matriz.</w:t>
      </w:r>
    </w:p>
    <w:p>
      <w:pPr>
        <w:pStyle w:val="ListNumber"/>
      </w:pPr>
      <w:r>
        <w:t>Adicionar reagentes de molibdato–antimônio–ascórbico na ordem e volumes aprovados.</w:t>
      </w:r>
    </w:p>
    <w:p>
      <w:pPr>
        <w:pStyle w:val="ListNumber"/>
      </w:pPr>
      <w:r>
        <w:t>Aguardar o tempo de cor e ler no comprimento de onda do método.</w:t>
      </w:r>
    </w:p>
    <w:p>
      <w:pPr>
        <w:pStyle w:val="ListNumber"/>
      </w:pPr>
      <w:r>
        <w:t>Aceitar a curva/controles, aplicar diluições e reportar mg/L como P.</w:t>
      </w:r>
    </w:p>
    <w:p>
      <w:pPr>
        <w:pStyle w:val="Heading1"/>
      </w:pPr>
      <w:r>
        <w:t>6. Controle e critérios de qualidade</w:t>
      </w:r>
    </w:p>
    <w:p>
      <w:pPr>
        <w:pStyle w:val="ListBullet"/>
      </w:pPr>
      <w:r>
        <w:t>Branco, curva, controle, duplicata e fortificada dentro dos limites.</w:t>
      </w:r>
    </w:p>
    <w:p>
      <w:pPr>
        <w:pStyle w:val="ListBullet"/>
      </w:pPr>
      <w:r>
        <w:t>Curva e tempo de desenvolvimento documentados.</w:t>
      </w:r>
    </w:p>
    <w:p>
      <w:pPr>
        <w:pStyle w:val="ListBullet"/>
      </w:pPr>
      <w:r>
        <w:t>Qualificar cor, turbidez, sílica, arsenato, nitrito ou sulfeto quando interferentes.</w:t>
      </w:r>
    </w:p>
    <w:p>
      <w:pPr>
        <w:pStyle w:val="Heading1"/>
      </w:pPr>
      <w:r>
        <w:t>7.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8.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ListBullet"/>
      </w:pPr>
      <w:r>
        <w:t>Segregar resíduos com antimônio, ácido e oxidante.</w:t>
      </w:r>
    </w:p>
    <w:p>
      <w:pPr>
        <w:pStyle w:val="Heading1"/>
      </w:pPr>
      <w:r>
        <w:t>9. Observações para padronização local</w:t>
      </w:r>
    </w:p>
    <w:p>
      <w:pPr>
        <w:pStyle w:val="ListBullet"/>
      </w:pPr>
      <w:r>
        <w:t>Definir método manual/automatizado, volumes, λ, faixa e prazos.</w:t>
      </w:r>
    </w:p>
    <w:p>
      <w:pPr>
        <w:pStyle w:val="ListBullet"/>
      </w:pPr>
      <w:r>
        <w:t>Definir limpeza de vidraria e critérios de curva/recuperação.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2-15 · Fósforo/ortofosfato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Fósforo total e ortofosfato por colorimetria</dc:title>
  <dc:subject>2-15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