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Oxigênio dissolvido pelo método de Winkler</w:t>
      </w:r>
    </w:p>
    <w:p>
      <w:pPr>
        <w:pStyle w:val="SOPSubtitle"/>
      </w:pPr>
      <w:r>
        <w:t>Coleta sem bolhas, fixação e titulação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2-16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Campo e bancada de titulação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coleta, fixação, armazenamento curto e titulação de oxigênio dissolvido por Winkler modificado.</w:t>
      </w:r>
    </w:p>
    <w:p>
      <w:r>
        <w:t>Volumes e fatores dependem do tamanho real do frasco e da normalidade do tiossulfato; devem ser validados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Soluções alcalinas/iodeto-azida, ácido e fixadores exigem óculos e capela no preparo.</w:t>
      </w:r>
    </w:p>
    <w:p>
      <w:r>
        <w:t>Azida e iodo exigem controle de incompatibilidades e descarte específico.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Uma única bolha pode alterar o resultado. Encher até transbordar, inspecionar o frasco e repetir a coleta se houver ar aprisionado.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Frasco de DBO calibrado com rolha</w:t>
      </w:r>
    </w:p>
    <w:p>
      <w:pPr>
        <w:pStyle w:val="ListBullet"/>
      </w:pPr>
      <w:r>
        <w:t>Bureta ou titulador</w:t>
      </w:r>
    </w:p>
    <w:p>
      <w:pPr>
        <w:pStyle w:val="ListBullet"/>
      </w:pPr>
      <w:r>
        <w:t>Erlenmeyer e pipetas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Coletor adequado à profundidade</w:t>
      </w:r>
    </w:p>
    <w:p>
      <w:pPr>
        <w:pStyle w:val="ListBullet"/>
      </w:pPr>
      <w:r>
        <w:t>Planilha de campo</w:t>
      </w:r>
    </w:p>
    <w:p>
      <w:pPr>
        <w:pStyle w:val="Heading2"/>
      </w:pPr>
      <w:r>
        <w:t>Equipamentos</w:t>
      </w:r>
    </w:p>
    <w:p>
      <w:pPr>
        <w:pStyle w:val="ListBullet"/>
      </w:pPr>
      <w:r>
        <w:t>Termômetro</w:t>
      </w:r>
    </w:p>
    <w:p>
      <w:pPr>
        <w:pStyle w:val="ListBullet"/>
      </w:pPr>
      <w:r>
        <w:t>Bureta/titulador verificado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Sulfato/cloreto manganoso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Solução aprovada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Iodeto alcalino-azida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Solução aprovada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Ácido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Para dissolução do precipitado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Tiossulfato e amido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Padronizado e indicador</w:t>
            </w:r>
          </w:p>
        </w:tc>
      </w:tr>
    </w:tbl>
    <w:p>
      <w:pPr>
        <w:spacing w:after="0"/>
      </w:pPr>
    </w:p>
    <w:p>
      <w:pPr>
        <w:pStyle w:val="Heading1"/>
      </w:pPr>
      <w:r>
        <w:t>4. Preparação antes de iniciar</w:t>
      </w:r>
    </w:p>
    <w:p>
      <w:pPr>
        <w:pStyle w:val="ListBullet"/>
      </w:pPr>
      <w:r>
        <w:t>Confirmar volume calibrado de cada frasco de DBO.</w:t>
      </w:r>
    </w:p>
    <w:p>
      <w:pPr>
        <w:pStyle w:val="ListBullet"/>
      </w:pPr>
      <w:r>
        <w:t>Padronizar tiossulfato e preparar branco/duplicata antes do campo.</w:t>
      </w:r>
    </w:p>
    <w:p>
      <w:pPr>
        <w:pStyle w:val="Heading1"/>
      </w:pPr>
      <w:r>
        <w:t>5. Procedimento</w:t>
      </w:r>
    </w:p>
    <w:p>
      <w:pPr>
        <w:pStyle w:val="Heading2"/>
      </w:pPr>
      <w:r>
        <w:t>Coleta e fixação</w:t>
      </w:r>
    </w:p>
    <w:p>
      <w:pPr>
        <w:pStyle w:val="ListNumber"/>
      </w:pPr>
      <w:r>
        <w:t>Coletar sem turbulência e encher o frasco por transbordamento, sem bolhas.</w:t>
      </w:r>
    </w:p>
    <w:p>
      <w:pPr>
        <w:pStyle w:val="ListNumber"/>
      </w:pPr>
      <w:r>
        <w:t>Adicionar reagentes de fixação abaixo da superfície conforme método, fechar e homogeneizar.</w:t>
      </w:r>
    </w:p>
    <w:p>
      <w:pPr>
        <w:pStyle w:val="ListNumber"/>
      </w:pPr>
      <w:r>
        <w:t>Aguardar precipitação, adicionar ácido e dissolver completamente; manter no escuro e registrar tempos.</w:t>
      </w:r>
    </w:p>
    <w:p>
      <w:pPr>
        <w:pStyle w:val="Heading2"/>
      </w:pPr>
      <w:r>
        <w:t>Titulação</w:t>
      </w:r>
    </w:p>
    <w:p>
      <w:pPr>
        <w:pStyle w:val="ListNumber"/>
      </w:pPr>
      <w:r>
        <w:t>Transferir alíquota/frasco conforme método e titular com tiossulfato.</w:t>
      </w:r>
    </w:p>
    <w:p>
      <w:pPr>
        <w:pStyle w:val="ListNumber"/>
      </w:pPr>
      <w:r>
        <w:t>Adicionar amido próximo ao ponto final e continuar até desaparecimento da cor.</w:t>
      </w:r>
    </w:p>
    <w:p>
      <w:pPr>
        <w:pStyle w:val="ListNumber"/>
      </w:pPr>
      <w:r>
        <w:t>Calcular OD em mg/L usando volume real do frasco, branco e normalidade padronizada.</w:t>
      </w:r>
    </w:p>
    <w:p>
      <w:pPr>
        <w:pStyle w:val="Heading1"/>
      </w:pPr>
      <w:r>
        <w:t>6. Controle e critérios de qualidade</w:t>
      </w:r>
    </w:p>
    <w:p>
      <w:pPr>
        <w:pStyle w:val="ListBullet"/>
      </w:pPr>
      <w:r>
        <w:t>Duplicatas e branco conforme plano; tiossulfato padronizado.</w:t>
      </w:r>
    </w:p>
    <w:p>
      <w:pPr>
        <w:pStyle w:val="ListBullet"/>
      </w:pPr>
      <w:r>
        <w:t>Sem bolhas; precipitado totalmente dissolvido.</w:t>
      </w:r>
    </w:p>
    <w:p>
      <w:pPr>
        <w:pStyle w:val="ListBullet"/>
      </w:pPr>
      <w:r>
        <w:t>Analisar o mais cedo possível e dentro do prazo aprovado, registrando tempos.</w:t>
      </w:r>
    </w:p>
    <w:p>
      <w:pPr>
        <w:pStyle w:val="Heading1"/>
      </w:pPr>
      <w:r>
        <w:t>7.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8.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ListBullet"/>
      </w:pPr>
      <w:r>
        <w:t>Segregar resíduos contendo azida/iodo/manganês conforme avaliação.</w:t>
      </w:r>
    </w:p>
    <w:p>
      <w:pPr>
        <w:pStyle w:val="Heading1"/>
      </w:pPr>
      <w:r>
        <w:t>9. Observações para padronização local</w:t>
      </w:r>
    </w:p>
    <w:p>
      <w:pPr>
        <w:pStyle w:val="ListBullet"/>
      </w:pPr>
      <w:r>
        <w:t>Definir formulações, volumes, normalidade e cálculo para frascos de 200 mL.</w:t>
      </w:r>
    </w:p>
    <w:p>
      <w:pPr>
        <w:pStyle w:val="ListBullet"/>
      </w:pPr>
      <w:r>
        <w:t>Definir prazo máximo e critérios de duplicata/padronização.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2-16 · OD — Winkler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Oxigênio dissolvido pelo método de Winkler</dc:title>
  <dc:subject>2-16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