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right"/>
      </w:pPr>
      <w:r>
        <w:drawing>
          <wp:inline xmlns:a="http://schemas.openxmlformats.org/drawingml/2006/main" xmlns:pic="http://schemas.openxmlformats.org/drawingml/2006/picture">
            <wp:extent cx="1051560" cy="536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GPBEA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536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OPKicker"/>
      </w:pPr>
      <w:r>
        <w:t>PROTOCOLO DO LABORATÓRIO</w:t>
      </w:r>
    </w:p>
    <w:p>
      <w:pPr>
        <w:pStyle w:val="SOPTitle"/>
      </w:pPr>
      <w:r>
        <w:t>Metais totais recuperáveis em água</w:t>
      </w:r>
    </w:p>
    <w:p>
      <w:pPr>
        <w:pStyle w:val="SOPSubtitle"/>
      </w:pPr>
      <w:r>
        <w:t>Revisão padronizada do protocolo existente · LCA/UENF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Código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2-4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Categoria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Metodologias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Local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Capela e MARS 5</w:t>
            </w:r>
          </w:p>
        </w:tc>
      </w:tr>
    </w:tbl>
    <w:p>
      <w:pPr>
        <w:spacing w:after="0"/>
      </w:pPr>
    </w:p>
    <w:p>
      <w:pPr>
        <w:pStyle w:val="Heading1"/>
      </w:pPr>
      <w:r>
        <w:t>1. Objetivo</w:t>
      </w:r>
    </w:p>
    <w:p>
      <w:r>
        <w:t>Padronizar homogeneização, acidificação, digestão assistida por micro-ondas e preparo de água não filtrada para metais totais recuperáveis.</w:t>
      </w:r>
    </w:p>
    <w:p>
      <w:r>
        <w:t>Parâmetros recuperados do protocolo anterior e reorganizados neste documento; validar com o método instrumental e o sistema de qualidade antes do uso.</w:t>
      </w:r>
    </w:p>
    <w:p>
      <w:pPr>
        <w:pStyle w:val="Heading1"/>
      </w:pPr>
      <w:r>
        <w:t>2. Cuidados e segurança</w:t>
      </w:r>
    </w:p>
    <w:p>
      <w:r>
        <w:t>Realizar somente após treinamento específico e com técnico ou professor responsável disponível e ciente da atividade.</w:t>
      </w:r>
    </w:p>
    <w:p>
      <w:r>
        <w:t>Em qualquer dúvida, pare, mantenha o sistema em condição segura e pergunte ao técnico ou professor responsável.</w:t>
      </w:r>
    </w:p>
    <w:p>
      <w:r>
        <w:t>Nunca improvisar, executar etapa não prevista, alterar concentração/volume ou trabalhar sem a supervisão definida.</w:t>
      </w:r>
    </w:p>
    <w:p>
      <w:r>
        <w:t>Usar jaleco fechado, calça comprida, sapato fechado, óculos de segurança e luvas compatíveis com a FDS/FISPQ.</w:t>
      </w:r>
    </w:p>
    <w:p>
      <w:r>
        <w:t>HNO₃ concentrado deve ser adicionado em capela.</w:t>
      </w:r>
    </w:p>
    <w:p>
      <w:r>
        <w:t>Amostra não filtrada pode reagir/gerar pressão; respeitar a carga do vaso.</w:t>
      </w:r>
    </w:p>
    <w:p>
      <w:r>
        <w:rPr>
          <w:rFonts w:ascii="Calibri" w:hAnsi="Calibri"/>
          <w:b/>
          <w:color w:val="9B1C1C"/>
          <w:sz w:val="22"/>
        </w:rPr>
        <w:t xml:space="preserve">Cuidado específico: </w:t>
      </w:r>
      <w:r>
        <w:t>A amostra é digerida sem filtração. Não confundir o resultado com metais dissolvidos.</w:t>
      </w:r>
    </w:p>
    <w:p>
      <w:pPr>
        <w:pStyle w:val="Heading1"/>
      </w:pPr>
      <w:r>
        <w:t>3. Materiais, reagentes e equipamentos</w:t>
      </w:r>
    </w:p>
    <w:p>
      <w:pPr>
        <w:pStyle w:val="Heading2"/>
      </w:pPr>
      <w:r>
        <w:t>Vidrarias e recipientes</w:t>
      </w:r>
    </w:p>
    <w:p>
      <w:pPr>
        <w:pStyle w:val="ListBullet"/>
      </w:pPr>
      <w:r>
        <w:t>Vasos de PTFE</w:t>
      </w:r>
    </w:p>
    <w:p>
      <w:pPr>
        <w:pStyle w:val="ListBullet"/>
      </w:pPr>
      <w:r>
        <w:t>Provetas plásticas de 25 mL</w:t>
      </w:r>
    </w:p>
    <w:p>
      <w:pPr>
        <w:pStyle w:val="ListBullet"/>
      </w:pPr>
      <w:r>
        <w:t>Frascos acidolavados</w:t>
      </w:r>
    </w:p>
    <w:p>
      <w:pPr>
        <w:pStyle w:val="Heading2"/>
      </w:pPr>
      <w:r>
        <w:t>Materiais auxiliares</w:t>
      </w:r>
    </w:p>
    <w:p>
      <w:pPr>
        <w:pStyle w:val="ListBullet"/>
      </w:pPr>
      <w:r>
        <w:t>Brancos, duplicatas e controles</w:t>
      </w:r>
    </w:p>
    <w:p>
      <w:pPr>
        <w:pStyle w:val="Heading2"/>
      </w:pPr>
      <w:r>
        <w:t>Equipamentos</w:t>
      </w:r>
    </w:p>
    <w:p>
      <w:pPr>
        <w:pStyle w:val="ListBullet"/>
      </w:pPr>
      <w:r>
        <w:t>MARS 5</w:t>
      </w:r>
    </w:p>
    <w:p>
      <w:pPr>
        <w:pStyle w:val="ListBullet"/>
      </w:pPr>
      <w:r>
        <w:t>Capela</w:t>
      </w:r>
    </w:p>
    <w:p>
      <w:pPr>
        <w:pStyle w:val="Heading2"/>
      </w:pPr>
      <w:r>
        <w:t>Reagentes e quantidades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cantSplit/>
          <w:tblHeader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Reagente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Especificação / quantidade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Amostra homogeneizada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22,5 mL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HNO₃ 65%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2,5 mL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Água ultrapura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Completar para 25 mL</w:t>
            </w:r>
          </w:p>
        </w:tc>
      </w:tr>
    </w:tbl>
    <w:p>
      <w:pPr>
        <w:spacing w:after="0"/>
      </w:pPr>
    </w:p>
    <w:p>
      <w:pPr>
        <w:pStyle w:val="Heading1"/>
      </w:pPr>
      <w:r>
        <w:t>4. Procedimento</w:t>
      </w:r>
    </w:p>
    <w:p>
      <w:pPr>
        <w:pStyle w:val="Heading2"/>
      </w:pPr>
      <w:r>
        <w:t>Digestão</w:t>
      </w:r>
    </w:p>
    <w:p>
      <w:pPr>
        <w:pStyle w:val="ListNumber"/>
      </w:pPr>
      <w:r>
        <w:t>Homogeneizar sem filtrar e transferir 22,5 mL ao vaso.</w:t>
      </w:r>
    </w:p>
    <w:p>
      <w:pPr>
        <w:pStyle w:val="ListNumber"/>
      </w:pPr>
      <w:r>
        <w:t>Adicionar 2,5 mL de HNO₃ lentamente em capela.</w:t>
      </w:r>
    </w:p>
    <w:p>
      <w:pPr>
        <w:pStyle w:val="ListNumber"/>
      </w:pPr>
      <w:r>
        <w:t>Executar programa validado no MARS 5, resfriar e despressurizar.</w:t>
      </w:r>
    </w:p>
    <w:p>
      <w:pPr>
        <w:pStyle w:val="ListNumber"/>
      </w:pPr>
      <w:r>
        <w:t>Completar para 25 mL; filtrar somente se o método instrumental permitir e registrar.</w:t>
      </w:r>
    </w:p>
    <w:p>
      <w:pPr>
        <w:pStyle w:val="Heading1"/>
      </w:pPr>
      <w:r>
        <w:t>5. Controle e critérios de qualidade</w:t>
      </w:r>
    </w:p>
    <w:p>
      <w:pPr>
        <w:pStyle w:val="ListBullet"/>
      </w:pPr>
      <w:r>
        <w:t>Branco, duplicata, fortificada e controle por lote.</w:t>
      </w:r>
    </w:p>
    <w:p>
      <w:pPr>
        <w:pStyle w:val="ListBullet"/>
      </w:pPr>
      <w:r>
        <w:t>Qualificar perda, material insolúvel e contaminação.</w:t>
      </w:r>
    </w:p>
    <w:p>
      <w:pPr>
        <w:pStyle w:val="Heading1"/>
      </w:pPr>
      <w:r>
        <w:t>6. Identificação, armazenamento e registros</w:t>
      </w:r>
    </w:p>
    <w:p>
      <w:pPr>
        <w:pStyle w:val="ListBullet"/>
      </w:pPr>
      <w:r>
        <w:t>Rotular antes de iniciar a transferência: nome, concentração, solvente/matriz, data, responsável e perigos.</w:t>
      </w:r>
    </w:p>
    <w:p>
      <w:pPr>
        <w:pStyle w:val="ListBullet"/>
      </w:pPr>
      <w:r>
        <w:t>Registrar a preparação ou análise no controle do laboratório e vincular o lote às amostras.</w:t>
      </w:r>
    </w:p>
    <w:p>
      <w:pPr>
        <w:pStyle w:val="ListBullet"/>
      </w:pPr>
      <w:r>
        <w:t>Definir validade e condição de armazenamento somente após aprovação do responsável e consulta à FDS/FISPQ.</w:t>
      </w:r>
    </w:p>
    <w:p>
      <w:pPr>
        <w:pStyle w:val="Heading2"/>
      </w:pPr>
      <w:r>
        <w:t>Registros</w:t>
      </w:r>
    </w:p>
    <w:p>
      <w:pPr>
        <w:pStyle w:val="ListBullet"/>
      </w:pPr>
      <w:r>
        <w:t>Data, horário, nome e assinatura/rubrica de quem executou e de quem supervisionou.</w:t>
      </w:r>
    </w:p>
    <w:p>
      <w:pPr>
        <w:pStyle w:val="ListBullet"/>
      </w:pPr>
      <w:r>
        <w:t>Identificação, fabricante, lote e validade dos reagentes, filtros e padrões utilizados.</w:t>
      </w:r>
    </w:p>
    <w:p>
      <w:pPr>
        <w:pStyle w:val="ListBullet"/>
      </w:pPr>
      <w:r>
        <w:t>Equipamentos utilizados, identificação patrimonial e situação da calibração/verificação.</w:t>
      </w:r>
    </w:p>
    <w:p>
      <w:pPr>
        <w:pStyle w:val="ListBullet"/>
      </w:pPr>
      <w:r>
        <w:t>Cálculos, massas, volumes, pH, temperatura e qualquer desvio ou intercorrência.</w:t>
      </w:r>
    </w:p>
    <w:p>
      <w:pPr>
        <w:pStyle w:val="Heading1"/>
      </w:pPr>
      <w:r>
        <w:t>7. Limpeza e descarte</w:t>
      </w:r>
    </w:p>
    <w:p>
      <w:pPr>
        <w:pStyle w:val="ListBullet"/>
      </w:pPr>
      <w:r>
        <w:t>Segregar resíduos por compatibilidade química; nunca misturar correntes sem autorização.</w:t>
      </w:r>
    </w:p>
    <w:p>
      <w:pPr>
        <w:pStyle w:val="ListBullet"/>
      </w:pPr>
      <w:r>
        <w:t>Identificar o recipiente de resíduo com conteúdo, perigos, data e responsável.</w:t>
      </w:r>
    </w:p>
    <w:p>
      <w:pPr>
        <w:pStyle w:val="ListBullet"/>
      </w:pPr>
      <w:r>
        <w:t>Descontaminar a área e encaminhar resíduos conforme o plano de gerenciamento do LCA/UENF.</w:t>
      </w:r>
    </w:p>
    <w:p>
      <w:pPr>
        <w:pStyle w:val="ListBullet"/>
      </w:pPr>
      <w:r>
        <w:t>Comunicar imediatamente derramamentos, exposição, quebra de vidro ou descarte incorreto ao responsável.</w:t>
      </w:r>
    </w:p>
    <w:p>
      <w:pPr>
        <w:pStyle w:val="Heading1"/>
      </w:pPr>
      <w:r>
        <w:t>8. Observações para padronização local</w:t>
      </w:r>
    </w:p>
    <w:p>
      <w:pPr>
        <w:pStyle w:val="ListBullet"/>
      </w:pPr>
      <w:r>
        <w:t>Confirmar designação ‘total recuperável’, programa e critério de filtração pós-digestão.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87078"/>
        <w:sz w:val="16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87078"/>
        <w:sz w:val="17"/>
      </w:rPr>
      <w:t>LCA · 2-4 · Metais totais em água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PTitle">
    <w:name w:val="SOP Title"/>
    <w:pPr>
      <w:spacing w:before="0" w:after="160"/>
    </w:pPr>
    <w:rPr>
      <w:rFonts w:ascii="Calibri" w:hAnsi="Calibri"/>
      <w:b/>
      <w:color w:val="17343B"/>
      <w:sz w:val="44"/>
    </w:rPr>
  </w:style>
  <w:style w:type="paragraph" w:customStyle="1" w:styleId="SOPKicker">
    <w:name w:val="SOP Kicker"/>
    <w:pPr>
      <w:spacing w:before="0" w:after="100"/>
    </w:pPr>
    <w:rPr>
      <w:rFonts w:ascii="Calibri" w:hAnsi="Calibri"/>
      <w:b/>
      <w:color w:val="2E74B5"/>
      <w:sz w:val="18"/>
    </w:rPr>
  </w:style>
  <w:style w:type="paragraph" w:customStyle="1" w:styleId="SOPSubtitle">
    <w:name w:val="SOP Subtitle"/>
    <w:pPr>
      <w:spacing w:before="0" w:after="200"/>
    </w:pPr>
    <w:rPr>
      <w:rFonts w:ascii="Calibri" w:hAnsi="Calibri"/>
      <w:b w:val="0"/>
      <w:color w:val="587078"/>
      <w:sz w:val="22"/>
    </w:rPr>
  </w:style>
  <w:style w:type="paragraph" w:customStyle="1" w:styleId="SOPSmall">
    <w:name w:val="SOP Small"/>
    <w:pPr>
      <w:spacing w:before="40" w:after="40"/>
    </w:pPr>
    <w:rPr>
      <w:rFonts w:ascii="Calibri" w:hAnsi="Calibri"/>
      <w:b w:val="0"/>
      <w:color w:val="58707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Metais totais recuperáveis em água</dc:title>
  <dc:subject>2-4 — Metodologias</dc:subject>
  <dc:creator>Laboratório de Ciências Ambientais — UENF</dc:creator>
  <cp:keywords/>
  <dc:description>Documento do Laboratório de Ciências Ambientais — UENF.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