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right"/>
      </w:pPr>
      <w:r>
        <w:drawing>
          <wp:inline xmlns:a="http://schemas.openxmlformats.org/drawingml/2006/main" xmlns:pic="http://schemas.openxmlformats.org/drawingml/2006/picture">
            <wp:extent cx="1051560" cy="5367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 GPBEA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536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OPKicker"/>
      </w:pPr>
      <w:r>
        <w:t>PROTOCOLO DO LABORATÓRIO</w:t>
      </w:r>
    </w:p>
    <w:p>
      <w:pPr>
        <w:pStyle w:val="SOPTitle"/>
      </w:pPr>
      <w:r>
        <w:t>Bioensaio com Allium cepa em amostras de sedimento</w:t>
      </w:r>
    </w:p>
    <w:p>
      <w:pPr>
        <w:pStyle w:val="SOPSubtitle"/>
      </w:pPr>
      <w:r>
        <w:t>Germinação, crescimento radicular e avaliação citogenética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Código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2-9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Categoria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Metodologias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Local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Bancada de bioensaios e capela para fixadores/corantes</w:t>
            </w:r>
          </w:p>
        </w:tc>
      </w:tr>
    </w:tbl>
    <w:p>
      <w:pPr>
        <w:spacing w:after="0"/>
      </w:pPr>
    </w:p>
    <w:p>
      <w:pPr>
        <w:pStyle w:val="Heading1"/>
      </w:pPr>
      <w:r>
        <w:t>1. Objetivo</w:t>
      </w:r>
    </w:p>
    <w:p>
      <w:r>
        <w:t>Padronizar o ensaio de germinação, crescimento radicular e avaliação citogenética de Allium cepa exposta a sedimentos, preservando os parâmetros do procedimento fornecido para validação interna.</w:t>
      </w:r>
    </w:p>
    <w:p>
      <w:r>
        <w:t>As massas, tempos, número de sementes e critérios citogenéticos vieram do protocolo experimental fornecido e devem ser confirmados pelo responsável antes da liberação.</w:t>
      </w:r>
    </w:p>
    <w:p>
      <w:pPr>
        <w:pStyle w:val="Heading1"/>
      </w:pPr>
      <w:r>
        <w:t>2. Cuidados e segurança</w:t>
      </w:r>
    </w:p>
    <w:p>
      <w:r>
        <w:t>Realizar somente após treinamento específico e com técnico ou professor responsável disponível e ciente da atividade.</w:t>
      </w:r>
    </w:p>
    <w:p>
      <w:r>
        <w:t>Em qualquer dúvida, pare, mantenha o sistema em condição segura e pergunte ao técnico ou professor responsável.</w:t>
      </w:r>
    </w:p>
    <w:p>
      <w:r>
        <w:t>Nunca improvisar, executar etapa não prevista, alterar concentração/volume ou trabalhar sem a supervisão definida.</w:t>
      </w:r>
    </w:p>
    <w:p>
      <w:r>
        <w:t>Usar jaleco fechado, calça comprida, sapato fechado, óculos de segurança e luvas compatíveis com a FDS/FISPQ.</w:t>
      </w:r>
    </w:p>
    <w:p>
      <w:r>
        <w:t>Preparar/manipular metanol, ácido acético, HCl e orceína em capela; evitar contato e inalação.</w:t>
      </w:r>
    </w:p>
    <w:p>
      <w:r>
        <w:t>Tratar lâminas, bisturis e vidros quebrados como perfurocortantes.</w:t>
      </w:r>
    </w:p>
    <w:p>
      <w:r>
        <w:t>Fixadores com metanol são inflamáveis e tóxicos; manter longe de ignição e não refrigerar em equipamento comum.</w:t>
      </w:r>
    </w:p>
    <w:p>
      <w:r>
        <w:rPr>
          <w:rFonts w:ascii="Calibri" w:hAnsi="Calibri"/>
          <w:b/>
          <w:color w:val="9B1C1C"/>
          <w:sz w:val="22"/>
        </w:rPr>
        <w:t xml:space="preserve">Cuidado específico: </w:t>
      </w:r>
      <w:r>
        <w:t>O fixador modificado contém metanol e ácido acético. Manipule somente em capela e sob supervisão; não aqueça nem armazene em refrigerador não aprovado para inflamáveis.</w:t>
      </w:r>
    </w:p>
    <w:p>
      <w:pPr>
        <w:pStyle w:val="Heading1"/>
      </w:pPr>
      <w:r>
        <w:t>3. Materiais, reagentes e equipamentos</w:t>
      </w:r>
    </w:p>
    <w:p>
      <w:pPr>
        <w:pStyle w:val="Heading2"/>
      </w:pPr>
      <w:r>
        <w:t>Vidrarias e recipientes</w:t>
      </w:r>
    </w:p>
    <w:p>
      <w:pPr>
        <w:pStyle w:val="ListBullet"/>
      </w:pPr>
      <w:r>
        <w:t>Placas de Petri</w:t>
      </w:r>
    </w:p>
    <w:p>
      <w:pPr>
        <w:pStyle w:val="ListBullet"/>
      </w:pPr>
      <w:r>
        <w:t>Lâminas e lamínulas</w:t>
      </w:r>
    </w:p>
    <w:p>
      <w:pPr>
        <w:pStyle w:val="ListBullet"/>
      </w:pPr>
      <w:r>
        <w:t>Frascos de vidro compatíveis para fixador/corante</w:t>
      </w:r>
    </w:p>
    <w:p>
      <w:pPr>
        <w:pStyle w:val="ListBullet"/>
      </w:pPr>
      <w:r>
        <w:t>Pipetas e provetas</w:t>
      </w:r>
    </w:p>
    <w:p>
      <w:pPr>
        <w:pStyle w:val="Heading2"/>
      </w:pPr>
      <w:r>
        <w:t>Materiais auxiliares</w:t>
      </w:r>
    </w:p>
    <w:p>
      <w:pPr>
        <w:pStyle w:val="ListBullet"/>
      </w:pPr>
      <w:r>
        <w:t>15 sementes de A. cepa por placa</w:t>
      </w:r>
    </w:p>
    <w:p>
      <w:pPr>
        <w:pStyle w:val="ListBullet"/>
      </w:pPr>
      <w:r>
        <w:t>Papel-filtro quando previsto</w:t>
      </w:r>
    </w:p>
    <w:p>
      <w:pPr>
        <w:pStyle w:val="ListBullet"/>
      </w:pPr>
      <w:r>
        <w:t>Pinças, bisturi e etiquetas</w:t>
      </w:r>
    </w:p>
    <w:p>
      <w:pPr>
        <w:pStyle w:val="ListBullet"/>
      </w:pPr>
      <w:r>
        <w:t>Sedimento liofilizado e homogeneizado</w:t>
      </w:r>
    </w:p>
    <w:p>
      <w:pPr>
        <w:pStyle w:val="Heading2"/>
      </w:pPr>
      <w:r>
        <w:t>Equipamentos</w:t>
      </w:r>
    </w:p>
    <w:p>
      <w:pPr>
        <w:pStyle w:val="ListBullet"/>
      </w:pPr>
      <w:r>
        <w:t>Balança analítica</w:t>
      </w:r>
    </w:p>
    <w:p>
      <w:pPr>
        <w:pStyle w:val="ListBullet"/>
      </w:pPr>
      <w:r>
        <w:t>Incubadora/câmara a 24–25 °C e baixa luminosidade</w:t>
      </w:r>
    </w:p>
    <w:p>
      <w:pPr>
        <w:pStyle w:val="ListBullet"/>
      </w:pPr>
      <w:r>
        <w:t>Microscópio</w:t>
      </w:r>
    </w:p>
    <w:p>
      <w:pPr>
        <w:pStyle w:val="ListBullet"/>
      </w:pPr>
      <w:r>
        <w:t>Capela química</w:t>
      </w:r>
    </w:p>
    <w:p>
      <w:pPr>
        <w:pStyle w:val="Heading2"/>
      </w:pPr>
      <w:r>
        <w:t>Reagentes e quantidades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6360"/>
      </w:tblGrid>
      <w:tr>
        <w:trPr>
          <w:cantSplit/>
          <w:tblHeader w:val="true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Reagente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Especificação / quantidade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Sedimento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15 g por placa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Água ultrapura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4 mL por placa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Fixador modificado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Metanol:ácido acético 3:1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HCl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5 N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Orceína acética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2%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Controles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Negativo e positivo conforme plano aprovado</w:t>
            </w:r>
          </w:p>
        </w:tc>
      </w:tr>
    </w:tbl>
    <w:p>
      <w:pPr>
        <w:spacing w:after="0"/>
      </w:pPr>
    </w:p>
    <w:p>
      <w:pPr>
        <w:pStyle w:val="Heading1"/>
      </w:pPr>
      <w:r>
        <w:t>4. Preparação antes de iniciar</w:t>
      </w:r>
    </w:p>
    <w:p>
      <w:pPr>
        <w:pStyle w:val="ListBullet"/>
      </w:pPr>
      <w:r>
        <w:t>Randomizar e codificar placas/lâminas para reduzir viés.</w:t>
      </w:r>
    </w:p>
    <w:p>
      <w:pPr>
        <w:pStyle w:val="ListBullet"/>
      </w:pPr>
      <w:r>
        <w:t>Definir controles negativo e positivo, número de réplicas e planilha antes de semear.</w:t>
      </w:r>
    </w:p>
    <w:p>
      <w:pPr>
        <w:pStyle w:val="Heading1"/>
      </w:pPr>
      <w:r>
        <w:t>5. Procedimento</w:t>
      </w:r>
    </w:p>
    <w:p>
      <w:pPr>
        <w:pStyle w:val="Heading2"/>
      </w:pPr>
      <w:r>
        <w:t>Exposição e avaliação macroscópica</w:t>
      </w:r>
    </w:p>
    <w:p>
      <w:pPr>
        <w:pStyle w:val="ListNumber"/>
      </w:pPr>
      <w:r>
        <w:t>Distribuir 15 g de sedimento liofilizado/homogeneizado por placa e adicionar 4 mL de água ultrapura.</w:t>
      </w:r>
    </w:p>
    <w:p>
      <w:pPr>
        <w:pStyle w:val="ListNumber"/>
      </w:pPr>
      <w:r>
        <w:t>Adicionar 15 sementes por placa, registrar o arranjo experimental e incubar a 24–25 °C, em baixa luminosidade.</w:t>
      </w:r>
    </w:p>
    <w:p>
      <w:pPr>
        <w:pStyle w:val="ListNumber"/>
      </w:pPr>
      <w:r>
        <w:t>Acompanhar por 72–120 h, até o controle negativo atingir pelo menos 65% de germinação e raízes de aproximadamente 15–20 mm.</w:t>
      </w:r>
    </w:p>
    <w:p>
      <w:pPr>
        <w:pStyle w:val="ListNumber"/>
      </w:pPr>
      <w:r>
        <w:t>Registrar germinação e medir o comprimento radicular conforme regra estatística aprovada.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212080" cy="5212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-9-allium-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5212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/>
        <w:jc w:val="center"/>
      </w:pPr>
      <w:r>
        <w:rPr>
          <w:rFonts w:ascii="Calibri" w:hAnsi="Calibri"/>
          <w:i/>
          <w:color w:val="587078"/>
          <w:sz w:val="18"/>
        </w:rPr>
        <w:t>Figura 1. Distribuição sugerida das sementes sobre o sedimento reidratado; confirmar dimensões e espaçamento no método aprovado.</w:t>
      </w:r>
      <w:r>
        <w:rPr>
          <w:rFonts w:ascii="Calibri" w:hAnsi="Calibri"/>
          <w:color w:val="587078"/>
          <w:sz w:val="17"/>
        </w:rPr>
        <w:t xml:space="preserve"> Fonte: Protocolo experimental fornecido ao LCA.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212080" cy="34763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-9-allium-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476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/>
        <w:jc w:val="center"/>
      </w:pPr>
      <w:r>
        <w:rPr>
          <w:rFonts w:ascii="Calibri" w:hAnsi="Calibri"/>
          <w:i/>
          <w:color w:val="587078"/>
          <w:sz w:val="18"/>
        </w:rPr>
        <w:t>Figura 2. Referência visual para a medição do comprimento da radícula.</w:t>
      </w:r>
      <w:r>
        <w:rPr>
          <w:rFonts w:ascii="Calibri" w:hAnsi="Calibri"/>
          <w:color w:val="587078"/>
          <w:sz w:val="17"/>
        </w:rPr>
        <w:t xml:space="preserve"> Fonte: Protocolo experimental fornecido ao LCA.</w:t>
      </w:r>
    </w:p>
    <w:p>
      <w:pPr>
        <w:pStyle w:val="Heading2"/>
      </w:pPr>
      <w:r>
        <w:t>Fixação e preparo das lâminas</w:t>
      </w:r>
    </w:p>
    <w:p>
      <w:pPr>
        <w:pStyle w:val="ListNumber"/>
      </w:pPr>
      <w:r>
        <w:t>Em capela, fixar as raízes em metanol:ácido acético 3:1 frio, em três ciclos de 10 minutos.</w:t>
      </w:r>
    </w:p>
    <w:p>
      <w:pPr>
        <w:pStyle w:val="ListNumber"/>
      </w:pPr>
      <w:r>
        <w:t>Tratar com HCl 5 N por 20 minutos, conforme método aprovado, e enxaguar quando previsto.</w:t>
      </w:r>
    </w:p>
    <w:p>
      <w:pPr>
        <w:pStyle w:val="ListNumber"/>
      </w:pPr>
      <w:r>
        <w:t>Corar com orceína acética 2%, retirar o ápice radicular e preparar a lâmina por esmagamento (squash).</w:t>
      </w:r>
    </w:p>
    <w:p>
      <w:pPr>
        <w:pStyle w:val="ListNumber"/>
      </w:pPr>
      <w:r>
        <w:t>Codificar as lâminas para leitura cega sempre que possível.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212080" cy="34769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-9-allium-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476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/>
        <w:jc w:val="center"/>
      </w:pPr>
      <w:r>
        <w:rPr>
          <w:rFonts w:ascii="Calibri" w:hAnsi="Calibri"/>
          <w:i/>
          <w:color w:val="587078"/>
          <w:sz w:val="18"/>
        </w:rPr>
        <w:t>Figura 3. Sequência esquemática da técnica de esmagamento (squash) entre lâmina e lamínula.</w:t>
      </w:r>
      <w:r>
        <w:rPr>
          <w:rFonts w:ascii="Calibri" w:hAnsi="Calibri"/>
          <w:color w:val="587078"/>
          <w:sz w:val="17"/>
        </w:rPr>
        <w:t xml:space="preserve"> Fonte: Protocolo experimental fornecido ao LCA.</w:t>
      </w:r>
    </w:p>
    <w:p>
      <w:pPr>
        <w:pStyle w:val="Heading2"/>
      </w:pPr>
      <w:r>
        <w:t>Leitura citogenética</w:t>
      </w:r>
    </w:p>
    <w:p>
      <w:pPr>
        <w:pStyle w:val="ListNumber"/>
      </w:pPr>
      <w:r>
        <w:t>Avaliar 10 lâminas por tratamento e 500 células por lâmina, totalizando 5.000 células por tratamento.</w:t>
      </w:r>
    </w:p>
    <w:p>
      <w:pPr>
        <w:pStyle w:val="ListNumber"/>
      </w:pPr>
      <w:r>
        <w:t>Registrar índice mitótico e alterações cromossômicas/celulares conforme critérios previamente definidos.</w:t>
      </w:r>
    </w:p>
    <w:p>
      <w:pPr>
        <w:pStyle w:val="ListNumber"/>
      </w:pPr>
      <w:r>
        <w:t>Arquivar imagens representativas, contagens brutas e justificativas para exclusões.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212080" cy="375064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-9-allium-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750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/>
        <w:jc w:val="center"/>
      </w:pPr>
      <w:r>
        <w:rPr>
          <w:rFonts w:ascii="Calibri" w:hAnsi="Calibri"/>
          <w:i/>
          <w:color w:val="587078"/>
          <w:sz w:val="18"/>
        </w:rPr>
        <w:t>Figura 4. Painel de referência com exemplos de células e alterações observadas em lâminas de Allium cepa; usar somente após validação das categorias pelo responsável.</w:t>
      </w:r>
      <w:r>
        <w:rPr>
          <w:rFonts w:ascii="Calibri" w:hAnsi="Calibri"/>
          <w:color w:val="587078"/>
          <w:sz w:val="17"/>
        </w:rPr>
        <w:t xml:space="preserve"> Fonte: Protocolo experimental fornecido ao LCA.</w:t>
      </w:r>
    </w:p>
    <w:p>
      <w:pPr>
        <w:pStyle w:val="Heading1"/>
      </w:pPr>
      <w:r>
        <w:t>6. Controle e critérios de qualidade</w:t>
      </w:r>
    </w:p>
    <w:p>
      <w:pPr>
        <w:pStyle w:val="ListBullet"/>
      </w:pPr>
      <w:r>
        <w:t>Controle negativo ≥65% de germinação e raízes de 15–20 mm antes do encerramento.</w:t>
      </w:r>
    </w:p>
    <w:p>
      <w:pPr>
        <w:pStyle w:val="ListBullet"/>
      </w:pPr>
      <w:r>
        <w:t>Mesma origem/lote de sementes dentro do ensaio.</w:t>
      </w:r>
    </w:p>
    <w:p>
      <w:pPr>
        <w:pStyle w:val="ListBullet"/>
      </w:pPr>
      <w:r>
        <w:t>Leitura cega e recontagem de uma fração das lâminas recomendadas.</w:t>
      </w:r>
    </w:p>
    <w:p>
      <w:pPr>
        <w:pStyle w:val="ListBullet"/>
      </w:pPr>
      <w:r>
        <w:t>Registrar temperatura, tempo, exclusões e desvios.</w:t>
      </w:r>
    </w:p>
    <w:p>
      <w:pPr>
        <w:pStyle w:val="Heading1"/>
      </w:pPr>
      <w:r>
        <w:t>7. Identificação, armazenamento e registros</w:t>
      </w:r>
    </w:p>
    <w:p>
      <w:pPr>
        <w:pStyle w:val="ListBullet"/>
      </w:pPr>
      <w:r>
        <w:t>Rotular antes de iniciar a transferência: nome, concentração, solvente/matriz, data, responsável e perigos.</w:t>
      </w:r>
    </w:p>
    <w:p>
      <w:pPr>
        <w:pStyle w:val="ListBullet"/>
      </w:pPr>
      <w:r>
        <w:t>Registrar a preparação ou análise no controle do laboratório e vincular o lote às amostras.</w:t>
      </w:r>
    </w:p>
    <w:p>
      <w:pPr>
        <w:pStyle w:val="ListBullet"/>
      </w:pPr>
      <w:r>
        <w:t>Definir validade e condição de armazenamento somente após aprovação do responsável e consulta à FDS/FISPQ.</w:t>
      </w:r>
    </w:p>
    <w:p>
      <w:pPr>
        <w:pStyle w:val="Heading2"/>
      </w:pPr>
      <w:r>
        <w:t>Registros</w:t>
      </w:r>
    </w:p>
    <w:p>
      <w:pPr>
        <w:pStyle w:val="ListBullet"/>
      </w:pPr>
      <w:r>
        <w:t>Data, horário, nome e assinatura/rubrica de quem executou e de quem supervisionou.</w:t>
      </w:r>
    </w:p>
    <w:p>
      <w:pPr>
        <w:pStyle w:val="ListBullet"/>
      </w:pPr>
      <w:r>
        <w:t>Identificação, fabricante, lote e validade dos reagentes, filtros e padrões utilizados.</w:t>
      </w:r>
    </w:p>
    <w:p>
      <w:pPr>
        <w:pStyle w:val="ListBullet"/>
      </w:pPr>
      <w:r>
        <w:t>Equipamentos utilizados, identificação patrimonial e situação da calibração/verificação.</w:t>
      </w:r>
    </w:p>
    <w:p>
      <w:pPr>
        <w:pStyle w:val="ListBullet"/>
      </w:pPr>
      <w:r>
        <w:t>Cálculos, massas, volumes, pH, temperatura e qualquer desvio ou intercorrência.</w:t>
      </w:r>
    </w:p>
    <w:p>
      <w:pPr>
        <w:pStyle w:val="ListBullet"/>
      </w:pPr>
      <w:r>
        <w:t>Mapa de randomização, contagens celulares e imagens de referência.</w:t>
      </w:r>
    </w:p>
    <w:p>
      <w:pPr>
        <w:pStyle w:val="Heading1"/>
      </w:pPr>
      <w:r>
        <w:t>8. Limpeza e descarte</w:t>
      </w:r>
    </w:p>
    <w:p>
      <w:pPr>
        <w:pStyle w:val="ListBullet"/>
      </w:pPr>
      <w:r>
        <w:t>Segregar resíduos por compatibilidade química; nunca misturar correntes sem autorização.</w:t>
      </w:r>
    </w:p>
    <w:p>
      <w:pPr>
        <w:pStyle w:val="ListBullet"/>
      </w:pPr>
      <w:r>
        <w:t>Identificar o recipiente de resíduo com conteúdo, perigos, data e responsável.</w:t>
      </w:r>
    </w:p>
    <w:p>
      <w:pPr>
        <w:pStyle w:val="ListBullet"/>
      </w:pPr>
      <w:r>
        <w:t>Descontaminar a área e encaminhar resíduos conforme o plano de gerenciamento do LCA/UENF.</w:t>
      </w:r>
    </w:p>
    <w:p>
      <w:pPr>
        <w:pStyle w:val="ListBullet"/>
      </w:pPr>
      <w:r>
        <w:t>Comunicar imediatamente derramamentos, exposição, quebra de vidro ou descarte incorreto ao responsável.</w:t>
      </w:r>
    </w:p>
    <w:p>
      <w:pPr>
        <w:pStyle w:val="ListBullet"/>
      </w:pPr>
      <w:r>
        <w:t>Fixador, HCl e corante devem ser coletados como resíduos químicos separados/compatíveis.</w:t>
      </w:r>
    </w:p>
    <w:p>
      <w:pPr>
        <w:pStyle w:val="Heading1"/>
      </w:pPr>
      <w:r>
        <w:t>9. Observações para padronização local</w:t>
      </w:r>
    </w:p>
    <w:p>
      <w:pPr>
        <w:pStyle w:val="ListBullet"/>
      </w:pPr>
      <w:r>
        <w:t>Confirmar controle positivo, número de réplicas e análise estatística.</w:t>
      </w:r>
    </w:p>
    <w:p>
      <w:pPr>
        <w:pStyle w:val="ListBullet"/>
      </w:pPr>
      <w:r>
        <w:t>Validar tempos de hidrólise/coloração e categorias de aberração.</w:t>
      </w:r>
    </w:p>
    <w:p>
      <w:pPr>
        <w:pStyle w:val="ListBullet"/>
      </w:pPr>
      <w:r>
        <w:t>Definir armazenamento de raízes/lâminas e prazo de leitura.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87078"/>
        <w:sz w:val="16"/>
      </w:rPr>
      <w:t xml:space="preserve">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87078"/>
        <w:sz w:val="17"/>
      </w:rPr>
      <w:t>LCA · 2-9 · Bioensaio Allium cepa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PTitle">
    <w:name w:val="SOP Title"/>
    <w:pPr>
      <w:spacing w:before="0" w:after="160"/>
    </w:pPr>
    <w:rPr>
      <w:rFonts w:ascii="Calibri" w:hAnsi="Calibri"/>
      <w:b/>
      <w:color w:val="17343B"/>
      <w:sz w:val="44"/>
    </w:rPr>
  </w:style>
  <w:style w:type="paragraph" w:customStyle="1" w:styleId="SOPKicker">
    <w:name w:val="SOP Kicker"/>
    <w:pPr>
      <w:spacing w:before="0" w:after="100"/>
    </w:pPr>
    <w:rPr>
      <w:rFonts w:ascii="Calibri" w:hAnsi="Calibri"/>
      <w:b/>
      <w:color w:val="2E74B5"/>
      <w:sz w:val="18"/>
    </w:rPr>
  </w:style>
  <w:style w:type="paragraph" w:customStyle="1" w:styleId="SOPSubtitle">
    <w:name w:val="SOP Subtitle"/>
    <w:pPr>
      <w:spacing w:before="0" w:after="200"/>
    </w:pPr>
    <w:rPr>
      <w:rFonts w:ascii="Calibri" w:hAnsi="Calibri"/>
      <w:b w:val="0"/>
      <w:color w:val="587078"/>
      <w:sz w:val="22"/>
    </w:rPr>
  </w:style>
  <w:style w:type="paragraph" w:customStyle="1" w:styleId="SOPSmall">
    <w:name w:val="SOP Small"/>
    <w:pPr>
      <w:spacing w:before="40" w:after="40"/>
    </w:pPr>
    <w:rPr>
      <w:rFonts w:ascii="Calibri" w:hAnsi="Calibri"/>
      <w:b w:val="0"/>
      <w:color w:val="58707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Bioensaio com Allium cepa em amostras de sedimento</dc:title>
  <dc:subject>2-9 — Metodologias</dc:subject>
  <dc:creator>Laboratório de Ciências Ambientais — UENF</dc:creator>
  <cp:keywords/>
  <dc:description>Documento do Laboratório de Ciências Ambientais — UENF.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