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right"/>
      </w:pPr>
      <w:r>
        <w:drawing>
          <wp:inline xmlns:a="http://schemas.openxmlformats.org/drawingml/2006/main" xmlns:pic="http://schemas.openxmlformats.org/drawingml/2006/picture">
            <wp:extent cx="1051560" cy="5367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 GPBEA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536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OPKicker"/>
      </w:pPr>
      <w:r>
        <w:t>PROTOCOLO DO LABORATÓRIO</w:t>
      </w:r>
    </w:p>
    <w:p>
      <w:pPr>
        <w:pStyle w:val="SOPTitle"/>
      </w:pPr>
      <w:r>
        <w:t>Medidor de pH</w:t>
      </w:r>
    </w:p>
    <w:p>
      <w:pPr>
        <w:pStyle w:val="SOPSubtitle"/>
      </w:pPr>
      <w:r>
        <w:t>Operação, verificação e registro de equipamento · LCA/UENF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Código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  <w:t>3-11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Categoria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  <w:t>Uso de equipamentos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Local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  <w:t>Bancada limpa ou campo</w:t>
            </w:r>
          </w:p>
        </w:tc>
      </w:tr>
    </w:tbl>
    <w:p>
      <w:pPr>
        <w:spacing w:after="0"/>
      </w:pPr>
    </w:p>
    <w:p>
      <w:pPr>
        <w:pStyle w:val="Heading1"/>
      </w:pPr>
      <w:r>
        <w:t>1. Objetivo</w:t>
      </w:r>
    </w:p>
    <w:p>
      <w:r>
        <w:t>Padronizar calibração, verificação, medição e conservação de eletrodos de pH.</w:t>
      </w:r>
    </w:p>
    <w:p>
      <w:r>
        <w:t>Orientação geral independente de marca/modelo. O manual do equipamento instalado e o treinamento do responsável prevalecem e devem ser citados na versão aprovada.</w:t>
      </w:r>
    </w:p>
    <w:p>
      <w:pPr>
        <w:pStyle w:val="Heading1"/>
      </w:pPr>
      <w:r>
        <w:t>2. Cuidados e segurança</w:t>
      </w:r>
    </w:p>
    <w:p>
      <w:r>
        <w:t>Realizar somente após treinamento específico e com técnico ou professor responsável disponível e ciente da atividade.</w:t>
      </w:r>
    </w:p>
    <w:p>
      <w:r>
        <w:t>Em qualquer dúvida, pare, mantenha o sistema em condição segura e pergunte ao técnico ou professor responsável.</w:t>
      </w:r>
    </w:p>
    <w:p>
      <w:r>
        <w:t>Nunca improvisar, executar etapa não prevista, alterar concentração/volume ou trabalhar sem a supervisão definida.</w:t>
      </w:r>
    </w:p>
    <w:p>
      <w:r>
        <w:t>Usar jaleco fechado, calça comprida, sapato fechado, óculos de segurança e luvas compatíveis com a FDS/FISPQ.</w:t>
      </w:r>
    </w:p>
    <w:p>
      <w:r>
        <w:t>Avaliar perigos da amostra e usar proteção contra respingos.</w:t>
      </w:r>
    </w:p>
    <w:p>
      <w:r>
        <w:rPr>
          <w:rFonts w:ascii="Calibri" w:hAnsi="Calibri"/>
          <w:b/>
          <w:color w:val="9B1C1C"/>
          <w:sz w:val="22"/>
        </w:rPr>
        <w:t xml:space="preserve">Cuidado específico: </w:t>
      </w:r>
      <w:r>
        <w:t>pH é uma medição sensível a temperatura e tempo. Medir amostra fresca quando o método exigir e nunca armazenar eletrodo de vidro seco ou em água deionizada, salvo instrução específica do fabricante.</w:t>
      </w:r>
    </w:p>
    <w:p>
      <w:pPr>
        <w:pStyle w:val="Heading1"/>
      </w:pPr>
      <w:r>
        <w:t>3. Materiais, reagentes e equipamentos</w:t>
      </w:r>
    </w:p>
    <w:p>
      <w:pPr>
        <w:pStyle w:val="Heading2"/>
      </w:pPr>
      <w:r>
        <w:t>Vidrarias e recipientes</w:t>
      </w:r>
    </w:p>
    <w:p>
      <w:pPr>
        <w:pStyle w:val="ListBullet"/>
      </w:pPr>
      <w:r>
        <w:t>Copos limpos separados para tampões e amostras</w:t>
      </w:r>
    </w:p>
    <w:p>
      <w:pPr>
        <w:pStyle w:val="Heading2"/>
      </w:pPr>
      <w:r>
        <w:t>Materiais auxiliares</w:t>
      </w:r>
    </w:p>
    <w:p>
      <w:pPr>
        <w:pStyle w:val="ListBullet"/>
      </w:pPr>
      <w:r>
        <w:t>Tampões rastreáveis</w:t>
      </w:r>
    </w:p>
    <w:p>
      <w:pPr>
        <w:pStyle w:val="ListBullet"/>
      </w:pPr>
      <w:r>
        <w:t>Solução de armazenamento/limpeza do eletrodo</w:t>
      </w:r>
    </w:p>
    <w:p>
      <w:pPr>
        <w:pStyle w:val="ListBullet"/>
      </w:pPr>
      <w:r>
        <w:t>Água de enxágue</w:t>
      </w:r>
    </w:p>
    <w:p>
      <w:pPr>
        <w:pStyle w:val="Heading2"/>
      </w:pPr>
      <w:r>
        <w:t>Equipamentos</w:t>
      </w:r>
    </w:p>
    <w:p>
      <w:pPr>
        <w:pStyle w:val="ListBullet"/>
      </w:pPr>
      <w:r>
        <w:t>Medidor de pH</w:t>
      </w:r>
    </w:p>
    <w:p>
      <w:pPr>
        <w:pStyle w:val="ListBullet"/>
      </w:pPr>
      <w:r>
        <w:t>Eletrodo e sensor de temperatura compatíveis</w:t>
      </w:r>
    </w:p>
    <w:p>
      <w:pPr>
        <w:pStyle w:val="Heading2"/>
      </w:pPr>
      <w:r>
        <w:t>Reagentes e quantidades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000"/>
        <w:gridCol w:w="6360"/>
      </w:tblGrid>
      <w:tr>
        <w:trPr>
          <w:cantSplit/>
          <w:tblHeader w:val="true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Reagente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Especificação / quantidade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Tampões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Dois ou três pontos conforme faixa, válidos e não devolvidos ao frasco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Amostra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Homogênea, sem perda de gases quando relevante</w:t>
            </w:r>
          </w:p>
        </w:tc>
      </w:tr>
    </w:tbl>
    <w:p>
      <w:pPr>
        <w:spacing w:after="0"/>
      </w:pPr>
    </w:p>
    <w:p>
      <w:pPr>
        <w:pStyle w:val="Heading1"/>
      </w:pPr>
      <w:r>
        <w:t>4. Procedimento</w:t>
      </w:r>
    </w:p>
    <w:p>
      <w:pPr>
        <w:pStyle w:val="Heading2"/>
      </w:pPr>
      <w:r>
        <w:t>Calibração e medição</w:t>
      </w:r>
    </w:p>
    <w:p>
      <w:pPr>
        <w:pStyle w:val="ListNumber"/>
      </w:pPr>
      <w:r>
        <w:t>Inspecionar eletrodo, nível de eletrólito e junção; hidratar conforme manual.</w:t>
      </w:r>
    </w:p>
    <w:p>
      <w:pPr>
        <w:pStyle w:val="ListNumber"/>
      </w:pPr>
      <w:r>
        <w:t>Calibrar nos tampões do método, do menor para o maior risco de contaminação, registrando slope/offset.</w:t>
      </w:r>
    </w:p>
    <w:p>
      <w:pPr>
        <w:pStyle w:val="ListNumber"/>
      </w:pPr>
      <w:r>
        <w:t>Verificar com tampão independente ou intermediário.</w:t>
      </w:r>
    </w:p>
    <w:p>
      <w:pPr>
        <w:pStyle w:val="ListNumber"/>
      </w:pPr>
      <w:r>
        <w:t>Enxaguar, remover excesso sem esfregar o bulbo, medir após estabilidade e registrar pH/temperatura.</w:t>
      </w:r>
    </w:p>
    <w:p>
      <w:pPr>
        <w:pStyle w:val="ListNumber"/>
      </w:pPr>
      <w:r>
        <w:t>Limpar e armazenar o eletrodo na solução indicada.</w:t>
      </w:r>
    </w:p>
    <w:p>
      <w:pPr>
        <w:pStyle w:val="Heading1"/>
      </w:pPr>
      <w:r>
        <w:t>5. Controle e critérios de qualidade</w:t>
      </w:r>
    </w:p>
    <w:p>
      <w:pPr>
        <w:pStyle w:val="ListBullet"/>
      </w:pPr>
      <w:r>
        <w:t>Slope, offset e verificação dentro dos limites aprovados.</w:t>
      </w:r>
    </w:p>
    <w:p>
      <w:pPr>
        <w:pStyle w:val="ListBullet"/>
      </w:pPr>
      <w:r>
        <w:t>Tampões na validade e sem contaminação.</w:t>
      </w:r>
    </w:p>
    <w:p>
      <w:pPr>
        <w:pStyle w:val="ListBullet"/>
      </w:pPr>
      <w:r>
        <w:t>Calibração repetida após deriva, troca de eletrodo ou longa sequência.</w:t>
      </w:r>
    </w:p>
    <w:p>
      <w:pPr>
        <w:pStyle w:val="Heading1"/>
      </w:pPr>
      <w:r>
        <w:t>6. Identificação, armazenamento e registros</w:t>
      </w:r>
    </w:p>
    <w:p>
      <w:pPr>
        <w:pStyle w:val="ListBullet"/>
      </w:pPr>
      <w:r>
        <w:t>Rotular antes de iniciar a transferência: nome, concentração, solvente/matriz, data, responsável e perigos.</w:t>
      </w:r>
    </w:p>
    <w:p>
      <w:pPr>
        <w:pStyle w:val="ListBullet"/>
      </w:pPr>
      <w:r>
        <w:t>Registrar a preparação ou análise no controle do laboratório e vincular o lote às amostras.</w:t>
      </w:r>
    </w:p>
    <w:p>
      <w:pPr>
        <w:pStyle w:val="ListBullet"/>
      </w:pPr>
      <w:r>
        <w:t>Definir validade e condição de armazenamento somente após aprovação do responsável e consulta à FDS/FISPQ.</w:t>
      </w:r>
    </w:p>
    <w:p>
      <w:pPr>
        <w:pStyle w:val="Heading2"/>
      </w:pPr>
      <w:r>
        <w:t>Registros</w:t>
      </w:r>
    </w:p>
    <w:p>
      <w:pPr>
        <w:pStyle w:val="ListBullet"/>
      </w:pPr>
      <w:r>
        <w:t>Data, horário, nome e assinatura/rubrica de quem executou e de quem supervisionou.</w:t>
      </w:r>
    </w:p>
    <w:p>
      <w:pPr>
        <w:pStyle w:val="ListBullet"/>
      </w:pPr>
      <w:r>
        <w:t>Identificação, fabricante, lote e validade dos reagentes, filtros e padrões utilizados.</w:t>
      </w:r>
    </w:p>
    <w:p>
      <w:pPr>
        <w:pStyle w:val="ListBullet"/>
      </w:pPr>
      <w:r>
        <w:t>Equipamentos utilizados, identificação patrimonial e situação da calibração/verificação.</w:t>
      </w:r>
    </w:p>
    <w:p>
      <w:pPr>
        <w:pStyle w:val="ListBullet"/>
      </w:pPr>
      <w:r>
        <w:t>Cálculos, massas, volumes, pH, temperatura e qualquer desvio ou intercorrência.</w:t>
      </w:r>
    </w:p>
    <w:p>
      <w:pPr>
        <w:pStyle w:val="Heading1"/>
      </w:pPr>
      <w:r>
        <w:t>7. Limpeza e descarte</w:t>
      </w:r>
    </w:p>
    <w:p>
      <w:pPr>
        <w:pStyle w:val="ListBullet"/>
      </w:pPr>
      <w:r>
        <w:t>Segregar resíduos por compatibilidade química; nunca misturar correntes sem autorização.</w:t>
      </w:r>
    </w:p>
    <w:p>
      <w:pPr>
        <w:pStyle w:val="ListBullet"/>
      </w:pPr>
      <w:r>
        <w:t>Identificar o recipiente de resíduo com conteúdo, perigos, data e responsável.</w:t>
      </w:r>
    </w:p>
    <w:p>
      <w:pPr>
        <w:pStyle w:val="ListBullet"/>
      </w:pPr>
      <w:r>
        <w:t>Descontaminar a área e encaminhar resíduos conforme o plano de gerenciamento do LCA/UENF.</w:t>
      </w:r>
    </w:p>
    <w:p>
      <w:pPr>
        <w:pStyle w:val="ListBullet"/>
      </w:pPr>
      <w:r>
        <w:t>Comunicar imediatamente derramamentos, exposição, quebra de vidro ou descarte incorreto ao responsável.</w:t>
      </w:r>
    </w:p>
    <w:p>
      <w:pPr>
        <w:pStyle w:val="Heading1"/>
      </w:pPr>
      <w:r>
        <w:t>8. Observações para padronização local</w:t>
      </w:r>
    </w:p>
    <w:p>
      <w:pPr>
        <w:pStyle w:val="ListBullet"/>
      </w:pPr>
      <w:r>
        <w:t>Identificar modelos/eletrodos.</w:t>
      </w:r>
    </w:p>
    <w:p>
      <w:pPr>
        <w:pStyle w:val="ListBullet"/>
      </w:pPr>
      <w:r>
        <w:t>Definir tampões, limites de slope/offset, estabilidade e frequência.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587078"/>
        <w:sz w:val="16"/>
      </w:rPr>
      <w:t xml:space="preserve">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87078"/>
        <w:sz w:val="17"/>
      </w:rPr>
      <w:t>LCA · 3-11 · Medidor de pH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PTitle">
    <w:name w:val="SOP Title"/>
    <w:pPr>
      <w:spacing w:before="0" w:after="160"/>
    </w:pPr>
    <w:rPr>
      <w:rFonts w:ascii="Calibri" w:hAnsi="Calibri"/>
      <w:b/>
      <w:color w:val="17343B"/>
      <w:sz w:val="44"/>
    </w:rPr>
  </w:style>
  <w:style w:type="paragraph" w:customStyle="1" w:styleId="SOPKicker">
    <w:name w:val="SOP Kicker"/>
    <w:pPr>
      <w:spacing w:before="0" w:after="100"/>
    </w:pPr>
    <w:rPr>
      <w:rFonts w:ascii="Calibri" w:hAnsi="Calibri"/>
      <w:b/>
      <w:color w:val="2E74B5"/>
      <w:sz w:val="18"/>
    </w:rPr>
  </w:style>
  <w:style w:type="paragraph" w:customStyle="1" w:styleId="SOPSubtitle">
    <w:name w:val="SOP Subtitle"/>
    <w:pPr>
      <w:spacing w:before="0" w:after="200"/>
    </w:pPr>
    <w:rPr>
      <w:rFonts w:ascii="Calibri" w:hAnsi="Calibri"/>
      <w:b w:val="0"/>
      <w:color w:val="587078"/>
      <w:sz w:val="22"/>
    </w:rPr>
  </w:style>
  <w:style w:type="paragraph" w:customStyle="1" w:styleId="SOPSmall">
    <w:name w:val="SOP Small"/>
    <w:pPr>
      <w:spacing w:before="40" w:after="40"/>
    </w:pPr>
    <w:rPr>
      <w:rFonts w:ascii="Calibri" w:hAnsi="Calibri"/>
      <w:b w:val="0"/>
      <w:color w:val="58707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Medidor de pH</dc:title>
  <dc:subject>3-11 — Uso de equipamentos</dc:subject>
  <dc:creator>Laboratório de Ciências Ambientais — UENF</dc:creator>
  <cp:keywords/>
  <dc:description>Documento do Laboratório de Ciências Ambientais — UENF.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