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Analisador granulométrico por difração a laser</w:t>
      </w:r>
    </w:p>
    <w:p>
      <w:pPr>
        <w:pStyle w:val="SOPSubtitle"/>
      </w:pPr>
      <w:r>
        <w:t>Operação, verificação e registro de equipamento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3-6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Uso de equipamentos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Sala do analisador granulométrico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preparo, dispersão, medição, controle de qualidade e limpeza na determinação da distribuição granulométrica de solos e sedimentos por difração a laser.</w:t>
      </w:r>
    </w:p>
    <w:p>
      <w:r>
        <w:t>Orientação geral independente de marca/modelo. O manual do equipamento instalado e o treinamento do responsável prevalecem e devem ser citados na versão aprovada.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Nunca abrir a proteção óptica nem contornar intertravamentos do laser.</w:t>
      </w:r>
    </w:p>
    <w:p>
      <w:r>
        <w:t>Avaliar poeira respirável durante subamostragem seca; usar exaustão local quando necessário.</w:t>
      </w:r>
    </w:p>
    <w:p>
      <w:r>
        <w:t>Pré-tratamentos com oxidantes, ácidos ou dispersantes só podem ser executados em protocolo separado e aprovado.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Este equipamento mede distribuição de tamanho por espalhamento/difração de luz; não é um difratômetro de raios X. O modelo óptico, índices de refração, faixa de obscuração e limites de tamanho devem ser definidos para o modelo e a matriz.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Béqueres e frascos de subamostragem</w:t>
      </w:r>
    </w:p>
    <w:p>
      <w:pPr>
        <w:pStyle w:val="ListBullet"/>
      </w:pPr>
      <w:r>
        <w:t>Pipeta/espátula não contaminante</w:t>
      </w:r>
    </w:p>
    <w:p>
      <w:pPr>
        <w:pStyle w:val="ListBullet"/>
      </w:pPr>
      <w:r>
        <w:t>Peneira de proteção compatível com o limite do equipamento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Amostra representativa e homogeneizada</w:t>
      </w:r>
    </w:p>
    <w:p>
      <w:pPr>
        <w:pStyle w:val="ListBullet"/>
      </w:pPr>
      <w:r>
        <w:t>Material de referência granulométrico quando disponível</w:t>
      </w:r>
    </w:p>
    <w:p>
      <w:pPr>
        <w:pStyle w:val="ListBullet"/>
      </w:pPr>
      <w:r>
        <w:t>Planilha de sequência e identificação</w:t>
      </w:r>
    </w:p>
    <w:p>
      <w:pPr>
        <w:pStyle w:val="Heading2"/>
      </w:pPr>
      <w:r>
        <w:t>Equipamentos</w:t>
      </w:r>
    </w:p>
    <w:p>
      <w:pPr>
        <w:pStyle w:val="ListBullet"/>
      </w:pPr>
      <w:r>
        <w:t>Analisador por difração a laser e unidade de dispersão líquida</w:t>
      </w:r>
    </w:p>
    <w:p>
      <w:pPr>
        <w:pStyle w:val="ListBullet"/>
      </w:pPr>
      <w:r>
        <w:t>Ultrassom/agitação integrados ou aprovados</w:t>
      </w:r>
    </w:p>
    <w:p>
      <w:pPr>
        <w:pStyle w:val="ListBullet"/>
      </w:pPr>
      <w:r>
        <w:t>Balança e peneiras quando aplicáveis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Meio de dispersão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ou líquido compatível, filtrado e aprovado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Dispersante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Ex.: pirofosfato/hexametafosfato somente após validação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Quantidade suficiente para atingir a faixa de obscuração do fabricante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Preparação e verificação</w:t>
      </w:r>
    </w:p>
    <w:p>
      <w:pPr>
        <w:pStyle w:val="ListNumber"/>
      </w:pPr>
      <w:r>
        <w:t>Homogeneizar e retirar subamostra representativa; registrar condição seca/úmida e pré-tratamentos.</w:t>
      </w:r>
    </w:p>
    <w:p>
      <w:pPr>
        <w:pStyle w:val="ListNumber"/>
      </w:pPr>
      <w:r>
        <w:t>Remover e quantificar partículas acima do limite da célula quando o método exigir.</w:t>
      </w:r>
    </w:p>
    <w:p>
      <w:pPr>
        <w:pStyle w:val="ListNumber"/>
      </w:pPr>
      <w:r>
        <w:t>Ligar o sistema conforme manual, inspecionar célula/linhas e executar limpeza e branco de fundo.</w:t>
      </w:r>
    </w:p>
    <w:p>
      <w:pPr>
        <w:pStyle w:val="ListNumber"/>
      </w:pPr>
      <w:r>
        <w:t>Selecionar SOP do software, modelo óptico, índices, dispersante, ultrassom e faixa de obscuração aprovados.</w:t>
      </w:r>
    </w:p>
    <w:p>
      <w:pPr>
        <w:pStyle w:val="Heading2"/>
      </w:pPr>
      <w:r>
        <w:t>Medição</w:t>
      </w:r>
    </w:p>
    <w:p>
      <w:pPr>
        <w:pStyle w:val="ListNumber"/>
      </w:pPr>
      <w:r>
        <w:t>Adicionar amostra gradualmente até a faixa de concentração/obscuração definida, evitando bolhas.</w:t>
      </w:r>
    </w:p>
    <w:p>
      <w:pPr>
        <w:pStyle w:val="ListNumber"/>
      </w:pPr>
      <w:r>
        <w:t>Aplicar agitação e ultrassom pelo tempo validado sem fragmentar partículas frágeis.</w:t>
      </w:r>
    </w:p>
    <w:p>
      <w:pPr>
        <w:pStyle w:val="ListNumber"/>
      </w:pPr>
      <w:r>
        <w:t>Executar no mínimo três leituras independentes ou a frequência aprovada.</w:t>
      </w:r>
    </w:p>
    <w:p>
      <w:pPr>
        <w:pStyle w:val="ListNumber"/>
      </w:pPr>
      <w:r>
        <w:t>Salvar distribuição completa e estatísticas (por exemplo D10, D50, D90), sem descartar curvas divergentes sem justificativa.</w:t>
      </w:r>
    </w:p>
    <w:p>
      <w:pPr>
        <w:pStyle w:val="Heading2"/>
      </w:pPr>
      <w:r>
        <w:t>Encerramento</w:t>
      </w:r>
    </w:p>
    <w:p>
      <w:pPr>
        <w:pStyle w:val="ListNumber"/>
      </w:pPr>
      <w:r>
        <w:t>Drenar a suspensão no resíduo correspondente à matriz.</w:t>
      </w:r>
    </w:p>
    <w:p>
      <w:pPr>
        <w:pStyle w:val="ListNumber"/>
      </w:pPr>
      <w:r>
        <w:t>Executar ciclos de lavagem até branco aceitável e inspecionar célula/linhas.</w:t>
      </w:r>
    </w:p>
    <w:p>
      <w:pPr>
        <w:pStyle w:val="ListNumber"/>
      </w:pPr>
      <w:r>
        <w:t>Exportar arquivos brutos, parâmetros ópticos, relatório e histórico da sequência.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Branco/fundo dentro do limite do fabricante antes da sequência.</w:t>
      </w:r>
    </w:p>
    <w:p>
      <w:pPr>
        <w:pStyle w:val="ListBullet"/>
      </w:pPr>
      <w:r>
        <w:t>Material de controle e replicatas com critérios definidos para D10, D50, D90 e distribuição.</w:t>
      </w:r>
    </w:p>
    <w:p>
      <w:pPr>
        <w:pStyle w:val="ListBullet"/>
      </w:pPr>
      <w:r>
        <w:t>Registrar obscuração, resíduos, bolhas e alerta do software.</w:t>
      </w:r>
    </w:p>
    <w:p>
      <w:pPr>
        <w:pStyle w:val="ListBullet"/>
      </w:pPr>
      <w:r>
        <w:t>Não comparar diretamente resultados obtidos com preparos/modelos ópticos diferentes sem qualificação.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Registrar marca, modelo, faixa, acessórios e número patrimonial.</w:t>
      </w:r>
    </w:p>
    <w:p>
      <w:pPr>
        <w:pStyle w:val="ListBullet"/>
      </w:pPr>
      <w:r>
        <w:t>Definir SOPs por matriz, índice de refração/absorção, obscuração, ultrassom e critérios de repetibilidade.</w:t>
      </w:r>
    </w:p>
    <w:p>
      <w:pPr>
        <w:pStyle w:val="ListBullet"/>
      </w:pPr>
      <w:r>
        <w:t>Definir classificação granulométrica adotada e tratamento da fração retida em peneira.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3-6 · Granulometria a laser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Analisador granulométrico por difração a laser</dc:title>
  <dc:subject>3-6 — Uso de equipamentos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