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Medidor multiparâmetro AKSO AK88</w:t>
      </w:r>
    </w:p>
    <w:p>
      <w:pPr>
        <w:pStyle w:val="SOPSubtitle"/>
      </w:pPr>
      <w:r>
        <w:t>Operação, verificação e registro de equipamento · LCA/UENF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3-7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Uso de equipamentos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Sala 202 e atividades de campo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Padronizar inspeção, calibração, medição em campo/laboratório, verificação pós-uso e armazenamento do medidor multiparâmetro AKSO AK88.</w:t>
      </w:r>
    </w:p>
    <w:p>
      <w:r>
        <w:t>Orientação geral independente de marca/modelo. O manual do equipamento instalado e o treinamento do responsável prevalecem e devem ser citados na versão aprovada.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Não tocar membranas/sensores com objetos ou papel abrasivo.</w:t>
      </w:r>
    </w:p>
    <w:p>
      <w:r>
        <w:t>Em campo, trabalhar em dupla próximo à água e seguir o plano de segurança da coleta.</w:t>
      </w:r>
    </w:p>
    <w:p>
      <w:r>
        <w:t>Soluções-padrão e eletrólitos devem ser manuseados conforme FDS.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Confirmar a versão do AK88, as sondas conectadas e os padrões autorizados pelo LCA. Não substituir membrana, eletrólito ou componentes das sondas sem consultar o manual e o responsável técnico.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Copos de calibração limpos</w:t>
      </w:r>
    </w:p>
    <w:p>
      <w:pPr>
        <w:pStyle w:val="ListBullet"/>
      </w:pPr>
      <w:r>
        <w:t>Frascos para padrões e água de enxágue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Padrões rastreáveis</w:t>
      </w:r>
    </w:p>
    <w:p>
      <w:pPr>
        <w:pStyle w:val="ListBullet"/>
      </w:pPr>
      <w:r>
        <w:t>Planilha/caderno de campo</w:t>
      </w:r>
    </w:p>
    <w:p>
      <w:pPr>
        <w:pStyle w:val="ListBullet"/>
      </w:pPr>
      <w:r>
        <w:t>Kit de manutenção específico</w:t>
      </w:r>
    </w:p>
    <w:p>
      <w:pPr>
        <w:pStyle w:val="Heading2"/>
      </w:pPr>
      <w:r>
        <w:t>Equipamentos</w:t>
      </w:r>
    </w:p>
    <w:p>
      <w:pPr>
        <w:pStyle w:val="ListBullet"/>
      </w:pPr>
      <w:r>
        <w:t>Medidor multiparâmetro AKSO AK88</w:t>
      </w:r>
    </w:p>
    <w:p>
      <w:pPr>
        <w:pStyle w:val="ListBullet"/>
      </w:pPr>
      <w:r>
        <w:t>Sondas de pH, condutividade/salinidade e oxigênio dissolvido</w:t>
      </w:r>
    </w:p>
    <w:p>
      <w:pPr>
        <w:pStyle w:val="ListBullet"/>
      </w:pPr>
      <w:r>
        <w:t>GPS/relógio para metadados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Soluções tampão de pH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pH 4,00, 7,00 e 10,01, conforme a faixa e o procedimento aprovado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Padrão de condutividade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Selecionado para a faixa esperada e aceito pelo fabricante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Ar ambiente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Calibração de oxigênio dissolvido em 100% de saturação, conforme o manual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Água deionizada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Enxágue; não usar para armazenar as sondas salvo orientação do fabricante</w:t>
            </w:r>
          </w:p>
        </w:tc>
      </w:tr>
    </w:tbl>
    <w:p>
      <w:pPr>
        <w:spacing w:after="0"/>
      </w:pPr>
    </w:p>
    <w:p>
      <w:pPr>
        <w:pStyle w:val="Heading1"/>
      </w:pPr>
      <w:r>
        <w:t>4. Procedimento</w:t>
      </w:r>
    </w:p>
    <w:p>
      <w:pPr>
        <w:pStyle w:val="Heading2"/>
      </w:pPr>
      <w:r>
        <w:t>Calibração</w:t>
      </w:r>
    </w:p>
    <w:p>
      <w:pPr>
        <w:pStyle w:val="ListNumber"/>
      </w:pPr>
      <w:r>
        <w:t>Inspecionar o AK88, as sondas, cabos, membrana e eletrólito; conectar todos os componentes e confirmar data, hora e unidades.</w:t>
      </w:r>
    </w:p>
    <w:p>
      <w:pPr>
        <w:pStyle w:val="ListNumber"/>
      </w:pPr>
      <w:r>
        <w:t>Calibrar o pH com as soluções tampão adequadas, evitando contaminação cruzada e aguardando estabilidade em cada ponto.</w:t>
      </w:r>
    </w:p>
    <w:p>
      <w:pPr>
        <w:pStyle w:val="ListNumber"/>
      </w:pPr>
      <w:r>
        <w:t>Calibrar a condutividade com padrão compatível com a faixa prevista.</w:t>
      </w:r>
    </w:p>
    <w:p>
      <w:pPr>
        <w:pStyle w:val="ListNumber"/>
      </w:pPr>
      <w:r>
        <w:t>Ajustar altitude e salinidade quando necessárias e calibrar o oxigênio dissolvido em 100% de saturação no ar, conforme o manual.</w:t>
      </w:r>
    </w:p>
    <w:p>
      <w:pPr>
        <w:pStyle w:val="ListNumber"/>
      </w:pPr>
      <w:r>
        <w:t>Registrar valores nominais, temperatura, lotes, respostas e aceitação das calibrações.</w:t>
      </w:r>
    </w:p>
    <w:p>
      <w:pPr>
        <w:pStyle w:val="Heading2"/>
      </w:pPr>
      <w:r>
        <w:t>Medição</w:t>
      </w:r>
    </w:p>
    <w:p>
      <w:pPr>
        <w:pStyle w:val="ListNumber"/>
      </w:pPr>
      <w:r>
        <w:t>Enxaguar as sondas com a amostra e posicioná-las completamente imersas, sem bolhas aderidas e sem contato com o fundo ou as paredes do recipiente.</w:t>
      </w:r>
    </w:p>
    <w:p>
      <w:pPr>
        <w:pStyle w:val="ListNumber"/>
      </w:pPr>
      <w:r>
        <w:t>Aguardar a estabilização e registrar pH, condutividade, salinidade, oxigênio dissolvido, sólidos totais dissolvidos e temperatura.</w:t>
      </w:r>
    </w:p>
    <w:p>
      <w:pPr>
        <w:pStyle w:val="ListNumber"/>
      </w:pPr>
      <w:r>
        <w:t>Registrar local, profundidade, horário, condições da coleta e observações relevantes.</w:t>
      </w:r>
    </w:p>
    <w:p>
      <w:pPr>
        <w:pStyle w:val="Heading2"/>
      </w:pPr>
      <w:r>
        <w:t>Pós-uso</w:t>
      </w:r>
    </w:p>
    <w:p>
      <w:pPr>
        <w:pStyle w:val="ListNumber"/>
      </w:pPr>
      <w:r>
        <w:t>Executar a verificação pós-medição quando prevista no plano de qualidade.</w:t>
      </w:r>
    </w:p>
    <w:p>
      <w:pPr>
        <w:pStyle w:val="ListNumber"/>
      </w:pPr>
      <w:r>
        <w:t>Enxaguar, descontaminar e armazenar cada sonda na condição indicada pelo fabricante.</w:t>
      </w:r>
    </w:p>
    <w:p>
      <w:pPr>
        <w:pStyle w:val="ListNumber"/>
      </w:pPr>
      <w:r>
        <w:t>Transferir e conferir os registros antes de limpar a memória do equipamento.</w:t>
      </w:r>
    </w:p>
    <w:p>
      <w:pPr>
        <w:pStyle w:val="Heading1"/>
      </w:pPr>
      <w:r>
        <w:t>5. Controle e critérios de qualidade</w:t>
      </w:r>
    </w:p>
    <w:p>
      <w:pPr>
        <w:pStyle w:val="ListBullet"/>
      </w:pPr>
      <w:r>
        <w:t>Calibração e verificação dentro dos limites definidos para cada parâmetro.</w:t>
      </w:r>
    </w:p>
    <w:p>
      <w:pPr>
        <w:pStyle w:val="ListBullet"/>
      </w:pPr>
      <w:r>
        <w:t>Padrões válidos, limpos e adequados às faixas esperadas.</w:t>
      </w:r>
    </w:p>
    <w:p>
      <w:pPr>
        <w:pStyle w:val="ListBullet"/>
      </w:pPr>
      <w:r>
        <w:t>Duplicata de campo e padrão de verificação na frequência prevista no plano.</w:t>
      </w:r>
    </w:p>
    <w:p>
      <w:pPr>
        <w:pStyle w:val="ListBullet"/>
      </w:pPr>
      <w:r>
        <w:t>Resultados instáveis ou fora da faixa devem ser qualificados, não ajustados manualmente.</w:t>
      </w:r>
    </w:p>
    <w:p>
      <w:pPr>
        <w:pStyle w:val="Heading1"/>
      </w:pPr>
      <w:r>
        <w:t>6.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7.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Heading1"/>
      </w:pPr>
      <w:r>
        <w:t>8. Observações para padronização local</w:t>
      </w:r>
    </w:p>
    <w:p>
      <w:pPr>
        <w:pStyle w:val="ListBullet"/>
      </w:pPr>
      <w:r>
        <w:t>Confirmar a versão do AKSO AK88 e as sondas disponíveis no LCA.</w:t>
      </w:r>
    </w:p>
    <w:p>
      <w:pPr>
        <w:pStyle w:val="ListBullet"/>
      </w:pPr>
      <w:r>
        <w:t>Definir padrões, tolerâncias, ordem e frequência de calibração e critérios de estabilidade.</w:t>
      </w:r>
    </w:p>
    <w:p>
      <w:pPr>
        <w:pStyle w:val="ListBullet"/>
      </w:pPr>
      <w:r>
        <w:t>Definir manutenção, troca de membrana/eletrólito e armazenamento de cada sonda.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3-7 · AKSO AK88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Medidor multiparâmetro AKSO AK88</dc:title>
  <dc:subject>3-7 — Uso de equipamentos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