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drawing>
          <wp:inline xmlns:a="http://schemas.openxmlformats.org/drawingml/2006/main" xmlns:pic="http://schemas.openxmlformats.org/drawingml/2006/picture">
            <wp:extent cx="1051560" cy="536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PBE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53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PKicker"/>
      </w:pPr>
      <w:r>
        <w:t>PROTOCOLO DO LABORATÓRIO</w:t>
      </w:r>
    </w:p>
    <w:p>
      <w:pPr>
        <w:pStyle w:val="SOPTitle"/>
      </w:pPr>
      <w:r>
        <w:t>Solução de Extran® 10% (v/v)</w:t>
      </w:r>
    </w:p>
    <w:p>
      <w:pPr>
        <w:pStyle w:val="SOPSubtitle"/>
      </w:pPr>
      <w:r>
        <w:t>Laboratório de Ciências Ambientais · UENF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Código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4-1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Categoria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Preparação de soluções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Local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Bancada ventilada; exaustão local se houver aerossol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</w:t>
      </w:r>
    </w:p>
    <w:p>
      <w:r>
        <w:t>Preparar 1 L de solução a 10% (v/v) a partir de detergente líquido concentrado Extran® ou equivalente aprovado.</w:t>
      </w:r>
    </w:p>
    <w:p>
      <w:pPr>
        <w:pStyle w:val="Heading1"/>
      </w:pPr>
      <w:r>
        <w:t>2. Cuidados e segurança</w:t>
      </w:r>
    </w:p>
    <w:p>
      <w:r>
        <w:t>Realizar somente após treinamento específico e com técnico ou professor responsável disponível e ciente da atividade.</w:t>
      </w:r>
    </w:p>
    <w:p>
      <w:r>
        <w:t>Em qualquer dúvida, pare, mantenha o sistema em condição segura e pergunte ao técnico ou professor responsável.</w:t>
      </w:r>
    </w:p>
    <w:p>
      <w:r>
        <w:t>Nunca improvisar, executar etapa não prevista, alterar concentração/volume ou trabalhar sem a supervisão definida.</w:t>
      </w:r>
    </w:p>
    <w:p>
      <w:r>
        <w:t>Usar jaleco fechado, calça comprida, sapato fechado, óculos de segurança e luvas compatíveis com a FDS/FISPQ.</w:t>
      </w:r>
    </w:p>
    <w:p>
      <w:r>
        <w:t>Evitar aerossóis e contato ocular; consultar a FDS da apresentação comercial exata.</w:t>
      </w:r>
    </w:p>
    <w:p>
      <w:r>
        <w:rPr>
          <w:rFonts w:ascii="Calibri" w:hAnsi="Calibri"/>
          <w:b/>
          <w:color w:val="9B1C1C"/>
          <w:sz w:val="22"/>
        </w:rPr>
        <w:t xml:space="preserve">Cuidado específico: </w:t>
      </w:r>
      <w:r>
        <w:t>Esta fórmula é somente para produto líquido e concentração v/v. Se o produto disponível for pó, outra concentração ou outra formulação, pare e solicite um protocolo específico.</w:t>
      </w:r>
    </w:p>
    <w:p>
      <w:pPr>
        <w:pStyle w:val="Heading1"/>
      </w:pPr>
      <w:r>
        <w:t>3. Materiais, reagentes e equipamentos</w:t>
      </w:r>
    </w:p>
    <w:p>
      <w:pPr>
        <w:pStyle w:val="Heading2"/>
      </w:pPr>
      <w:r>
        <w:t>Vidrarias e recipientes</w:t>
      </w:r>
    </w:p>
    <w:p>
      <w:pPr>
        <w:pStyle w:val="ListBullet"/>
      </w:pPr>
      <w:r>
        <w:t>Proveta de 100 mL</w:t>
      </w:r>
    </w:p>
    <w:p>
      <w:pPr>
        <w:pStyle w:val="ListBullet"/>
      </w:pPr>
      <w:r>
        <w:t>Balão volumétrico ou frasco graduado de 1 L</w:t>
      </w:r>
    </w:p>
    <w:p>
      <w:pPr>
        <w:pStyle w:val="ListBullet"/>
      </w:pPr>
      <w:r>
        <w:t>Funil compatível</w:t>
      </w:r>
    </w:p>
    <w:p>
      <w:pPr>
        <w:pStyle w:val="Heading2"/>
      </w:pPr>
      <w:r>
        <w:t>Materiais auxiliares</w:t>
      </w:r>
    </w:p>
    <w:p>
      <w:pPr>
        <w:pStyle w:val="ListBullet"/>
      </w:pPr>
      <w:r>
        <w:t>Rótulo resistente e marcador</w:t>
      </w:r>
    </w:p>
    <w:p>
      <w:pPr>
        <w:pStyle w:val="ListBullet"/>
      </w:pPr>
      <w:r>
        <w:t>Bandeja de contenção</w:t>
      </w:r>
    </w:p>
    <w:p>
      <w:pPr>
        <w:pStyle w:val="ListBullet"/>
      </w:pPr>
      <w:r>
        <w:t>Recipiente de resíduo compatível</w:t>
      </w:r>
    </w:p>
    <w:p>
      <w:pPr>
        <w:pStyle w:val="Heading2"/>
      </w:pPr>
      <w:r>
        <w:t>Equipamentos</w:t>
      </w:r>
    </w:p>
    <w:p>
      <w:pPr>
        <w:pStyle w:val="ListBullet"/>
      </w:pPr>
      <w:r>
        <w:t>Agitador magnético opcional</w:t>
      </w:r>
    </w:p>
    <w:p>
      <w:pPr>
        <w:pStyle w:val="Heading2"/>
      </w:pPr>
      <w:r>
        <w:t>Reagentes e quantidades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Reagente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Especificação / quantidade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Extran® líquido concentrado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100 mL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Água deionizada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Completar para 1.000 mL</w:t>
            </w:r>
          </w:p>
        </w:tc>
      </w:tr>
    </w:tbl>
    <w:p>
      <w:pPr>
        <w:spacing w:after="0"/>
      </w:pPr>
    </w:p>
    <w:p>
      <w:pPr>
        <w:pStyle w:val="Heading1"/>
      </w:pPr>
      <w:r>
        <w:t>4. Preparo</w:t>
      </w:r>
    </w:p>
    <w:p>
      <w:pPr>
        <w:pStyle w:val="Heading2"/>
      </w:pPr>
      <w:r>
        <w:t>Preparo</w:t>
      </w:r>
    </w:p>
    <w:p>
      <w:pPr>
        <w:pStyle w:val="ListNumber"/>
      </w:pPr>
      <w:r>
        <w:t>Adicionar cerca de 700 mL de água ao recipiente.</w:t>
      </w:r>
    </w:p>
    <w:p>
      <w:pPr>
        <w:pStyle w:val="ListNumber"/>
      </w:pPr>
      <w:r>
        <w:t>Medir 100 mL do concentrado e transferir lentamente, evitando espuma.</w:t>
      </w:r>
    </w:p>
    <w:p>
      <w:pPr>
        <w:pStyle w:val="ListNumber"/>
      </w:pPr>
      <w:r>
        <w:t>Homogeneizar suavemente e completar para 1.000 mL com água.</w:t>
      </w:r>
    </w:p>
    <w:p>
      <w:pPr>
        <w:pStyle w:val="ListNumber"/>
      </w:pPr>
      <w:r>
        <w:t>Misturar por inversão, rotular e registrar.</w:t>
      </w:r>
    </w:p>
    <w:p>
      <w:pPr>
        <w:pStyle w:val="Heading1"/>
      </w:pPr>
      <w:r>
        <w:t>5. Controle e critérios de qualidade</w:t>
      </w:r>
    </w:p>
    <w:p>
      <w:pPr>
        <w:pStyle w:val="ListBullet"/>
      </w:pPr>
      <w:r>
        <w:t>Solução homogênea, sem precipitado ou contaminação visível.</w:t>
      </w:r>
    </w:p>
    <w:p>
      <w:pPr>
        <w:pStyle w:val="ListBullet"/>
      </w:pPr>
      <w:r>
        <w:t>Confirmar apresentação, lote e validade do concentrado.</w:t>
      </w:r>
    </w:p>
    <w:p>
      <w:pPr>
        <w:pStyle w:val="Heading1"/>
      </w:pPr>
      <w:r>
        <w:t>6. Identificação, armazenamento e registros</w:t>
      </w:r>
    </w:p>
    <w:p>
      <w:pPr>
        <w:pStyle w:val="ListBullet"/>
      </w:pPr>
      <w:r>
        <w:t>Rotular antes de iniciar a transferência: nome, concentração, solvente/matriz, data, responsável e perigos.</w:t>
      </w:r>
    </w:p>
    <w:p>
      <w:pPr>
        <w:pStyle w:val="ListBullet"/>
      </w:pPr>
      <w:r>
        <w:t>Registrar a preparação ou análise no controle do laboratório e vincular o lote às amostras.</w:t>
      </w:r>
    </w:p>
    <w:p>
      <w:pPr>
        <w:pStyle w:val="ListBullet"/>
      </w:pPr>
      <w:r>
        <w:t>Definir validade e condição de armazenamento somente após aprovação do responsável e consulta à FDS/FISPQ.</w:t>
      </w:r>
    </w:p>
    <w:p>
      <w:pPr>
        <w:pStyle w:val="Heading2"/>
      </w:pPr>
      <w:r>
        <w:t>Registros</w:t>
      </w:r>
    </w:p>
    <w:p>
      <w:pPr>
        <w:pStyle w:val="ListBullet"/>
      </w:pPr>
      <w:r>
        <w:t>Data, horário, nome e assinatura/rubrica de quem executou e de quem supervisionou.</w:t>
      </w:r>
    </w:p>
    <w:p>
      <w:pPr>
        <w:pStyle w:val="ListBullet"/>
      </w:pPr>
      <w:r>
        <w:t>Identificação, fabricante, lote e validade dos reagentes, filtros e padrões utilizados.</w:t>
      </w:r>
    </w:p>
    <w:p>
      <w:pPr>
        <w:pStyle w:val="ListBullet"/>
      </w:pPr>
      <w:r>
        <w:t>Equipamentos utilizados, identificação patrimonial e situação da calibração/verificação.</w:t>
      </w:r>
    </w:p>
    <w:p>
      <w:pPr>
        <w:pStyle w:val="ListBullet"/>
      </w:pPr>
      <w:r>
        <w:t>Cálculos, massas, volumes, pH, temperatura e qualquer desvio ou intercorrência.</w:t>
      </w:r>
    </w:p>
    <w:p>
      <w:pPr>
        <w:pStyle w:val="Heading1"/>
      </w:pPr>
      <w:r>
        <w:t>7. Limpeza e descarte</w:t>
      </w:r>
    </w:p>
    <w:p>
      <w:pPr>
        <w:pStyle w:val="ListBullet"/>
      </w:pPr>
      <w:r>
        <w:t>Segregar resíduos por compatibilidade química; nunca misturar correntes sem autorização.</w:t>
      </w:r>
    </w:p>
    <w:p>
      <w:pPr>
        <w:pStyle w:val="ListBullet"/>
      </w:pPr>
      <w:r>
        <w:t>Identificar o recipiente de resíduo com conteúdo, perigos, data e responsável.</w:t>
      </w:r>
    </w:p>
    <w:p>
      <w:pPr>
        <w:pStyle w:val="ListBullet"/>
      </w:pPr>
      <w:r>
        <w:t>Descontaminar a área e encaminhar resíduos conforme o plano de gerenciamento do LCA/UENF.</w:t>
      </w:r>
    </w:p>
    <w:p>
      <w:pPr>
        <w:pStyle w:val="ListBullet"/>
      </w:pPr>
      <w:r>
        <w:t>Comunicar imediatamente derramamentos, exposição, quebra de vidro ou descarte incorreto ao responsável.</w:t>
      </w:r>
    </w:p>
    <w:p>
      <w:pPr>
        <w:pStyle w:val="Heading1"/>
      </w:pPr>
      <w:r>
        <w:t>8. Observações para padronização local</w:t>
      </w:r>
    </w:p>
    <w:p>
      <w:pPr>
        <w:pStyle w:val="ListBullet"/>
      </w:pPr>
      <w:r>
        <w:t>Confirmar produto/apresentação e validade operacional da solução.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87078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87078"/>
        <w:sz w:val="17"/>
      </w:rPr>
      <w:t>LCA · 4-1 · Extran 10%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Title">
    <w:name w:val="SOP Title"/>
    <w:pPr>
      <w:spacing w:before="0" w:after="160"/>
    </w:pPr>
    <w:rPr>
      <w:rFonts w:ascii="Calibri" w:hAnsi="Calibri"/>
      <w:b/>
      <w:color w:val="17343B"/>
      <w:sz w:val="44"/>
    </w:rPr>
  </w:style>
  <w:style w:type="paragraph" w:customStyle="1" w:styleId="SOPKicker">
    <w:name w:val="SOP Kicker"/>
    <w:pPr>
      <w:spacing w:before="0" w:after="100"/>
    </w:pPr>
    <w:rPr>
      <w:rFonts w:ascii="Calibri" w:hAnsi="Calibri"/>
      <w:b/>
      <w:color w:val="2E74B5"/>
      <w:sz w:val="18"/>
    </w:rPr>
  </w:style>
  <w:style w:type="paragraph" w:customStyle="1" w:styleId="SOPSubtitle">
    <w:name w:val="SOP Subtitle"/>
    <w:pPr>
      <w:spacing w:before="0" w:after="200"/>
    </w:pPr>
    <w:rPr>
      <w:rFonts w:ascii="Calibri" w:hAnsi="Calibri"/>
      <w:b w:val="0"/>
      <w:color w:val="587078"/>
      <w:sz w:val="22"/>
    </w:rPr>
  </w:style>
  <w:style w:type="paragraph" w:customStyle="1" w:styleId="SOPSmall">
    <w:name w:val="SOP Small"/>
    <w:pPr>
      <w:spacing w:before="40" w:after="40"/>
    </w:pPr>
    <w:rPr>
      <w:rFonts w:ascii="Calibri" w:hAnsi="Calibri"/>
      <w:b w:val="0"/>
      <w:color w:val="5870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Extran® 10% (v/v)</dc:title>
  <dc:subject>4-1 — Preparação de soluções</dc:subject>
  <dc:creator>Laboratório de Ciências Ambientais — UENF</dc:creator>
  <cp:keywords/>
  <dc:description>Documento do Laboratório de Ciências Ambientais — UENF.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