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Solução de ácido nítrico 10% (v/v)</w:t>
      </w:r>
    </w:p>
    <w:p>
      <w:pPr>
        <w:pStyle w:val="SOPSubtitle"/>
      </w:pPr>
      <w:r>
        <w:t>Laboratório de Ciências Ambientais · UENF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4-2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Preparação de soluções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Capela química obrigatória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Preparar 1 L de solução de HNO₃ 10% (v/v) a partir do ácido concentrado aprovado.</w:t>
      </w:r>
    </w:p>
    <w:p>
      <w:pPr>
        <w:pStyle w:val="Heading1"/>
      </w:pPr>
      <w:r>
        <w:t>2. Cuidados e segurança</w:t>
      </w:r>
    </w:p>
    <w:p>
      <w:r>
        <w:t>Realizar somente após treinamento específico e com técnico ou professor responsável disponível e ciente da atividade.</w:t>
      </w:r>
    </w:p>
    <w:p>
      <w:r>
        <w:t>Em qualquer dúvida, pare, mantenha o sistema em condição segura e pergunte ao técnico ou professor responsável.</w:t>
      </w:r>
    </w:p>
    <w:p>
      <w:r>
        <w:t>Nunca improvisar, executar etapa não prevista, alterar concentração/volume ou trabalhar sem a supervisão definida.</w:t>
      </w:r>
    </w:p>
    <w:p>
      <w:r>
        <w:t>Usar jaleco fechado, calça comprida, sapato fechado, óculos de segurança e luvas compatíveis com a FDS/FISPQ.</w:t>
      </w:r>
    </w:p>
    <w:p>
      <w:r>
        <w:t>HNO₃ é oxidante e corrosivo; manter longe de orgânicos, redutores e bases.</w:t>
      </w:r>
    </w:p>
    <w:p>
      <w:r>
        <w:rPr>
          <w:rFonts w:ascii="Calibri" w:hAnsi="Calibri"/>
          <w:b/>
          <w:color w:val="9B1C1C"/>
          <w:sz w:val="22"/>
        </w:rPr>
        <w:t xml:space="preserve">Cuidado específico: </w:t>
      </w:r>
      <w:r>
        <w:t>Sempre adicionar o ácido à água, lentamente e sob resfriamento. Nunca adicionar água ao ácido concentrado.</w:t>
      </w:r>
    </w:p>
    <w:p>
      <w:pPr>
        <w:pStyle w:val="Heading1"/>
      </w:pPr>
      <w:r>
        <w:t>3. Materiais, reagentes e equipamentos</w:t>
      </w:r>
    </w:p>
    <w:p>
      <w:pPr>
        <w:pStyle w:val="Heading2"/>
      </w:pPr>
      <w:r>
        <w:t>Vidrarias e recipientes</w:t>
      </w:r>
    </w:p>
    <w:p>
      <w:pPr>
        <w:pStyle w:val="ListBullet"/>
      </w:pPr>
      <w:r>
        <w:t>Proveta graduada compatível</w:t>
      </w:r>
    </w:p>
    <w:p>
      <w:pPr>
        <w:pStyle w:val="ListBullet"/>
      </w:pPr>
      <w:r>
        <w:t>Béquer de borossilicato de 2 L</w:t>
      </w:r>
    </w:p>
    <w:p>
      <w:pPr>
        <w:pStyle w:val="ListBullet"/>
      </w:pPr>
      <w:r>
        <w:t>Balão volumétrico de 1 L</w:t>
      </w:r>
    </w:p>
    <w:p>
      <w:pPr>
        <w:pStyle w:val="ListBullet"/>
      </w:pPr>
      <w:r>
        <w:t>Funil</w:t>
      </w:r>
    </w:p>
    <w:p>
      <w:pPr>
        <w:pStyle w:val="Heading2"/>
      </w:pPr>
      <w:r>
        <w:t>Materiais auxiliares</w:t>
      </w:r>
    </w:p>
    <w:p>
      <w:pPr>
        <w:pStyle w:val="ListBullet"/>
      </w:pPr>
      <w:r>
        <w:t>Rótulo resistente e marcador</w:t>
      </w:r>
    </w:p>
    <w:p>
      <w:pPr>
        <w:pStyle w:val="ListBullet"/>
      </w:pPr>
      <w:r>
        <w:t>Bandeja de contenção</w:t>
      </w:r>
    </w:p>
    <w:p>
      <w:pPr>
        <w:pStyle w:val="ListBullet"/>
      </w:pPr>
      <w:r>
        <w:t>Recipiente de resíduo compatível</w:t>
      </w:r>
    </w:p>
    <w:p>
      <w:pPr>
        <w:pStyle w:val="Heading2"/>
      </w:pPr>
      <w:r>
        <w:t>Equipamentos</w:t>
      </w:r>
    </w:p>
    <w:p>
      <w:pPr>
        <w:pStyle w:val="ListBullet"/>
      </w:pPr>
      <w:r>
        <w:t>Capela química</w:t>
      </w:r>
    </w:p>
    <w:p>
      <w:pPr>
        <w:pStyle w:val="ListBullet"/>
      </w:pPr>
      <w:r>
        <w:t>Banho de resfriamento se necessário</w:t>
      </w:r>
    </w:p>
    <w:p>
      <w:pPr>
        <w:pStyle w:val="Heading2"/>
      </w:pPr>
      <w:r>
        <w:t>Reagentes e quantidades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Especificação / quantidade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Água deionizada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Inicialmente ~700 mL; completar para 1.000 mL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HNO₃ concentrado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100 mL</w:t>
            </w:r>
          </w:p>
        </w:tc>
      </w:tr>
    </w:tbl>
    <w:p>
      <w:pPr>
        <w:spacing w:after="0"/>
      </w:pPr>
    </w:p>
    <w:p>
      <w:pPr>
        <w:pStyle w:val="Heading1"/>
      </w:pPr>
      <w:r>
        <w:t>4. Preparo</w:t>
      </w:r>
    </w:p>
    <w:p>
      <w:pPr>
        <w:pStyle w:val="Heading2"/>
      </w:pPr>
      <w:r>
        <w:t>Diluição</w:t>
      </w:r>
    </w:p>
    <w:p>
      <w:pPr>
        <w:pStyle w:val="ListNumber"/>
      </w:pPr>
      <w:r>
        <w:t>Colocar ~700 mL de água no béquer dentro da capela.</w:t>
      </w:r>
    </w:p>
    <w:p>
      <w:pPr>
        <w:pStyle w:val="ListNumber"/>
      </w:pPr>
      <w:r>
        <w:t>Medir 100 mL de HNO₃ concentrado e adicionar lentamente à água sob agitação.</w:t>
      </w:r>
    </w:p>
    <w:p>
      <w:pPr>
        <w:pStyle w:val="ListNumber"/>
      </w:pPr>
      <w:r>
        <w:t>Aguardar retorno à temperatura ambiente.</w:t>
      </w:r>
    </w:p>
    <w:p>
      <w:pPr>
        <w:pStyle w:val="ListNumber"/>
      </w:pPr>
      <w:r>
        <w:t>Transferir quantitativamente ao balão de 1 L, completar com água e homogeneizar.</w:t>
      </w:r>
    </w:p>
    <w:p>
      <w:pPr>
        <w:pStyle w:val="Heading1"/>
      </w:pPr>
      <w:r>
        <w:t>5. Controle e critérios de qualidade</w:t>
      </w:r>
    </w:p>
    <w:p>
      <w:pPr>
        <w:pStyle w:val="ListBullet"/>
      </w:pPr>
      <w:r>
        <w:t>Solução límpida; volume ajustado somente após resfriamento.</w:t>
      </w:r>
    </w:p>
    <w:p>
      <w:pPr>
        <w:pStyle w:val="ListBullet"/>
      </w:pPr>
      <w:r>
        <w:t>Registrar concentração/lote do ácido original.</w:t>
      </w:r>
    </w:p>
    <w:p>
      <w:pPr>
        <w:pStyle w:val="Heading1"/>
      </w:pPr>
      <w:r>
        <w:t>6. Identificação, armazenamento e registros</w:t>
      </w:r>
    </w:p>
    <w:p>
      <w:pPr>
        <w:pStyle w:val="ListBullet"/>
      </w:pPr>
      <w:r>
        <w:t>Rotular antes de iniciar a transferência: nome, concentração, solvente/matriz, data, responsável e perigos.</w:t>
      </w:r>
    </w:p>
    <w:p>
      <w:pPr>
        <w:pStyle w:val="ListBullet"/>
      </w:pPr>
      <w:r>
        <w:t>Registrar a preparação ou análise no controle do laboratório e vincular o lote às amostras.</w:t>
      </w:r>
    </w:p>
    <w:p>
      <w:pPr>
        <w:pStyle w:val="ListBullet"/>
      </w:pPr>
      <w:r>
        <w:t>Definir validade e condição de armazenamento somente após aprovação do responsável e consulta à FDS/FISPQ.</w:t>
      </w:r>
    </w:p>
    <w:p>
      <w:pPr>
        <w:pStyle w:val="Heading2"/>
      </w:pPr>
      <w:r>
        <w:t>Registros</w:t>
      </w:r>
    </w:p>
    <w:p>
      <w:pPr>
        <w:pStyle w:val="ListBullet"/>
      </w:pPr>
      <w:r>
        <w:t>Data, horário, nome e assinatura/rubrica de quem executou e de quem supervisionou.</w:t>
      </w:r>
    </w:p>
    <w:p>
      <w:pPr>
        <w:pStyle w:val="ListBullet"/>
      </w:pPr>
      <w:r>
        <w:t>Identificação, fabricante, lote e validade dos reagentes, filtros e padrões utilizados.</w:t>
      </w:r>
    </w:p>
    <w:p>
      <w:pPr>
        <w:pStyle w:val="ListBullet"/>
      </w:pPr>
      <w:r>
        <w:t>Equipamentos utilizados, identificação patrimonial e situação da calibração/verificação.</w:t>
      </w:r>
    </w:p>
    <w:p>
      <w:pPr>
        <w:pStyle w:val="ListBullet"/>
      </w:pPr>
      <w:r>
        <w:t>Cálculos, massas, volumes, pH, temperatura e qualquer desvio ou intercorrência.</w:t>
      </w:r>
    </w:p>
    <w:p>
      <w:pPr>
        <w:pStyle w:val="Heading1"/>
      </w:pPr>
      <w:r>
        <w:t>7. Limpeza e descarte</w:t>
      </w:r>
    </w:p>
    <w:p>
      <w:pPr>
        <w:pStyle w:val="ListBullet"/>
      </w:pPr>
      <w:r>
        <w:t>Segregar resíduos por compatibilidade química; nunca misturar correntes sem autorização.</w:t>
      </w:r>
    </w:p>
    <w:p>
      <w:pPr>
        <w:pStyle w:val="ListBullet"/>
      </w:pPr>
      <w:r>
        <w:t>Identificar o recipiente de resíduo com conteúdo, perigos, data e responsável.</w:t>
      </w:r>
    </w:p>
    <w:p>
      <w:pPr>
        <w:pStyle w:val="ListBullet"/>
      </w:pPr>
      <w:r>
        <w:t>Descontaminar a área e encaminhar resíduos conforme o plano de gerenciamento do LCA/UENF.</w:t>
      </w:r>
    </w:p>
    <w:p>
      <w:pPr>
        <w:pStyle w:val="ListBullet"/>
      </w:pPr>
      <w:r>
        <w:t>Comunicar imediatamente derramamentos, exposição, quebra de vidro ou descarte incorreto ao responsável.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4-2 · HNO₃ 10%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ácido nítrico 10% (v/v)</dc:title>
  <dc:subject>4-2 — Preparação de soluções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