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Solução de ácido bórico 4% (m/v)</w:t>
      </w:r>
    </w:p>
    <w:p>
      <w:pPr>
        <w:pStyle w:val="SOPSubtitle"/>
      </w:pPr>
      <w:r>
        <w:t>Laboratório de Ciências Ambientais · 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4-9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Preparação de soluções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Bancada; exaustão local/capela durante pesagem se houver poeira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Preparar 1 L de solução de ácido bórico 4% (m/v).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Evitar dispersão e inalação do pó; seguir classificação e restrições da FDS.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Pesa-filtro</w:t>
      </w:r>
    </w:p>
    <w:p>
      <w:pPr>
        <w:pStyle w:val="ListBullet"/>
      </w:pPr>
      <w:r>
        <w:t>Béquer de 1–2 L</w:t>
      </w:r>
    </w:p>
    <w:p>
      <w:pPr>
        <w:pStyle w:val="ListBullet"/>
      </w:pPr>
      <w:r>
        <w:t>Balão volumétrico de 1 L</w:t>
      </w:r>
    </w:p>
    <w:p>
      <w:pPr>
        <w:pStyle w:val="ListBullet"/>
      </w:pPr>
      <w:r>
        <w:t>Funil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Rótulo resistente e marcador</w:t>
      </w:r>
    </w:p>
    <w:p>
      <w:pPr>
        <w:pStyle w:val="ListBullet"/>
      </w:pPr>
      <w:r>
        <w:t>Bandeja de contenção</w:t>
      </w:r>
    </w:p>
    <w:p>
      <w:pPr>
        <w:pStyle w:val="ListBullet"/>
      </w:pPr>
      <w:r>
        <w:t>Recipiente de resíduo compatível</w:t>
      </w:r>
    </w:p>
    <w:p>
      <w:pPr>
        <w:pStyle w:val="Heading2"/>
      </w:pPr>
      <w:r>
        <w:t>Equipamentos</w:t>
      </w:r>
    </w:p>
    <w:p>
      <w:pPr>
        <w:pStyle w:val="ListBullet"/>
      </w:pPr>
      <w:r>
        <w:t>Balança analítica</w:t>
      </w:r>
    </w:p>
    <w:p>
      <w:pPr>
        <w:pStyle w:val="ListBullet"/>
      </w:pPr>
      <w:r>
        <w:t>Agitador magnético</w:t>
      </w:r>
    </w:p>
    <w:p>
      <w:pPr>
        <w:pStyle w:val="ListBullet"/>
      </w:pPr>
      <w:r>
        <w:t>Exaustão local para pó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Ácido bórico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40,0 g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deionizada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Completar para 1.000 mL</w:t>
            </w:r>
          </w:p>
        </w:tc>
      </w:tr>
    </w:tbl>
    <w:p>
      <w:pPr>
        <w:spacing w:after="0"/>
      </w:pPr>
    </w:p>
    <w:p>
      <w:pPr>
        <w:pStyle w:val="Heading1"/>
      </w:pPr>
      <w:r>
        <w:t>4. Preparo</w:t>
      </w:r>
    </w:p>
    <w:p>
      <w:pPr>
        <w:pStyle w:val="Heading2"/>
      </w:pPr>
      <w:r>
        <w:t>Preparo</w:t>
      </w:r>
    </w:p>
    <w:p>
      <w:pPr>
        <w:pStyle w:val="ListNumber"/>
      </w:pPr>
      <w:r>
        <w:t>Pesar 40,0 g de ácido bórico evitando poeira.</w:t>
      </w:r>
    </w:p>
    <w:p>
      <w:pPr>
        <w:pStyle w:val="ListNumber"/>
      </w:pPr>
      <w:r>
        <w:t>Dissolver em ~800 mL de água sob agitação; usar aquecimento suave somente se aprovado.</w:t>
      </w:r>
    </w:p>
    <w:p>
      <w:pPr>
        <w:pStyle w:val="ListNumber"/>
      </w:pPr>
      <w:r>
        <w:t>Resfriar à temperatura ambiente se aquecido.</w:t>
      </w:r>
    </w:p>
    <w:p>
      <w:pPr>
        <w:pStyle w:val="ListNumber"/>
      </w:pPr>
      <w:r>
        <w:t>Transferir ao balão, completar a 1 L e homogeneizar.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Solução límpida e sem sólidos após equilíbrio térmico.</w:t>
      </w:r>
    </w:p>
    <w:p>
      <w:pPr>
        <w:pStyle w:val="ListBullet"/>
      </w:pPr>
      <w:r>
        <w:t>Massa e volume registrados com equipamentos verificados.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Definir validade e necessidade de controle de pH.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4-9 · Ácido bórico 4%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ácido bórico 4% (m/v)</dc:title>
  <dc:subject>4-9 — Preparação de soluções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