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16838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  <w:vAlign w:val="top"/>
          </w:tcPr>
          <w:p>
            <w:pPr>
              <w:spacing w:before="4000"/>
            </w:pPr>
          </w:p>
          <w:p>
            <w:pPr>
              <w:spacing w:after="80" w:line="920" w:lineRule="atLeast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80"/>
                <w:szCs w:val="80"/>
              </w:rPr>
              <w:t xml:space="preserve">BOM管理系统</w:t>
            </w:r>
          </w:p>
          <w:p>
            <w:pPr>
              <w:pBdr>
                <w:bottom w:val="single" w:color="5B8DB8" w:sz="6" w:space="10"/>
              </w:pBdr>
              <w:spacing w:after="200" w:before="200"/>
              <w:ind w:left="3000" w:right="3000"/>
              <w:jc w:val="center"/>
            </w:pPr>
          </w:p>
          <w:p>
            <w:pPr>
              <w:spacing w:after="300" w:before="200"/>
              <w:jc w:val="center"/>
            </w:pPr>
            <w:r>
              <w:rPr>
                <w:rFonts w:ascii="Calibri" w:eastAsia="Microsoft YaHei"/>
                <w:color w:val="B0B8C0"/>
                <w:sz w:val="32"/>
                <w:szCs w:val="32"/>
              </w:rPr>
              <w:t xml:space="preserve">系统架构设计文档</w:t>
            </w:r>
          </w:p>
          <w:p>
            <w:pPr>
              <w:spacing w:after="40" w:before="80"/>
              <w:jc w:val="center"/>
            </w:pPr>
            <w:r>
              <w:rPr>
                <w:rFonts w:ascii="Calibri" w:eastAsia="Microsoft YaHei"/>
                <w:color w:val="90989F"/>
                <w:sz w:val="22"/>
                <w:szCs w:val="22"/>
              </w:rPr>
              <w:t xml:space="preserve">版本: v1.0</w:t>
            </w:r>
          </w:p>
          <w:p>
            <w:pPr>
              <w:spacing w:after="40" w:before="80"/>
              <w:jc w:val="center"/>
            </w:pPr>
            <w:r>
              <w:rPr>
                <w:rFonts w:ascii="Calibri" w:eastAsia="Microsoft YaHei"/>
                <w:color w:val="90989F"/>
                <w:sz w:val="22"/>
                <w:szCs w:val="22"/>
              </w:rPr>
              <w:t xml:space="preserve">日期: 2026-05-28</w:t>
            </w:r>
          </w:p>
          <w:p>
            <w:pPr>
              <w:spacing w:before="2000"/>
              <w:jc w:val="center"/>
            </w:pPr>
            <w:r>
              <w:rPr>
                <w:rFonts w:ascii="Calibri" w:eastAsia="Microsoft YaHei"/>
                <w:color w:val="687078"/>
                <w:sz w:val="20"/>
                <w:szCs w:val="20"/>
              </w:rPr>
              <w:t xml:space="preserve">BOMMaster Project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rFonts w:ascii="Calibri" w:eastAsia="SimHei"/>
          <w:b/>
          <w:bCs/>
          <w:color w:val="0A1628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架构原则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系统分层架构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分层详解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层间调用规则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 模块划分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3.1 核心模块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3.2 模块间依赖关系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4. 数据流设计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4.1 BOM 编辑数据流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4.2 Excel 导入数据流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5. Tauri IPC 架构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5.1 IPC 命令定义规范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5.2 已定义的 IPC 命令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6. 状态管理架构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6.1 Pinia Store 设计原则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6.2 Store 列表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7. 错误处理架构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7.1 错误分类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7.2 错误处理流程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8. 安全架构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8.1 Tauri 安全沙箱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8.2 数据安全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100"/>
        <w:jc w:val="center"/>
      </w:pPr>
      <w:r>
        <w:rPr>
          <w:rFonts w:ascii="Calibri" w:eastAsia="Microsoft YaHei"/>
          <w:i/>
          <w:iCs/>
          <w:color w:val="6878A0"/>
          <w:sz w:val="18"/>
          <w:szCs w:val="18"/>
        </w:rPr>
        <w:t xml:space="preserve">（请右键目录→“更新域”以刷新页码）</w:t>
      </w:r>
    </w:p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20" w:before="360"/>
      </w:pPr>
      <w:bookmarkStart w:id="100000" w:name="_Toc100000"/>
      <w:r>
        <w:rPr>
          <w:rFonts w:ascii="Calibri" w:eastAsia="SimHei"/>
          <w:b/>
          <w:bCs/>
          <w:color w:val="0A1628"/>
          <w:sz w:val="32"/>
          <w:szCs w:val="32"/>
        </w:rPr>
        <w:t xml:space="preserve">1. 架构原则</w:t>
      </w:r>
      <w:bookmarkEnd w:id="100000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本系统遵循以下核心架构原则，所有代码生成必须严格遵守：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严格分层：表现层(UI)、业务逻辑层(Service)、数据访问层(DAL)严禁跨层调用。表现层只能调用 Service 层，Service 层只能调用 DAL 层，不得跳层。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高内聚低耦合：模块间通过接口/事件通信，避免直接依赖具体实现。每个模块应可独立测试、独立替换。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单向数据流：数据从 DAL → Service → UI 单向流动，上层不应直接修改下层数据，而是通过接口触发变更。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关注点分离：业务逻辑与技术实现分离，如数据校验与数据库操作分开、UI 组件与业务逻辑分开。</w:t>
      </w:r>
    </w:p>
    <w:p>
      <w:pPr>
        <w:pStyle w:val="Heading1"/>
        <w:spacing w:after="120" w:before="360"/>
      </w:pPr>
      <w:bookmarkStart w:id="100001" w:name="_Toc100001"/>
      <w:r>
        <w:rPr>
          <w:rFonts w:ascii="Calibri" w:eastAsia="SimHei"/>
          <w:b/>
          <w:bCs/>
          <w:color w:val="0A1628"/>
          <w:sz w:val="32"/>
          <w:szCs w:val="32"/>
        </w:rPr>
        <w:t xml:space="preserve">2. 系统分层架构</w:t>
      </w:r>
      <w:bookmarkEnd w:id="100001"/>
    </w:p>
    <w:p>
      <w:pPr>
        <w:pStyle w:val="Heading2"/>
        <w:spacing w:after="100" w:before="280"/>
      </w:pPr>
      <w:bookmarkStart w:id="100002" w:name="_Toc100002"/>
      <w:r>
        <w:rPr>
          <w:rFonts w:ascii="Calibri" w:eastAsia="SimHei"/>
          <w:b/>
          <w:bCs/>
          <w:color w:val="0A1628"/>
          <w:sz w:val="28"/>
          <w:szCs w:val="28"/>
        </w:rPr>
        <w:t xml:space="preserve">2.1 分层详解</w:t>
      </w:r>
      <w:bookmarkEnd w:id="100002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pct" w:w="2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  <w:tc>
          <w:tcPr>
            <w:tcW w:type="pct" w:w="2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核心组件</w:t>
            </w:r>
          </w:p>
        </w:tc>
        <w:tc>
          <w:tcPr>
            <w:tcW w:type="pct" w:w="32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允许调用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表现层 (UI Layer)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用户界面渲染、用户交互、状态展示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Vue Components + Pinia Stores</w:t>
            </w:r>
          </w:p>
        </w:tc>
        <w:tc>
          <w:tcPr>
            <w:tcW w:type="pct" w:w="3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只能调用 Service 层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业务逻辑层 (Service Layer)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业务规则执行、数据校验、流程控制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TypeScript Service Classes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只能调用 DAL 层和 IPC 层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通信层 (IPC Layer)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前后端通信桥梁、安全沙箱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Tauri IPC Commands</w:t>
            </w:r>
          </w:p>
        </w:tc>
        <w:tc>
          <w:tcPr>
            <w:tcW w:type="pct" w:w="3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双向转发 Service 层调用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数据访问层 (DAL Layer)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数据库 CRUD、查询构建、事务管理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Prisma Client + Repositories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只能访问 SQLite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系统层 (System Layer)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文件系统、系统 API、底层操作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Tauri Rust Core</w:t>
            </w:r>
          </w:p>
        </w:tc>
        <w:tc>
          <w:tcPr>
            <w:tcW w:type="pct" w:w="3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操作系统级资源</w:t>
            </w:r>
          </w:p>
        </w:tc>
      </w:tr>
    </w:tbl>
    <w:p>
      <w:pPr>
        <w:pStyle w:val="Heading2"/>
        <w:spacing w:after="100" w:before="280"/>
      </w:pPr>
      <w:bookmarkStart w:id="100003" w:name="_Toc100003"/>
      <w:r>
        <w:rPr>
          <w:rFonts w:ascii="Calibri" w:eastAsia="SimHei"/>
          <w:b/>
          <w:bCs/>
          <w:color w:val="0A1628"/>
          <w:sz w:val="28"/>
          <w:szCs w:val="28"/>
        </w:rPr>
        <w:t xml:space="preserve">2.2 层间调用规则</w:t>
      </w:r>
      <w:bookmarkEnd w:id="100003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严格禁止以下调用关系，违反将被视为架构红线：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UI 层直接调用 Prisma Client（必须通过 Service 层封装）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UI 层直接调用 Tauri IPC 命令（必须通过 Service 层封装）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Service 层直接操作 DOM（必须通过 Pinia Store 触发 UI 更新）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DAL 层包含业务逻辑（如版本号生成、状态校验）</w:t>
      </w:r>
    </w:p>
    <w:p>
      <w:pPr>
        <w:pStyle w:val="Heading1"/>
        <w:spacing w:after="120" w:before="360"/>
      </w:pPr>
      <w:bookmarkStart w:id="100004" w:name="_Toc100004"/>
      <w:r>
        <w:rPr>
          <w:rFonts w:ascii="Calibri" w:eastAsia="SimHei"/>
          <w:b/>
          <w:bCs/>
          <w:color w:val="0A1628"/>
          <w:sz w:val="32"/>
          <w:szCs w:val="32"/>
        </w:rPr>
        <w:t xml:space="preserve">3. 模块划分</w:t>
      </w:r>
      <w:bookmarkEnd w:id="100004"/>
    </w:p>
    <w:p>
      <w:pPr>
        <w:pStyle w:val="Heading2"/>
        <w:spacing w:after="100" w:before="280"/>
      </w:pPr>
      <w:bookmarkStart w:id="100005" w:name="_Toc100005"/>
      <w:r>
        <w:rPr>
          <w:rFonts w:ascii="Calibri" w:eastAsia="SimHei"/>
          <w:b/>
          <w:bCs/>
          <w:color w:val="0A1628"/>
          <w:sz w:val="28"/>
          <w:szCs w:val="28"/>
        </w:rPr>
        <w:t xml:space="preserve">3.1 核心模块</w:t>
      </w:r>
      <w:bookmarkEnd w:id="100005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模块名称</w:t>
            </w:r>
          </w:p>
        </w:tc>
        <w:tc>
          <w:tcPr>
            <w:tcW w:type="pct" w:w="2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  <w:tc>
          <w:tcPr>
            <w:tcW w:type="pct" w:w="2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对应 Service</w:t>
            </w:r>
          </w:p>
        </w:tc>
        <w:tc>
          <w:tcPr>
            <w:tcW w:type="pct" w:w="32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对应 Store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项目管理模块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项目的 CRUD、状态流转、统计信息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ProjectService</w:t>
            </w:r>
          </w:p>
        </w:tc>
        <w:tc>
          <w:tcPr>
            <w:tcW w:type="pct" w:w="3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useProjectStore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BOM 编辑模块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BOM 树的创建、编辑、删除、排序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BomService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useBomStore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版本管理模块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版本创建、对比、回滚、历史查询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VersionService</w:t>
            </w:r>
          </w:p>
        </w:tc>
        <w:tc>
          <w:tcPr>
            <w:tcW w:type="pct" w:w="3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useVersionStore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元器件管理模块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元器件的 CRUD、状态管理、搜索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ComponentService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useComponentStore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替代料管理模块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替代关系的建立、查询、状态更新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AlternativeService</w:t>
            </w:r>
          </w:p>
        </w:tc>
        <w:tc>
          <w:tcPr>
            <w:tcW w:type="pct" w:w="3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useAlternativeStore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导入导出模块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Excel 导入、导出、字段映射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ImportExportService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useImportStore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审批流程模块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ECN 申请、审批、通知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ApprovalService</w:t>
            </w:r>
          </w:p>
        </w:tc>
        <w:tc>
          <w:tcPr>
            <w:tcW w:type="pct" w:w="32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useApprovalStore</w:t>
            </w:r>
          </w:p>
        </w:tc>
      </w:tr>
    </w:tbl>
    <w:p>
      <w:pPr>
        <w:pStyle w:val="Heading2"/>
        <w:spacing w:after="100" w:before="280"/>
      </w:pPr>
      <w:bookmarkStart w:id="100006" w:name="_Toc100006"/>
      <w:r>
        <w:rPr>
          <w:rFonts w:ascii="Calibri" w:eastAsia="SimHei"/>
          <w:b/>
          <w:bCs/>
          <w:color w:val="0A1628"/>
          <w:sz w:val="28"/>
          <w:szCs w:val="28"/>
        </w:rPr>
        <w:t xml:space="preserve">3.2 模块间依赖关系</w:t>
      </w:r>
      <w:bookmarkEnd w:id="100006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模块间依赖遵循单向原则，上层模块可依赖下层模块，禁止循环依赖。具体依赖关系如下：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BOM 编辑模块 → 项目管理模块（获取项目信息）、元器件管理模块（获取元器件信息）、版本管理模块（自动创建版本）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版本管理模块 → BOM 编辑模块（获取版本对应的 BOM 数据）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替代料管理模块 → 元器件管理模块（获取元器件信息）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导入导出模块 → BOM 编辑模块（写入导入数据）、元器件管理模块（创建元器件）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审批流程模块 → 版本管理模块（审批通过后生成新版本）</w:t>
      </w:r>
    </w:p>
    <w:p>
      <w:pPr>
        <w:pStyle w:val="Heading1"/>
        <w:spacing w:after="120" w:before="360"/>
      </w:pPr>
      <w:bookmarkStart w:id="100007" w:name="_Toc100007"/>
      <w:r>
        <w:rPr>
          <w:rFonts w:ascii="Calibri" w:eastAsia="SimHei"/>
          <w:b/>
          <w:bCs/>
          <w:color w:val="0A1628"/>
          <w:sz w:val="32"/>
          <w:szCs w:val="32"/>
        </w:rPr>
        <w:t xml:space="preserve">4. 数据流设计</w:t>
      </w:r>
      <w:bookmarkEnd w:id="100007"/>
    </w:p>
    <w:p>
      <w:pPr>
        <w:pStyle w:val="Heading2"/>
        <w:spacing w:after="100" w:before="280"/>
      </w:pPr>
      <w:bookmarkStart w:id="100008" w:name="_Toc100008"/>
      <w:r>
        <w:rPr>
          <w:rFonts w:ascii="Calibri" w:eastAsia="SimHei"/>
          <w:b/>
          <w:bCs/>
          <w:color w:val="0A1628"/>
          <w:sz w:val="28"/>
          <w:szCs w:val="28"/>
        </w:rPr>
        <w:t xml:space="preserve">4.1 BOM 编辑数据流</w:t>
      </w:r>
      <w:bookmarkEnd w:id="100008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用户在 UI 层触发操作（如添加节点）→ UI 层调用 Service 层的对应方法（如 BomService.addNode()）→ Service 层执行业务校验（层级深度检查、重复检查）→ Service 层调用 DAL 层写入数据库→ Service 层通知 VersionService 创建新版本→ Service 层更新 Pinia Store → UI 层响应式更新。</w:t>
      </w:r>
    </w:p>
    <w:p>
      <w:pPr>
        <w:pStyle w:val="Heading2"/>
        <w:spacing w:after="100" w:before="280"/>
      </w:pPr>
      <w:bookmarkStart w:id="100009" w:name="_Toc100009"/>
      <w:r>
        <w:rPr>
          <w:rFonts w:ascii="Calibri" w:eastAsia="SimHei"/>
          <w:b/>
          <w:bCs/>
          <w:color w:val="0A1628"/>
          <w:sz w:val="28"/>
          <w:szCs w:val="28"/>
        </w:rPr>
        <w:t xml:space="preserve">4.2 Excel 导入数据流</w:t>
      </w:r>
      <w:bookmarkEnd w:id="100009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用户上传文件 → UI 层调用 Tauri IPC 命令读取文件 → Rust 侧返回文件路径 → UI 层调用 ImportExportService.parseExcel() → Service 层使用 ExcelJS 解析文件 → 返回解析结果到 UI 层展示字段映射界面 → 用户确认映射 → ImportExportService.executeImport() 分批写入数据库 → 实时更新进度。</w:t>
      </w:r>
    </w:p>
    <w:p>
      <w:pPr>
        <w:pStyle w:val="Heading1"/>
        <w:spacing w:after="120" w:before="360"/>
      </w:pPr>
      <w:bookmarkStart w:id="100010" w:name="_Toc100010"/>
      <w:r>
        <w:rPr>
          <w:rFonts w:ascii="Calibri" w:eastAsia="SimHei"/>
          <w:b/>
          <w:bCs/>
          <w:color w:val="0A1628"/>
          <w:sz w:val="32"/>
          <w:szCs w:val="32"/>
        </w:rPr>
        <w:t xml:space="preserve">5. Tauri IPC 架构</w:t>
      </w:r>
      <w:bookmarkEnd w:id="100010"/>
    </w:p>
    <w:p>
      <w:pPr>
        <w:pStyle w:val="Heading2"/>
        <w:spacing w:after="100" w:before="280"/>
      </w:pPr>
      <w:bookmarkStart w:id="100011" w:name="_Toc100011"/>
      <w:r>
        <w:rPr>
          <w:rFonts w:ascii="Calibri" w:eastAsia="SimHei"/>
          <w:b/>
          <w:bCs/>
          <w:color w:val="0A1628"/>
          <w:sz w:val="28"/>
          <w:szCs w:val="28"/>
        </w:rPr>
        <w:t xml:space="preserve">5.1 IPC 命令定义规范</w:t>
      </w:r>
      <w:bookmarkEnd w:id="100011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所有 Tauri IPC 命令遵循统一的命名和参数规范，确保前后端接口一致性：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命令命名：采用 plugin:module:action 格式，如 plugin:fs:read_file、plugin:bom:import_excel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参数传递：所有参数必须通过强类型的 TypeScript 接口定义，Rust 侧使用 serde 反序列化。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返回值：统一使用 Result&lt;T, AppError&gt; 类型，成功返回数据，失败返回结构化错误信息。</w:t>
      </w:r>
    </w:p>
    <w:p>
      <w:pPr>
        <w:pStyle w:val="Heading2"/>
        <w:spacing w:after="100" w:before="280"/>
      </w:pPr>
      <w:bookmarkStart w:id="100012" w:name="_Toc100012"/>
      <w:r>
        <w:rPr>
          <w:rFonts w:ascii="Calibri" w:eastAsia="SimHei"/>
          <w:b/>
          <w:bCs/>
          <w:color w:val="0A1628"/>
          <w:sz w:val="28"/>
          <w:szCs w:val="28"/>
        </w:rPr>
        <w:t xml:space="preserve">5.2 已定义的 IPC 命令</w:t>
      </w:r>
      <w:bookmarkEnd w:id="100012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命令名</w:t>
            </w:r>
          </w:p>
        </w:tc>
        <w:tc>
          <w:tcPr>
            <w:tcW w:type="pct" w:w="3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参数</w:t>
            </w:r>
          </w:p>
        </w:tc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返回值</w:t>
            </w:r>
          </w:p>
        </w:tc>
        <w:tc>
          <w:tcPr>
            <w:tcW w:type="pct" w:w="25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plugin:fs:read_file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path: string }</w:t>
            </w:r>
          </w:p>
        </w:tc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Result&lt;Uint8Array&gt;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读取本地文件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plugin:fs:write_file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path: string, data: Uint8Array }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Result&lt;void&gt;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写入本地文件</w:t>
            </w:r>
          </w:p>
        </w:tc>
      </w:tr>
      <w:tr>
        <w:trPr>
          <w:cantSplit/>
        </w:trPr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plugin:fs:pick_file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filters: FileFilter[] }</w:t>
            </w:r>
          </w:p>
        </w:tc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Result&lt;string[]&gt;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打开文件选择对话框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plugin:fs:pick_save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defaultPath: string }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Result&lt;string&gt;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打开保存对话框</w:t>
            </w:r>
          </w:p>
        </w:tc>
      </w:tr>
      <w:tr>
        <w:trPr>
          <w:cantSplit/>
        </w:trPr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plugin:bom:import_excel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filePath: string, mapping: FieldMapping }</w:t>
            </w:r>
          </w:p>
        </w:tc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Result&lt;ImportResult&gt;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导入 Excel BOM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plugin:bom:export_excel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bomId: string, template: string }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Result&lt;string&gt;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导出 BOM 为 Excel</w:t>
            </w:r>
          </w:p>
        </w:tc>
      </w:tr>
      <w:tr>
        <w:trPr>
          <w:cantSplit/>
        </w:trPr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plugin:db:backup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{}</w:t>
            </w:r>
          </w:p>
        </w:tc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Result&lt;string&gt;</w:t>
            </w:r>
          </w:p>
        </w:tc>
        <w:tc>
          <w:tcPr>
            <w:tcW w:type="pct" w:w="25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手动触发数据库备份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plugin:db:restore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{ backupPath: string }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Result&lt;void&gt;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从备份恢复数据库</w:t>
            </w:r>
          </w:p>
        </w:tc>
      </w:tr>
    </w:tbl>
    <w:p>
      <w:pPr>
        <w:pStyle w:val="Heading1"/>
        <w:spacing w:after="120" w:before="360"/>
      </w:pPr>
      <w:bookmarkStart w:id="100013" w:name="_Toc100013"/>
      <w:r>
        <w:rPr>
          <w:rFonts w:ascii="Calibri" w:eastAsia="SimHei"/>
          <w:b/>
          <w:bCs/>
          <w:color w:val="0A1628"/>
          <w:sz w:val="32"/>
          <w:szCs w:val="32"/>
        </w:rPr>
        <w:t xml:space="preserve">6. 状态管理架构</w:t>
      </w:r>
      <w:bookmarkEnd w:id="100013"/>
    </w:p>
    <w:p>
      <w:pPr>
        <w:pStyle w:val="Heading2"/>
        <w:spacing w:after="100" w:before="280"/>
      </w:pPr>
      <w:bookmarkStart w:id="100014" w:name="_Toc100014"/>
      <w:r>
        <w:rPr>
          <w:rFonts w:ascii="Calibri" w:eastAsia="SimHei"/>
          <w:b/>
          <w:bCs/>
          <w:color w:val="0A1628"/>
          <w:sz w:val="28"/>
          <w:szCs w:val="28"/>
        </w:rPr>
        <w:t xml:space="preserve">6.1 Pinia Store 设计原则</w:t>
      </w:r>
      <w:bookmarkEnd w:id="100014"/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每个核心模块对应一个 Pinia Store，存储该模块的状态和操作。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Store 中禁止直接调用 Prisma 或 IPC，必须通过 Service 层间接调用。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Store 只存储 UI 状态（当前选中项目、展开的节点等），不存储业务逻辑。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异步操作使用 async action，加载状态使用 loading/error 双字段模式。</w:t>
      </w:r>
    </w:p>
    <w:p>
      <w:pPr>
        <w:pStyle w:val="Heading2"/>
        <w:spacing w:after="100" w:before="280"/>
      </w:pPr>
      <w:bookmarkStart w:id="100015" w:name="_Toc100015"/>
      <w:r>
        <w:rPr>
          <w:rFonts w:ascii="Calibri" w:eastAsia="SimHei"/>
          <w:b/>
          <w:bCs/>
          <w:color w:val="0A1628"/>
          <w:sz w:val="28"/>
          <w:szCs w:val="28"/>
        </w:rPr>
        <w:t xml:space="preserve">6.2 Store 列表</w:t>
      </w:r>
      <w:bookmarkEnd w:id="100015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Store 名称</w:t>
            </w:r>
          </w:p>
        </w:tc>
        <w:tc>
          <w:tcPr>
            <w:tcW w:type="pct" w:w="4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核心 State</w:t>
            </w:r>
          </w:p>
        </w:tc>
        <w:tc>
          <w:tcPr>
            <w:tcW w:type="pct" w:w="4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核心 Actions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useProjectStore</w:t>
            </w:r>
          </w:p>
        </w:tc>
        <w:tc>
          <w:tcPr>
            <w:tcW w:type="pct" w:w="4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projects[], currentProject, loading, error</w:t>
            </w:r>
          </w:p>
        </w:tc>
        <w:tc>
          <w:tcPr>
            <w:tcW w:type="pct" w:w="4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fetchProjects, createProject, updateProject, deleteProject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useBomStore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bomTree, selectedNode, expandedKeys, loading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loadBomTree, addNode, updateNode, deleteNode, moveNode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useVersionStore</w:t>
            </w:r>
          </w:p>
        </w:tc>
        <w:tc>
          <w:tcPr>
            <w:tcW w:type="pct" w:w="4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versions[], currentVersion, diffResult</w:t>
            </w:r>
          </w:p>
        </w:tc>
        <w:tc>
          <w:tcPr>
            <w:tcW w:type="pct" w:w="4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fetchVersions, createVersion, compareVersions, rollbackVersion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useComponentStore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components[], searchQuery, filters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fetchComponents, createComponent, updateStatus, searchComponents</w:t>
            </w:r>
          </w:p>
        </w:tc>
      </w:tr>
      <w:tr>
        <w:trPr>
          <w:cantSplit/>
        </w:trPr>
        <w:tc>
          <w:tcPr>
            <w:tcW w:type="pct" w:w="2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useAlternativeStore</w:t>
            </w:r>
          </w:p>
        </w:tc>
        <w:tc>
          <w:tcPr>
            <w:tcW w:type="pct" w:w="4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alternatives[], relationGraph</w:t>
            </w:r>
          </w:p>
        </w:tc>
        <w:tc>
          <w:tcPr>
            <w:tcW w:type="pct" w:w="4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fetchAlternatives, addAlternative, updatePriority, removeAlternative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useImportStore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importProgress, fieldMapping, previewData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parseExcel, confirmMapping, executeImport, saveTemplate</w:t>
            </w:r>
          </w:p>
        </w:tc>
      </w:tr>
    </w:tbl>
    <w:p>
      <w:pPr>
        <w:pStyle w:val="Heading1"/>
        <w:spacing w:after="120" w:before="360"/>
      </w:pPr>
      <w:bookmarkStart w:id="100016" w:name="_Toc100016"/>
      <w:r>
        <w:rPr>
          <w:rFonts w:ascii="Calibri" w:eastAsia="SimHei"/>
          <w:b/>
          <w:bCs/>
          <w:color w:val="0A1628"/>
          <w:sz w:val="32"/>
          <w:szCs w:val="32"/>
        </w:rPr>
        <w:t xml:space="preserve">7. 错误处理架构</w:t>
      </w:r>
      <w:bookmarkEnd w:id="100016"/>
    </w:p>
    <w:p>
      <w:pPr>
        <w:pStyle w:val="Heading2"/>
        <w:spacing w:after="100" w:before="280"/>
      </w:pPr>
      <w:bookmarkStart w:id="100017" w:name="_Toc100017"/>
      <w:r>
        <w:rPr>
          <w:rFonts w:ascii="Calibri" w:eastAsia="SimHei"/>
          <w:b/>
          <w:bCs/>
          <w:color w:val="0A1628"/>
          <w:sz w:val="28"/>
          <w:szCs w:val="28"/>
        </w:rPr>
        <w:t xml:space="preserve">7.1 错误分类</w:t>
      </w:r>
      <w:bookmarkEnd w:id="100017"/>
    </w:p>
    <w:tbl>
      <w:tblPr>
        <w:tblW w:type="pct" w:w="100%"/>
        <w:tblBorders>
          <w:top w:val="single" w:color="5B8DB8" w:sz="2"/>
          <w:left w:val="single" w:color="D0D0D0" w:sz="1"/>
          <w:bottom w:val="single" w:color="5B8DB8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错误类型</w:t>
            </w:r>
          </w:p>
        </w:tc>
        <w:tc>
          <w:tcPr>
            <w:tcW w:type="pct" w:w="18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错误码范围</w:t>
            </w:r>
          </w:p>
        </w:tc>
        <w:tc>
          <w:tcPr>
            <w:tcW w:type="pct" w:w="30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处理策略</w:t>
            </w:r>
          </w:p>
        </w:tc>
        <w:tc>
          <w:tcPr>
            <w:tcW w:type="pct" w:w="34%"/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业务错误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B1000-B1999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返回友好提示，不重试</w:t>
            </w:r>
          </w:p>
        </w:tc>
        <w:tc>
          <w:tcPr>
            <w:tcW w:type="pct" w:w="34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B1001: 层级超过最大深度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数据校验错误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B2000-B2999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返回具体字段错误信息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B2001: 型号不能为空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数据库错误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D3000-D3999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记录日志，提示用户重试</w:t>
            </w:r>
          </w:p>
        </w:tc>
        <w:tc>
          <w:tcPr>
            <w:tcW w:type="pct" w:w="34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D3001: 唯一约束冲突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文件操作错误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F4000-F4999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记录日志，提示用户检查文件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F4001: 文件格式不支持</w:t>
            </w:r>
          </w:p>
        </w:tc>
      </w:tr>
      <w:tr>
        <w:trPr>
          <w:cantSplit/>
        </w:trPr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系统错误</w:t>
            </w:r>
          </w:p>
        </w:tc>
        <w:tc>
          <w:tcPr>
            <w:tcW w:type="pct" w:w="18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S5000-S5999</w:t>
            </w:r>
          </w:p>
        </w:tc>
        <w:tc>
          <w:tcPr>
            <w:tcW w:type="pct" w:w="30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记录日志，建议重启应用</w:t>
            </w:r>
          </w:p>
        </w:tc>
        <w:tc>
          <w:tcPr>
            <w:tcW w:type="pct" w:w="34%"/>
            <w:shd w:fill="ED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S5001: 数据库连接失败</w:t>
            </w:r>
          </w:p>
        </w:tc>
      </w:tr>
    </w:tbl>
    <w:p>
      <w:pPr>
        <w:pStyle w:val="Heading2"/>
        <w:spacing w:after="100" w:before="280"/>
      </w:pPr>
      <w:bookmarkStart w:id="100018" w:name="_Toc100018"/>
      <w:r>
        <w:rPr>
          <w:rFonts w:ascii="Calibri" w:eastAsia="SimHei"/>
          <w:b/>
          <w:bCs/>
          <w:color w:val="0A1628"/>
          <w:sz w:val="28"/>
          <w:szCs w:val="28"/>
        </w:rPr>
        <w:t xml:space="preserve">7.2 错误处理流程</w:t>
      </w:r>
      <w:bookmarkEnd w:id="100018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所有异步操作必须使用 try-catch 包裹。在 Service 层捕获底层异常（Prisma 异常、IPC 异常）并转换为业务错误码。在 UI 层捕获 Service 层抛出的业务错误，通过 ElMessage 展示友好提示。所有错误必须通过 console.error 记录完整堆栈，便于调试。禁止使用 alert() 展示错误。</w:t>
      </w:r>
    </w:p>
    <w:p>
      <w:pPr>
        <w:pStyle w:val="Heading1"/>
        <w:spacing w:after="120" w:before="360"/>
      </w:pPr>
      <w:bookmarkStart w:id="100019" w:name="_Toc100019"/>
      <w:r>
        <w:rPr>
          <w:rFonts w:ascii="Calibri" w:eastAsia="SimHei"/>
          <w:b/>
          <w:bCs/>
          <w:color w:val="0A1628"/>
          <w:sz w:val="32"/>
          <w:szCs w:val="32"/>
        </w:rPr>
        <w:t xml:space="preserve">8. 安全架构</w:t>
      </w:r>
      <w:bookmarkEnd w:id="100019"/>
    </w:p>
    <w:p>
      <w:pPr>
        <w:pStyle w:val="Heading2"/>
        <w:spacing w:after="100" w:before="280"/>
      </w:pPr>
      <w:bookmarkStart w:id="100020" w:name="_Toc100020"/>
      <w:r>
        <w:rPr>
          <w:rFonts w:ascii="Calibri" w:eastAsia="SimHei"/>
          <w:b/>
          <w:bCs/>
          <w:color w:val="0A1628"/>
          <w:sz w:val="28"/>
          <w:szCs w:val="28"/>
        </w:rPr>
        <w:t xml:space="preserve">8.1 Tauri 安全沙箱</w:t>
      </w:r>
      <w:bookmarkEnd w:id="100020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Tauri v2 采用能力基础的安全模型，所有系统级操作（文件访问、网络请求、系统调用）均需在 tauri.conf.json 中显式声明权限。前端代码在沙箱中运行，无法直接访问系统资源，必须通过 IPC 命令与后端通信。这种架构确保了即使前端代码存在漏洞，也无法对用户系统造成危害。</w:t>
      </w:r>
    </w:p>
    <w:p>
      <w:pPr>
        <w:pStyle w:val="Heading2"/>
        <w:spacing w:after="100" w:before="280"/>
      </w:pPr>
      <w:bookmarkStart w:id="100021" w:name="_Toc100021"/>
      <w:r>
        <w:rPr>
          <w:rFonts w:ascii="Calibri" w:eastAsia="SimHei"/>
          <w:b/>
          <w:bCs/>
          <w:color w:val="0A1628"/>
          <w:sz w:val="28"/>
          <w:szCs w:val="28"/>
        </w:rPr>
        <w:t xml:space="preserve">8.2 数据安全</w:t>
      </w:r>
      <w:bookmarkEnd w:id="100021"/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数据库文件存储在用户 AppData 目录，不与应用程序安装目录混放。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数据库文件采用 SQLite 加密扩展（SQLCipher），防止未授权访问。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自动备份文件存储在独立目录，与主数据库物理隔离。</w:t>
      </w:r>
    </w:p>
    <w:p>
      <w:pPr>
        <w:spacing w:after="40" w:line="312"/>
        <w:ind w:left="480"/>
      </w:pPr>
      <w:r>
        <w:rPr>
          <w:rFonts w:ascii="Calibri" w:eastAsia="Microsoft YaHe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关键操作审计日志记录在独立的 AuditLog 表中，不可修改。</w:t>
      </w:r>
    </w:p>
    <w:sectPr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rFonts w:ascii="Calibri" w:eastAsia="SimHei"/>
      <w:b/>
      <w:bCs/>
      <w:color w:val="0A1628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rFonts w:ascii="Calibri" w:eastAsia="SimHei"/>
      <w:b/>
      <w:bCs/>
      <w:color w:val="0A1628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rFonts w:ascii="Calibri" w:eastAsia="SimHei"/>
      <w:b/>
      <w:bCs/>
      <w:color w:val="0A1628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2026-05-28T07:02:24.495Z</dcterms:created>
  <dcterms:modified xsi:type="dcterms:W3CDTF">2026-05-28T07:02:24.495Z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