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00"/>
            </w:pPr>
          </w:p>
          <w:p>
            <w:pPr>
              <w:spacing w:after="80" w:line="920" w:lineRule="atLeast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BOM管理系统</w:t>
            </w:r>
          </w:p>
          <w:p>
            <w:pPr>
              <w:pBdr>
                <w:bottom w:val="single" w:color="5B8DB8" w:sz="6" w:space="10"/>
              </w:pBdr>
              <w:spacing w:after="200" w:before="200"/>
              <w:ind w:left="3000" w:right="3000"/>
              <w:jc w:val="center"/>
            </w:pPr>
          </w:p>
          <w:p>
            <w:pPr>
              <w:spacing w:after="300" w:before="200"/>
              <w:jc w:val="center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编码与AI Agent提示词规范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v1.0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2026-05-28</w:t>
            </w:r>
          </w:p>
          <w:p>
            <w:pPr>
              <w:spacing w:before="2000"/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BOMMaster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TypeScript 严格模式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命名规范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基本规则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文件命名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架构红线 (AI Agent 强规则)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禁止跨层调用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禁止硬编码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3.3 组件单一职责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Vue 3 组件模式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 组合式 API 规范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 Props 定义规范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4.3 事件处理规范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Prisma 使用规范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查询规范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迁移规范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Tauri IPC 规范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 命令定义规范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 类型同步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 错误处理规范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 异步操作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 错误边界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 测试规范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8.1 测试覆盖率要求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8.2 测试命名规范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 Git 提交规范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9.1 Commit Message 规范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9.2 分支规范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10. AI Agent 提示词规范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10.1 代码生成提示词模板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10.2 模块生成指引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10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（请右键目录→“更新域”以刷新页码）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TypeScript 严格模式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所有代码必须在 tsconfig.json 中开启 strict: true。绝对禁止使用 any 类型，如遇类型未知，必须使用 unknown 并进行类型守卫。避免使用隐式的类型推断，函数参数和返回值必须显式声明类型。禁止使用 @ts-ignore 和 @ts-nocheck，必须通过正确的类型定义解决类型错误。优先使用 interface 定义对象类型，使用 type 定义联合类型和交叉类型。</w:t>
      </w:r>
    </w:p>
    <w:p>
      <w:pPr>
        <w:pStyle w:val="Heading1"/>
        <w:spacing w:after="120" w:before="360"/>
      </w:pPr>
      <w:bookmarkStart w:id="100001" w:name="_Toc100001"/>
      <w:r>
        <w:rPr>
          <w:rFonts w:ascii="Calibri" w:eastAsia="SimHei"/>
          <w:b/>
          <w:bCs/>
          <w:color w:val="0A1628"/>
          <w:sz w:val="32"/>
          <w:szCs w:val="32"/>
        </w:rPr>
        <w:t xml:space="preserve">2. 命名规范</w:t>
      </w:r>
      <w:bookmarkEnd w:id="100001"/>
    </w:p>
    <w:p>
      <w:pPr>
        <w:pStyle w:val="Heading2"/>
        <w:spacing w:after="100" w:before="280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2.1 基本规则</w:t>
      </w:r>
      <w:bookmarkEnd w:id="10000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pct" w:w="5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变量/函数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getBomTree, isLeafNode, componentList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类/接口/类型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PascalCase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BomTreeNode, ComponentEntity, ProjectStatus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常量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UPPER_SNAKE_CASE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MAX_TREE_DEPTH, DEFAULT_PAGE_SIZE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枚举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PascalCase + PascalCase members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ProjectStatus { DRAFT, Active, Archived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私有属性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 + _ 前缀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_internalState, _cache</w:t>
            </w:r>
          </w:p>
        </w:tc>
      </w:tr>
    </w:tbl>
    <w:p>
      <w:pPr>
        <w:pStyle w:val="Heading2"/>
        <w:spacing w:after="10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2.2 文件命名</w:t>
      </w:r>
      <w:bookmarkEnd w:id="100003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文件类型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命名规则</w:t>
            </w:r>
          </w:p>
        </w:tc>
        <w:tc>
          <w:tcPr>
            <w:tcW w:type="pct" w:w="5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组件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PascalCase.vue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BomTree.vue, FieldMapper.vue, VersionDiff.vue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Composable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 + PascalCase.ts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useBom.ts, useProject.ts, useImport.ts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Service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camelCase.service.ts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bom.service.ts, project.service.ts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Store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camelCase.store.ts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bom.store.ts, project.store.ts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类型定义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camelCase.types.ts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bom.types.ts, component.types.ts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工具函数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camelCase.ts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format.ts, validator.ts, excelHelper.ts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 Model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PascalCase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Project, BomNode, Component</w:t>
            </w:r>
          </w:p>
        </w:tc>
      </w:tr>
    </w:tbl>
    <w:p>
      <w:pPr>
        <w:pStyle w:val="Heading1"/>
        <w:spacing w:after="120" w:before="360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3. 架构红线 (AI Agent 强规则)</w:t>
      </w:r>
      <w:bookmarkEnd w:id="10000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以下规则为架构级别的强制约束，AI Agent 生成代码时必须严格遵守，违反将导致代码审查不通过：</w:t>
      </w:r>
    </w:p>
    <w:p>
      <w:pPr>
        <w:pStyle w:val="Heading2"/>
        <w:spacing w:after="100" w:before="280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3.1 禁止跨层调用</w:t>
      </w:r>
      <w:bookmarkEnd w:id="10000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.vue 文件中严禁出现 prisma.xxx.findMany() 的调用。必须通过 services/ 层封装。同样，.vue 文件中严禁直接调用 Tauri IPC 命令（如 invoke('plugin:fs:read_file')），必须通过 Service 层封装。这确保了 UI 层与数据层的解耦，便于测试和维护。</w:t>
      </w:r>
    </w:p>
    <w:p>
      <w:pPr>
        <w:pStyle w:val="Heading2"/>
        <w:spacing w:after="10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3.2 禁止硬编码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魔法数字必须提取为常量。错误写法：if (level &gt; 10)；正确写法：if (level &gt; MAX_TREE_DEPTH)。字符串常量必须提取为枚举或常量。错误写法：status === 'ACTIVE'；正确写法：status === ComponentStatus.ACTIVE。API 路径必须提取为常量。错误写法：fetch('/api/v1/projects')；正确写法：fetch(API_BASE + API_ENDPOINTS.PROJECTS)。</w:t>
      </w:r>
    </w:p>
    <w:p>
      <w:pPr>
        <w:pStyle w:val="Heading2"/>
        <w:spacing w:after="100" w:before="280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3.3 组件单一职责</w:t>
      </w:r>
      <w:bookmarkEnd w:id="10000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单个 Vue 组件代码行数超过 300 行时，必须考虑拆分为子组件。每个组件只负责一个职责：BomTree 只负责树的渲染和交互，BomNodeDetail 只负责节点详情的展示和编辑。共享逻辑提取到 composable 中，如 useBom()、useProject()。</w:t>
      </w:r>
    </w:p>
    <w:p>
      <w:pPr>
        <w:pStyle w:val="Heading1"/>
        <w:spacing w:after="120" w:before="360"/>
      </w:pPr>
      <w:bookmarkStart w:id="100008" w:name="_Toc100008"/>
      <w:r>
        <w:rPr>
          <w:rFonts w:ascii="Calibri" w:eastAsia="SimHei"/>
          <w:b/>
          <w:bCs/>
          <w:color w:val="0A1628"/>
          <w:sz w:val="32"/>
          <w:szCs w:val="32"/>
        </w:rPr>
        <w:t xml:space="preserve">4. Vue 3 组件模式</w:t>
      </w:r>
      <w:bookmarkEnd w:id="100008"/>
    </w:p>
    <w:p>
      <w:pPr>
        <w:pStyle w:val="Heading2"/>
        <w:spacing w:after="10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4.1 组合式 API 规范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 Vue 组件必须使用 &lt;script setup lang="ts"&gt; 语法。组件内部逻辑按以下顺序组织：1. Props 定义（使用 withDefaults + defineProps）；2. Emits 定义（defineEmits）；3. Composables 引用；4. 响应式数据（ref/reactive/computed）；5. 方法函数；6. 生命周期钩子（watch/onMounted 等）。禁止使用 Options API。</w:t>
      </w:r>
    </w:p>
    <w:p>
      <w:pPr>
        <w:pStyle w:val="Heading2"/>
        <w:spacing w:after="100" w:before="280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4.2 Props 定义规范</w:t>
      </w:r>
      <w:bookmarkEnd w:id="10001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Props 必须使用 TypeScript 接口定义，并使用 withDefaults 提供默认值。所有 Props 必须添加 JSDoc 注释说明用途。禁止使用 Object 类型的 props 默认值，必须使用工厂函数。示例：interface Props { nodeId: string; editable?: boolean; } const props = withDefaults(defineProps&lt;Props&gt;(), { editable: true });</w:t>
      </w:r>
    </w:p>
    <w:p>
      <w:pPr>
        <w:pStyle w:val="Heading2"/>
        <w:spacing w:after="100" w:before="280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4.3 事件处理规范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组件间通信优先使用 Props + Emits 模式。跨层级通信使用 Pinia Store。全局事件使用 mitt 事件总线（仅用于无关系模块间的通知）。事件名采用 update:xxx / change:xxx 格式，如 @update:node、@change:selection。禁止在子组件中直接修改父组件的状态。</w:t>
      </w:r>
    </w:p>
    <w:p>
      <w:pPr>
        <w:pStyle w:val="Heading1"/>
        <w:spacing w:after="120" w:before="360"/>
      </w:pPr>
      <w:bookmarkStart w:id="100012" w:name="_Toc100012"/>
      <w:r>
        <w:rPr>
          <w:rFonts w:ascii="Calibri" w:eastAsia="SimHei"/>
          <w:b/>
          <w:bCs/>
          <w:color w:val="0A1628"/>
          <w:sz w:val="32"/>
          <w:szCs w:val="32"/>
        </w:rPr>
        <w:t xml:space="preserve">5. Prisma 使用规范</w:t>
      </w:r>
      <w:bookmarkEnd w:id="100012"/>
    </w:p>
    <w:p>
      <w:pPr>
        <w:pStyle w:val="Heading2"/>
        <w:spacing w:after="100" w:before="280"/>
      </w:pPr>
      <w:bookmarkStart w:id="100013" w:name="_Toc100013"/>
      <w:r>
        <w:rPr>
          <w:rFonts w:ascii="Calibri" w:eastAsia="SimHei"/>
          <w:b/>
          <w:bCs/>
          <w:color w:val="0A1628"/>
          <w:sz w:val="28"/>
          <w:szCs w:val="28"/>
        </w:rPr>
        <w:t xml:space="preserve">5.1 查询规范</w:t>
      </w:r>
      <w:bookmarkEnd w:id="100013"/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禁止在业务代码中直接使用原始 SQL，必须通过 Prisma 的查询 API。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复杂查询必须封装在 Service 层，不得在 UI 层构建查询条件。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批量操作必须使用 Prisma 的 createMany/updateMany/deleteMany，禁止在循环中逐条操作。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事务操作必须使用 prisma.$transaction()，确保数据一致性。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软删除查询必须包含 where: { deletedAt: null } 条件。</w:t>
      </w:r>
    </w:p>
    <w:p>
      <w:pPr>
        <w:pStyle w:val="Heading2"/>
        <w:spacing w:after="100" w:before="280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5.2 迁移规范</w:t>
      </w:r>
      <w:bookmarkEnd w:id="100014"/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每次 schema 变更后必须执行 npx prisma migrate dev --name {description}。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迁移名称使用描述性英文，如 add_audit_log_table、add_deleted_at_to_project。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禁止修改已执行的迁移文件，必须创建新的迁移。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数据迁移必须在迁移文件中处理，不得使用种子脚本修改生产数据。</w:t>
      </w:r>
    </w:p>
    <w:p>
      <w:pPr>
        <w:pStyle w:val="Heading1"/>
        <w:spacing w:after="120" w:before="360"/>
      </w:pPr>
      <w:bookmarkStart w:id="100015" w:name="_Toc100015"/>
      <w:r>
        <w:rPr>
          <w:rFonts w:ascii="Calibri" w:eastAsia="SimHei"/>
          <w:b/>
          <w:bCs/>
          <w:color w:val="0A1628"/>
          <w:sz w:val="32"/>
          <w:szCs w:val="32"/>
        </w:rPr>
        <w:t xml:space="preserve">6. Tauri IPC 规范</w:t>
      </w:r>
      <w:bookmarkEnd w:id="100015"/>
    </w:p>
    <w:p>
      <w:pPr>
        <w:pStyle w:val="Heading2"/>
        <w:spacing w:after="100" w:before="280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6.1 命令定义规范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Rust 侧命令必须使用 #[tauri::command] 宏标记，参数和返回值必须使用 serde 序列化的类型。所有命令必须在 src-tauri/src/commands/ 目录下定义，按模块分文件组织（fs.rs、bom.rs、db.rs）。前端调用必须通过 Service 层封装，禁止在 .vue 文件中直接调用 invoke()。</w:t>
      </w:r>
    </w:p>
    <w:p>
      <w:pPr>
        <w:pStyle w:val="Heading2"/>
        <w:spacing w:after="100" w:before="280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6.2 类型同步</w:t>
      </w:r>
      <w:bookmarkEnd w:id="10001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前后端的数据类型必须保持一致。TypeScript 侧定义请求/响应接口，Rust 侧定义对应的 struct。建议使用 ts-rs 或类似工具自动从 Rust 类型生成 TypeScript 接口定义，避免手动维护两套类型。所有 IPC 命令的参数和返回值必须有对应的 TypeScript 类型定义文件。</w:t>
      </w:r>
    </w:p>
    <w:p>
      <w:pPr>
        <w:pStyle w:val="Heading1"/>
        <w:spacing w:after="120" w:before="360"/>
      </w:pPr>
      <w:bookmarkStart w:id="100018" w:name="_Toc100018"/>
      <w:r>
        <w:rPr>
          <w:rFonts w:ascii="Calibri" w:eastAsia="SimHei"/>
          <w:b/>
          <w:bCs/>
          <w:color w:val="0A1628"/>
          <w:sz w:val="32"/>
          <w:szCs w:val="32"/>
        </w:rPr>
        <w:t xml:space="preserve">7. 错误处理规范</w:t>
      </w:r>
      <w:bookmarkEnd w:id="100018"/>
    </w:p>
    <w:p>
      <w:pPr>
        <w:pStyle w:val="Heading2"/>
        <w:spacing w:after="100" w:before="280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7.1 异步操作</w:t>
      </w:r>
      <w:bookmarkEnd w:id="10001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所有涉及异步操作（Prisma 查询、文件读取、IPC 调用）的代码，必须使用 try-catch 包裹。捕获到错误时，必须使用 console.error 记录完整堆栈，并通过 UI 框架（如 ElMessage）向用户展示友好的错误提示，禁止直接 alert()。在 Service 层捕获底层异常并转换为业务错误码，在 UI 层捕获 Service 层抛出的业务错误并展示。</w:t>
      </w:r>
    </w:p>
    <w:p>
      <w:pPr>
        <w:pStyle w:val="Heading2"/>
        <w:spacing w:after="100" w:before="280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7.2 错误边界</w:t>
      </w:r>
      <w:bookmarkEnd w:id="10002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Service 层是错误处理的核心边界。DAL 层捕获的 Prisma 异常必须在 Service 层转换为业务错误，不得向上层透传底层异常。IPC 层捕获的网络/系统异常必须在 Service 层转换为用户可理解的提示。UI 层只处理 Service 层抛出的业务错误，不处理底层异常。</w:t>
      </w:r>
    </w:p>
    <w:p>
      <w:pPr>
        <w:pStyle w:val="Heading1"/>
        <w:spacing w:after="120" w:before="360"/>
      </w:pPr>
      <w:bookmarkStart w:id="100021" w:name="_Toc100021"/>
      <w:r>
        <w:rPr>
          <w:rFonts w:ascii="Calibri" w:eastAsia="SimHei"/>
          <w:b/>
          <w:bCs/>
          <w:color w:val="0A1628"/>
          <w:sz w:val="32"/>
          <w:szCs w:val="32"/>
        </w:rPr>
        <w:t xml:space="preserve">8. 测试规范</w:t>
      </w:r>
      <w:bookmarkEnd w:id="100021"/>
    </w:p>
    <w:p>
      <w:pPr>
        <w:pStyle w:val="Heading2"/>
        <w:spacing w:after="100" w:before="280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8.1 测试覆盖率要求</w:t>
      </w:r>
      <w:bookmarkEnd w:id="10002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最低覆盖率</w:t>
            </w:r>
          </w:p>
        </w:tc>
        <w:tc>
          <w:tcPr>
            <w:tcW w:type="pct" w:w="6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重点测试内容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Service 层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80%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业务规则、数据校证、错误处理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Composable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70%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状态管理、异步操作、边界条件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组件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60%</w:t>
            </w:r>
          </w:p>
        </w:tc>
        <w:tc>
          <w:tcPr>
            <w:tcW w:type="pct" w:w="6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用户交互、事件触发、Props 传递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E2E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核心流程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导入流程、BOM 编辑流程、版本管理流程</w:t>
            </w:r>
          </w:p>
        </w:tc>
      </w:tr>
    </w:tbl>
    <w:p>
      <w:pPr>
        <w:pStyle w:val="Heading2"/>
        <w:spacing w:after="100" w:before="280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8.2 测试命名规范</w:t>
      </w:r>
      <w:bookmarkEnd w:id="10002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测试文件命名：{sourceFile}.test.ts，与源文件同目录或 __tests__ 目录。测试用例命名：describe('{模块名}') + it('should {expected behavior} when {condition}')。示例：describe('BomService') + it('should reject adding node when level exceeds max depth')。每个测试用例必须包含 Arrange-Act-Assert 三段式结构。</w:t>
      </w:r>
    </w:p>
    <w:p>
      <w:pPr>
        <w:pStyle w:val="Heading1"/>
        <w:spacing w:after="120" w:before="360"/>
      </w:pPr>
      <w:bookmarkStart w:id="100024" w:name="_Toc100024"/>
      <w:r>
        <w:rPr>
          <w:rFonts w:ascii="Calibri" w:eastAsia="SimHei"/>
          <w:b/>
          <w:bCs/>
          <w:color w:val="0A1628"/>
          <w:sz w:val="32"/>
          <w:szCs w:val="32"/>
        </w:rPr>
        <w:t xml:space="preserve">9. Git 提交规范</w:t>
      </w:r>
      <w:bookmarkEnd w:id="100024"/>
    </w:p>
    <w:p>
      <w:pPr>
        <w:pStyle w:val="Heading2"/>
        <w:spacing w:after="100" w:before="280"/>
      </w:pPr>
      <w:bookmarkStart w:id="100025" w:name="_Toc100025"/>
      <w:r>
        <w:rPr>
          <w:rFonts w:ascii="Calibri" w:eastAsia="SimHei"/>
          <w:b/>
          <w:bCs/>
          <w:color w:val="0A1628"/>
          <w:sz w:val="28"/>
          <w:szCs w:val="28"/>
        </w:rPr>
        <w:t xml:space="preserve">9.1 Commit Message 规范</w:t>
      </w:r>
      <w:bookmarkEnd w:id="10002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Git Commit Message 遵循 Angular 规范，格式为：&lt;type&gt;(&lt;scope&gt;): &lt;subject&gt;。其中 type 包括：feat（新功能）、fix（修复）、refactor（重构）、docs（文档）、test（测试）、chore（构建/工具）。scope 为影响的模块，如 bom、project、import。subject 使用英文，不超过 72 字符。示例：feat(bom): add node drag-and-drop sorting support、fix(import): resolve Excel date field parsing error。</w:t>
      </w:r>
    </w:p>
    <w:p>
      <w:pPr>
        <w:pStyle w:val="Heading2"/>
        <w:spacing w:after="100" w:before="280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9.2 分支规范</w:t>
      </w:r>
      <w:bookmarkEnd w:id="100026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分支类型</w:t>
            </w:r>
          </w:p>
        </w:tc>
        <w:tc>
          <w:tcPr>
            <w:tcW w:type="pct" w:w="3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命名规则</w:t>
            </w:r>
          </w:p>
        </w:tc>
        <w:tc>
          <w:tcPr>
            <w:tcW w:type="pct" w:w="4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主分支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main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main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开发分支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develop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develop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功能分支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feature/{description}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feature/bom-tree-editor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修复分支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fix/{description}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fix/excel-import-validation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发布分支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release/{version}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release/v1.0.0</w:t>
            </w:r>
          </w:p>
        </w:tc>
      </w:tr>
    </w:tbl>
    <w:p>
      <w:pPr>
        <w:pStyle w:val="Heading1"/>
        <w:spacing w:after="120" w:before="360"/>
      </w:pPr>
      <w:bookmarkStart w:id="100027" w:name="_Toc100027"/>
      <w:r>
        <w:rPr>
          <w:rFonts w:ascii="Calibri" w:eastAsia="SimHei"/>
          <w:b/>
          <w:bCs/>
          <w:color w:val="0A1628"/>
          <w:sz w:val="32"/>
          <w:szCs w:val="32"/>
        </w:rPr>
        <w:t xml:space="preserve">10. AI Agent 提示词规范</w:t>
      </w:r>
      <w:bookmarkEnd w:id="100027"/>
    </w:p>
    <w:p>
      <w:pPr>
        <w:pStyle w:val="Heading2"/>
        <w:spacing w:after="100" w:before="280"/>
      </w:pPr>
      <w:bookmarkStart w:id="100028" w:name="_Toc100028"/>
      <w:r>
        <w:rPr>
          <w:rFonts w:ascii="Calibri" w:eastAsia="SimHei"/>
          <w:b/>
          <w:bCs/>
          <w:color w:val="0A1628"/>
          <w:sz w:val="28"/>
          <w:szCs w:val="28"/>
        </w:rPr>
        <w:t xml:space="preserve">10.1 代码生成提示词模板</w:t>
      </w:r>
      <w:bookmarkEnd w:id="10002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当使用 AI Agent 生成代码时，建议使用以下提示词模板，确保生成的代码符合本项目规范：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【模板】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请根据 BOMMaster 项目规范生成代码：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1. 使用 TypeScript strict 模式，禁止 any 类型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2. 遵循分层架构：UI → Service → DAL，禁止跨层调用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3. Vue 组件使用 &lt;script setup lang="ts"&gt;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4. 数据库操作通过 Prisma ORM，禁止原始 SQL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5. 所有异步操作使用 try-catch，错误通过 ElMessage 展示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6. 常量提取，禁止硬编码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【任务】{specific task description}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【参考文档】{relevant doc sections}</w:t>
      </w:r>
    </w:p>
    <w:p>
      <w:pPr>
        <w:pStyle w:val="Heading2"/>
        <w:spacing w:after="100" w:before="280"/>
      </w:pPr>
      <w:bookmarkStart w:id="100029" w:name="_Toc100029"/>
      <w:r>
        <w:rPr>
          <w:rFonts w:ascii="Calibri" w:eastAsia="SimHei"/>
          <w:b/>
          <w:bCs/>
          <w:color w:val="0A1628"/>
          <w:sz w:val="28"/>
          <w:szCs w:val="28"/>
        </w:rPr>
        <w:t xml:space="preserve">10.2 模块生成指引</w:t>
      </w:r>
      <w:bookmarkEnd w:id="100029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生成目标</w:t>
            </w:r>
          </w:p>
        </w:tc>
        <w:tc>
          <w:tcPr>
            <w:tcW w:type="pct" w:w="3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必须参考的文档</w:t>
            </w:r>
          </w:p>
        </w:tc>
        <w:tc>
          <w:tcPr>
            <w:tcW w:type="pct" w:w="4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关键约束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数据库表/迁移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数据库设计文档 §2-§5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 Schema、索引、迁移规范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Service 层业务逻辑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PRD §2 + 架构文档 §3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分层调用、错误处理、事务管理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API 接口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API规范文档 §2-§7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统一响应格式、错误码、分页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组件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PRD §2 + 编码规范 §4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script setup、Props 规范、单一职责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IPC 命令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架构文档 §5 + 编码规范 §6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类型同步、安全沙箱、命令命名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Pinia Store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架构文档 §6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状态与操作分离、异步操作规范</w:t>
            </w:r>
          </w:p>
        </w:tc>
      </w:tr>
    </w:tbl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2026-05-28T07:02:24.678Z</dcterms:created>
  <dcterms:modified xsi:type="dcterms:W3CDTF">2026-05-28T07:02:24.678Z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