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D8682" w14:textId="77777777" w:rsidR="008A4295" w:rsidRDefault="008A4295" w:rsidP="008A4295">
      <w:pPr>
        <w:spacing w:line="480" w:lineRule="auto"/>
        <w:rPr>
          <w:rFonts w:asciiTheme="majorHAnsi" w:eastAsia="Times New Roman" w:hAnsiTheme="majorHAnsi" w:cs="Times New Roman"/>
        </w:rPr>
      </w:pPr>
      <w:r>
        <w:rPr>
          <w:rFonts w:asciiTheme="majorHAnsi" w:eastAsia="Times New Roman" w:hAnsiTheme="majorHAnsi" w:cs="Times New Roman"/>
        </w:rPr>
        <w:t>Lissa Callahan</w:t>
      </w:r>
    </w:p>
    <w:p w14:paraId="6A9DD176" w14:textId="77777777" w:rsidR="008A4295" w:rsidRPr="005F460C" w:rsidRDefault="008A4295" w:rsidP="008A4295">
      <w:pPr>
        <w:spacing w:line="480" w:lineRule="auto"/>
        <w:rPr>
          <w:rFonts w:asciiTheme="majorHAnsi" w:eastAsia="Times New Roman" w:hAnsiTheme="majorHAnsi" w:cs="Times New Roman"/>
        </w:rPr>
      </w:pPr>
      <w:r w:rsidRPr="005F460C">
        <w:rPr>
          <w:rFonts w:asciiTheme="majorHAnsi" w:eastAsia="Times New Roman" w:hAnsiTheme="majorHAnsi" w:cs="Times New Roman"/>
        </w:rPr>
        <w:t>CH 203</w:t>
      </w:r>
      <w:r>
        <w:rPr>
          <w:rFonts w:asciiTheme="majorHAnsi" w:eastAsia="Times New Roman" w:hAnsiTheme="majorHAnsi" w:cs="Times New Roman"/>
        </w:rPr>
        <w:t>, sec.</w:t>
      </w:r>
      <w:r w:rsidRPr="005F460C">
        <w:rPr>
          <w:rFonts w:asciiTheme="majorHAnsi" w:eastAsia="Times New Roman" w:hAnsiTheme="majorHAnsi" w:cs="Times New Roman"/>
        </w:rPr>
        <w:t xml:space="preserve"> 6001</w:t>
      </w:r>
    </w:p>
    <w:p w14:paraId="43798A76" w14:textId="77777777" w:rsidR="008A4295" w:rsidRDefault="008A4295" w:rsidP="008A4295">
      <w:pPr>
        <w:spacing w:line="480" w:lineRule="auto"/>
        <w:rPr>
          <w:rFonts w:asciiTheme="majorHAnsi" w:eastAsia="Times New Roman" w:hAnsiTheme="majorHAnsi" w:cs="Times New Roman"/>
        </w:rPr>
      </w:pPr>
      <w:r>
        <w:rPr>
          <w:rFonts w:asciiTheme="majorHAnsi" w:eastAsia="Times New Roman" w:hAnsiTheme="majorHAnsi" w:cs="Times New Roman"/>
        </w:rPr>
        <w:t>31 December 2016</w:t>
      </w:r>
    </w:p>
    <w:p w14:paraId="28C1BA11" w14:textId="77777777" w:rsidR="008A4295" w:rsidRPr="005F460C" w:rsidRDefault="008A4295" w:rsidP="008A4295">
      <w:pPr>
        <w:spacing w:line="480" w:lineRule="auto"/>
        <w:rPr>
          <w:rFonts w:asciiTheme="majorHAnsi" w:eastAsia="Times New Roman" w:hAnsiTheme="majorHAnsi" w:cs="Times New Roman"/>
        </w:rPr>
      </w:pPr>
    </w:p>
    <w:p w14:paraId="2B0BF8EA" w14:textId="77777777" w:rsidR="008A4295" w:rsidRDefault="008A4295" w:rsidP="008A4295">
      <w:pPr>
        <w:spacing w:line="480" w:lineRule="auto"/>
        <w:ind w:firstLine="720"/>
        <w:rPr>
          <w:rFonts w:asciiTheme="majorHAnsi" w:eastAsia="Times New Roman" w:hAnsiTheme="majorHAnsi" w:cs="Times New Roman"/>
        </w:rPr>
      </w:pPr>
      <w:r w:rsidRPr="0092330A">
        <w:rPr>
          <w:rFonts w:asciiTheme="majorHAnsi" w:eastAsia="Times New Roman" w:hAnsiTheme="majorHAnsi" w:cs="Times New Roman"/>
        </w:rPr>
        <w:t>Martin Luther King Jr.’s “Letter from a Birmingham Jail” shows that it is faith that drives his hunger for justice; as such, his use of biblical references not only aide in effective reproach of the reader, the clergy, for its apathy, hypocrisy and close-mindedness, but also reveal King’s humble intentions for doing so.</w:t>
      </w:r>
      <w:r w:rsidRPr="00952B94">
        <w:rPr>
          <w:rFonts w:asciiTheme="majorHAnsi" w:eastAsia="Times New Roman" w:hAnsiTheme="majorHAnsi" w:cs="Times New Roman"/>
          <w:b/>
        </w:rPr>
        <w:t xml:space="preserve">   </w:t>
      </w:r>
      <w:r>
        <w:rPr>
          <w:rFonts w:asciiTheme="majorHAnsi" w:eastAsia="Times New Roman" w:hAnsiTheme="majorHAnsi" w:cs="Times New Roman"/>
        </w:rPr>
        <w:t>This letter repeatedly touches on the biblical significance of extremism, and the “moral responsibility to disobey unjust laws” (King</w:t>
      </w:r>
      <w:r w:rsidR="00825CAE">
        <w:rPr>
          <w:rFonts w:asciiTheme="majorHAnsi" w:eastAsia="Times New Roman" w:hAnsiTheme="majorHAnsi" w:cs="Times New Roman"/>
        </w:rPr>
        <w:t xml:space="preserve"> Jr.</w:t>
      </w:r>
      <w:r>
        <w:rPr>
          <w:rFonts w:asciiTheme="majorHAnsi" w:eastAsia="Times New Roman" w:hAnsiTheme="majorHAnsi" w:cs="Times New Roman"/>
        </w:rPr>
        <w:t>, “Letter”).</w:t>
      </w:r>
    </w:p>
    <w:p w14:paraId="05590194" w14:textId="77777777" w:rsidR="008A4295" w:rsidRDefault="008A4295" w:rsidP="008A4295">
      <w:pPr>
        <w:spacing w:line="480" w:lineRule="auto"/>
        <w:ind w:firstLine="720"/>
        <w:rPr>
          <w:rFonts w:asciiTheme="majorHAnsi" w:eastAsia="Times New Roman" w:hAnsiTheme="majorHAnsi" w:cs="Times New Roman"/>
        </w:rPr>
      </w:pPr>
      <w:r>
        <w:rPr>
          <w:rFonts w:asciiTheme="majorHAnsi" w:eastAsia="Times New Roman" w:hAnsiTheme="majorHAnsi" w:cs="Times New Roman"/>
        </w:rPr>
        <w:t>King did not advocate for blind lawlessness, but says that one must do so humbly with the intention to “arouse the conscience of the community” and out of the “highest respect for the law” (“</w:t>
      </w:r>
      <w:bookmarkStart w:id="0" w:name="_GoBack"/>
      <w:bookmarkEnd w:id="0"/>
      <w:r w:rsidRPr="00AC6714">
        <w:rPr>
          <w:rFonts w:asciiTheme="majorHAnsi" w:eastAsia="Times New Roman" w:hAnsiTheme="majorHAnsi" w:cs="Times New Roman"/>
        </w:rPr>
        <w:t>Letter</w:t>
      </w:r>
      <w:r>
        <w:rPr>
          <w:rFonts w:asciiTheme="majorHAnsi" w:eastAsia="Times New Roman" w:hAnsiTheme="majorHAnsi" w:cs="Times New Roman"/>
        </w:rPr>
        <w:t>”).  In addition to bringing awareness, one must have the have a “willingness to accept the penalty” for the glory of God (</w:t>
      </w:r>
      <w:r w:rsidR="00825CAE">
        <w:rPr>
          <w:rFonts w:asciiTheme="majorHAnsi" w:eastAsia="Times New Roman" w:hAnsiTheme="majorHAnsi" w:cs="Times New Roman"/>
        </w:rPr>
        <w:t>King Jr.</w:t>
      </w:r>
      <w:r>
        <w:rPr>
          <w:rFonts w:asciiTheme="majorHAnsi" w:eastAsia="Times New Roman" w:hAnsiTheme="majorHAnsi" w:cs="Times New Roman"/>
        </w:rPr>
        <w:t>, “Letter”). He uses biblical history to further his point in the next paragraph, regarding the “early Christians who were willing to face hungry lions and…chopping blocks,” to fulfill the call of extremism set forth</w:t>
      </w:r>
      <w:r w:rsidR="00825CAE">
        <w:rPr>
          <w:rFonts w:asciiTheme="majorHAnsi" w:eastAsia="Times New Roman" w:hAnsiTheme="majorHAnsi" w:cs="Times New Roman"/>
        </w:rPr>
        <w:t xml:space="preserve"> (King Jr., “Letter”)</w:t>
      </w:r>
      <w:r>
        <w:rPr>
          <w:rFonts w:asciiTheme="majorHAnsi" w:eastAsia="Times New Roman" w:hAnsiTheme="majorHAnsi" w:cs="Times New Roman"/>
        </w:rPr>
        <w:t xml:space="preserve">.  King often refers to Apostle Paul, an “extremist for the Christian Gospel” who was punished for this same call (imprisoned for much of his biblical writings) and, of course, </w:t>
      </w:r>
      <w:r w:rsidRPr="00EE4EC7">
        <w:rPr>
          <w:rFonts w:asciiTheme="majorHAnsi" w:eastAsia="Times New Roman" w:hAnsiTheme="majorHAnsi" w:cs="Times New Roman"/>
        </w:rPr>
        <w:t>here is King himself,</w:t>
      </w:r>
      <w:r>
        <w:rPr>
          <w:rFonts w:asciiTheme="majorHAnsi" w:eastAsia="Times New Roman" w:hAnsiTheme="majorHAnsi" w:cs="Times New Roman"/>
        </w:rPr>
        <w:t xml:space="preserve"> currently jailed for the charge of “pa</w:t>
      </w:r>
      <w:r w:rsidR="00825CAE">
        <w:rPr>
          <w:rFonts w:asciiTheme="majorHAnsi" w:eastAsia="Times New Roman" w:hAnsiTheme="majorHAnsi" w:cs="Times New Roman"/>
        </w:rPr>
        <w:t>rading without a permit” (</w:t>
      </w:r>
      <w:r>
        <w:rPr>
          <w:rFonts w:asciiTheme="majorHAnsi" w:eastAsia="Times New Roman" w:hAnsiTheme="majorHAnsi" w:cs="Times New Roman"/>
        </w:rPr>
        <w:t>“</w:t>
      </w:r>
      <w:r w:rsidRPr="00AC6714">
        <w:rPr>
          <w:rFonts w:asciiTheme="majorHAnsi" w:eastAsia="Times New Roman" w:hAnsiTheme="majorHAnsi" w:cs="Times New Roman"/>
        </w:rPr>
        <w:t>Letter”).</w:t>
      </w:r>
      <w:r>
        <w:rPr>
          <w:rFonts w:asciiTheme="majorHAnsi" w:eastAsia="Times New Roman" w:hAnsiTheme="majorHAnsi" w:cs="Times New Roman"/>
        </w:rPr>
        <w:t xml:space="preserve">  Furthermore, Jesus was crucified for disobeying unjust laws (on the surface), but how does his “devotion to God’s will [precipitate] the evil act of crucifixion” (King</w:t>
      </w:r>
      <w:r w:rsidR="00825CAE">
        <w:rPr>
          <w:rFonts w:asciiTheme="majorHAnsi" w:eastAsia="Times New Roman" w:hAnsiTheme="majorHAnsi" w:cs="Times New Roman"/>
        </w:rPr>
        <w:t xml:space="preserve"> Jr.</w:t>
      </w:r>
      <w:r>
        <w:rPr>
          <w:rFonts w:asciiTheme="majorHAnsi" w:eastAsia="Times New Roman" w:hAnsiTheme="majorHAnsi" w:cs="Times New Roman"/>
        </w:rPr>
        <w:t>, “Letter”)?</w:t>
      </w:r>
    </w:p>
    <w:p w14:paraId="429E32B4" w14:textId="77777777" w:rsidR="008A4295" w:rsidRPr="007468E6" w:rsidRDefault="008A4295" w:rsidP="008A4295">
      <w:pPr>
        <w:spacing w:line="480" w:lineRule="auto"/>
        <w:ind w:firstLine="720"/>
        <w:rPr>
          <w:rFonts w:asciiTheme="majorHAnsi" w:eastAsia="Times New Roman" w:hAnsiTheme="majorHAnsi" w:cs="Times New Roman"/>
        </w:rPr>
      </w:pPr>
      <w:r>
        <w:rPr>
          <w:rFonts w:asciiTheme="majorHAnsi" w:eastAsia="Times New Roman" w:hAnsiTheme="majorHAnsi" w:cs="Times New Roman"/>
        </w:rPr>
        <w:lastRenderedPageBreak/>
        <w:t xml:space="preserve">It seems that King uses these examples as evidence to show that the church has lost sight of this call—being “caught up by the Zeitgeist”—and has </w:t>
      </w:r>
      <w:r w:rsidRPr="00AC6714">
        <w:rPr>
          <w:rFonts w:asciiTheme="majorHAnsi" w:eastAsia="Times New Roman" w:hAnsiTheme="majorHAnsi" w:cs="Times New Roman"/>
        </w:rPr>
        <w:t>complacently started serving man before God, defyi</w:t>
      </w:r>
      <w:r w:rsidR="00825CAE" w:rsidRPr="00AC6714">
        <w:rPr>
          <w:rFonts w:asciiTheme="majorHAnsi" w:eastAsia="Times New Roman" w:hAnsiTheme="majorHAnsi" w:cs="Times New Roman"/>
        </w:rPr>
        <w:t>ng the biblical first commandment (</w:t>
      </w:r>
      <w:r w:rsidRPr="00AC6714">
        <w:rPr>
          <w:rFonts w:asciiTheme="majorHAnsi" w:eastAsia="Times New Roman" w:hAnsiTheme="majorHAnsi" w:cs="Times New Roman"/>
        </w:rPr>
        <w:t>“Letter”;</w:t>
      </w:r>
      <w:r>
        <w:rPr>
          <w:rFonts w:asciiTheme="majorHAnsi" w:eastAsia="Times New Roman" w:hAnsiTheme="majorHAnsi" w:cs="Times New Roman"/>
        </w:rPr>
        <w:t xml:space="preserve"> Exodus 20:3).  He also refers to 1 Corinthians 12, calling the church “the body of Christ”, and rebukes the clergy for allowing the body to be damaged </w:t>
      </w:r>
      <w:r w:rsidRPr="007468E6">
        <w:rPr>
          <w:rFonts w:asciiTheme="majorHAnsi" w:eastAsia="Times New Roman" w:hAnsiTheme="majorHAnsi" w:cs="Times New Roman"/>
        </w:rPr>
        <w:t>by “social neglect and through f</w:t>
      </w:r>
      <w:r>
        <w:rPr>
          <w:rFonts w:asciiTheme="majorHAnsi" w:eastAsia="Times New Roman" w:hAnsiTheme="majorHAnsi" w:cs="Times New Roman"/>
        </w:rPr>
        <w:t xml:space="preserve">ear </w:t>
      </w:r>
      <w:r w:rsidR="00825CAE">
        <w:rPr>
          <w:rFonts w:asciiTheme="majorHAnsi" w:eastAsia="Times New Roman" w:hAnsiTheme="majorHAnsi" w:cs="Times New Roman"/>
        </w:rPr>
        <w:t xml:space="preserve">of being nonconformists” (King Jr., </w:t>
      </w:r>
      <w:r>
        <w:rPr>
          <w:rFonts w:asciiTheme="majorHAnsi" w:eastAsia="Times New Roman" w:hAnsiTheme="majorHAnsi" w:cs="Times New Roman"/>
        </w:rPr>
        <w:t>“Letter”</w:t>
      </w:r>
      <w:r w:rsidRPr="007468E6">
        <w:rPr>
          <w:rFonts w:asciiTheme="majorHAnsi" w:eastAsia="Times New Roman" w:hAnsiTheme="majorHAnsi" w:cs="Times New Roman"/>
        </w:rPr>
        <w:t xml:space="preserve">). </w:t>
      </w:r>
    </w:p>
    <w:p w14:paraId="4A0BF61C" w14:textId="77777777" w:rsidR="008A4295" w:rsidRDefault="00825CAE" w:rsidP="008A4295">
      <w:pPr>
        <w:spacing w:line="480" w:lineRule="auto"/>
        <w:ind w:firstLine="720"/>
        <w:rPr>
          <w:rFonts w:asciiTheme="majorHAnsi" w:eastAsia="Times New Roman" w:hAnsiTheme="majorHAnsi" w:cs="Times New Roman"/>
        </w:rPr>
      </w:pPr>
      <w:r>
        <w:rPr>
          <w:rFonts w:asciiTheme="majorHAnsi" w:eastAsia="Times New Roman" w:hAnsiTheme="majorHAnsi" w:cs="Times New Roman"/>
        </w:rPr>
        <w:t>King</w:t>
      </w:r>
      <w:r w:rsidR="008A4295" w:rsidRPr="007468E6">
        <w:rPr>
          <w:rFonts w:asciiTheme="majorHAnsi" w:eastAsia="Times New Roman" w:hAnsiTheme="majorHAnsi" w:cs="Times New Roman"/>
        </w:rPr>
        <w:t xml:space="preserve"> believes that this “social issue” is so relatable to the Bible, that for</w:t>
      </w:r>
      <w:r w:rsidR="008A4295">
        <w:rPr>
          <w:rFonts w:asciiTheme="majorHAnsi" w:eastAsia="Times New Roman" w:hAnsiTheme="majorHAnsi" w:cs="Times New Roman"/>
        </w:rPr>
        <w:t xml:space="preserve"> one to disagree that the local church</w:t>
      </w:r>
      <w:r w:rsidR="008A4295" w:rsidRPr="007468E6">
        <w:rPr>
          <w:rFonts w:asciiTheme="majorHAnsi" w:eastAsia="Times New Roman" w:hAnsiTheme="majorHAnsi" w:cs="Times New Roman"/>
        </w:rPr>
        <w:t xml:space="preserve"> should be involved means that they must practice a completely d</w:t>
      </w:r>
      <w:r w:rsidR="008A4295">
        <w:rPr>
          <w:rFonts w:asciiTheme="majorHAnsi" w:eastAsia="Times New Roman" w:hAnsiTheme="majorHAnsi" w:cs="Times New Roman"/>
        </w:rPr>
        <w:t>if</w:t>
      </w:r>
      <w:r>
        <w:rPr>
          <w:rFonts w:asciiTheme="majorHAnsi" w:eastAsia="Times New Roman" w:hAnsiTheme="majorHAnsi" w:cs="Times New Roman"/>
        </w:rPr>
        <w:t>ferent religion altogether (</w:t>
      </w:r>
      <w:r w:rsidR="008A4295">
        <w:rPr>
          <w:rFonts w:asciiTheme="majorHAnsi" w:eastAsia="Times New Roman" w:hAnsiTheme="majorHAnsi" w:cs="Times New Roman"/>
        </w:rPr>
        <w:t>“</w:t>
      </w:r>
      <w:r w:rsidR="008A4295" w:rsidRPr="00AC6714">
        <w:rPr>
          <w:rFonts w:asciiTheme="majorHAnsi" w:eastAsia="Times New Roman" w:hAnsiTheme="majorHAnsi" w:cs="Times New Roman"/>
        </w:rPr>
        <w:t>Letter</w:t>
      </w:r>
      <w:r w:rsidR="008A4295">
        <w:rPr>
          <w:rFonts w:asciiTheme="majorHAnsi" w:eastAsia="Times New Roman" w:hAnsiTheme="majorHAnsi" w:cs="Times New Roman"/>
        </w:rPr>
        <w:t>”</w:t>
      </w:r>
      <w:r w:rsidR="008A4295" w:rsidRPr="007468E6">
        <w:rPr>
          <w:rFonts w:asciiTheme="majorHAnsi" w:eastAsia="Times New Roman" w:hAnsiTheme="majorHAnsi" w:cs="Times New Roman"/>
        </w:rPr>
        <w:t xml:space="preserve">). </w:t>
      </w:r>
      <w:r w:rsidR="008A4295">
        <w:rPr>
          <w:rFonts w:asciiTheme="majorHAnsi" w:eastAsia="Times New Roman" w:hAnsiTheme="majorHAnsi" w:cs="Times New Roman"/>
        </w:rPr>
        <w:t xml:space="preserve"> As this letter King writes is ultimately a response to his “fellow clergymen,” who have criticized his actions and even his presence in Birmingham, his use of biblical references allows him to uniquely relate to the clergy’s own beliefs. In this way, King can convince them that they are, in fact, not on opposing sides of the present conflict, and he does so with humility and truth, not just argumentativeness. To increase the validity of his biblical argument, King ensures his response comes from a place of love and humility, as a “fellow clergyman and a Christian brother” and not as the oppos</w:t>
      </w:r>
      <w:r>
        <w:rPr>
          <w:rFonts w:asciiTheme="majorHAnsi" w:eastAsia="Times New Roman" w:hAnsiTheme="majorHAnsi" w:cs="Times New Roman"/>
        </w:rPr>
        <w:t>ition (</w:t>
      </w:r>
      <w:r w:rsidR="008A4295">
        <w:rPr>
          <w:rFonts w:asciiTheme="majorHAnsi" w:eastAsia="Times New Roman" w:hAnsiTheme="majorHAnsi" w:cs="Times New Roman"/>
        </w:rPr>
        <w:t>“</w:t>
      </w:r>
      <w:r w:rsidR="008A4295" w:rsidRPr="00AC6714">
        <w:rPr>
          <w:rFonts w:asciiTheme="majorHAnsi" w:eastAsia="Times New Roman" w:hAnsiTheme="majorHAnsi" w:cs="Times New Roman"/>
        </w:rPr>
        <w:t>Letter</w:t>
      </w:r>
      <w:r w:rsidR="008A4295">
        <w:rPr>
          <w:rFonts w:asciiTheme="majorHAnsi" w:eastAsia="Times New Roman" w:hAnsiTheme="majorHAnsi" w:cs="Times New Roman"/>
        </w:rPr>
        <w:t xml:space="preserve">”).  </w:t>
      </w:r>
    </w:p>
    <w:p w14:paraId="47ED7E64" w14:textId="77777777" w:rsidR="008A4295" w:rsidRDefault="008A4295" w:rsidP="008A4295">
      <w:pPr>
        <w:spacing w:line="480" w:lineRule="auto"/>
        <w:rPr>
          <w:rFonts w:asciiTheme="majorHAnsi" w:eastAsia="Times New Roman" w:hAnsiTheme="majorHAnsi" w:cs="Times New Roman"/>
        </w:rPr>
      </w:pPr>
    </w:p>
    <w:p w14:paraId="7D16A395" w14:textId="77777777" w:rsidR="008A4295" w:rsidRDefault="008A4295" w:rsidP="008A4295">
      <w:pPr>
        <w:spacing w:line="480" w:lineRule="auto"/>
        <w:rPr>
          <w:rFonts w:asciiTheme="majorHAnsi" w:eastAsia="Times New Roman" w:hAnsiTheme="majorHAnsi" w:cs="Times New Roman"/>
        </w:rPr>
      </w:pPr>
    </w:p>
    <w:p w14:paraId="688E827D" w14:textId="77777777" w:rsidR="008A4295" w:rsidRDefault="008A4295" w:rsidP="008A4295">
      <w:pPr>
        <w:spacing w:line="480" w:lineRule="auto"/>
        <w:rPr>
          <w:rFonts w:asciiTheme="majorHAnsi" w:eastAsia="Times New Roman" w:hAnsiTheme="majorHAnsi" w:cs="Times New Roman"/>
        </w:rPr>
      </w:pPr>
    </w:p>
    <w:p w14:paraId="3E30DCE3" w14:textId="77777777" w:rsidR="008A4295" w:rsidRDefault="008A4295" w:rsidP="008A4295">
      <w:pPr>
        <w:spacing w:line="480" w:lineRule="auto"/>
        <w:rPr>
          <w:rFonts w:asciiTheme="majorHAnsi" w:eastAsia="Times New Roman" w:hAnsiTheme="majorHAnsi" w:cs="Times New Roman"/>
        </w:rPr>
      </w:pPr>
    </w:p>
    <w:p w14:paraId="7396C462" w14:textId="77777777" w:rsidR="008A4295" w:rsidRDefault="008A4295" w:rsidP="008A4295">
      <w:pPr>
        <w:spacing w:line="480" w:lineRule="auto"/>
        <w:rPr>
          <w:rFonts w:asciiTheme="majorHAnsi" w:eastAsia="Times New Roman" w:hAnsiTheme="majorHAnsi" w:cs="Times New Roman"/>
        </w:rPr>
      </w:pPr>
    </w:p>
    <w:p w14:paraId="79F8CE39" w14:textId="77777777" w:rsidR="008A4295" w:rsidRDefault="008A4295" w:rsidP="008A4295">
      <w:pPr>
        <w:spacing w:line="480" w:lineRule="auto"/>
        <w:rPr>
          <w:rFonts w:asciiTheme="majorHAnsi" w:eastAsia="Times New Roman" w:hAnsiTheme="majorHAnsi" w:cs="Times New Roman"/>
        </w:rPr>
      </w:pPr>
    </w:p>
    <w:p w14:paraId="590C4CD4" w14:textId="77777777" w:rsidR="008A4295" w:rsidRDefault="008A4295" w:rsidP="008A4295">
      <w:pPr>
        <w:spacing w:line="480" w:lineRule="auto"/>
        <w:jc w:val="center"/>
        <w:rPr>
          <w:rFonts w:asciiTheme="majorHAnsi" w:eastAsia="Times New Roman" w:hAnsiTheme="majorHAnsi" w:cs="Times New Roman"/>
        </w:rPr>
      </w:pPr>
      <w:r>
        <w:rPr>
          <w:rFonts w:asciiTheme="majorHAnsi" w:eastAsia="Times New Roman" w:hAnsiTheme="majorHAnsi" w:cs="Times New Roman"/>
        </w:rPr>
        <w:lastRenderedPageBreak/>
        <w:t>Work Cited</w:t>
      </w:r>
    </w:p>
    <w:p w14:paraId="47EC3F0D" w14:textId="77777777" w:rsidR="008A4295" w:rsidRDefault="008A4295" w:rsidP="008A4295">
      <w:pPr>
        <w:spacing w:line="480" w:lineRule="auto"/>
        <w:jc w:val="center"/>
        <w:rPr>
          <w:rFonts w:asciiTheme="majorHAnsi" w:eastAsia="Times New Roman" w:hAnsiTheme="majorHAnsi" w:cs="Times New Roman"/>
        </w:rPr>
      </w:pPr>
    </w:p>
    <w:p w14:paraId="4D3BADFD" w14:textId="77777777" w:rsidR="00DA7503" w:rsidRPr="008A4295" w:rsidRDefault="008A4295" w:rsidP="008A4295">
      <w:pPr>
        <w:spacing w:line="480" w:lineRule="auto"/>
        <w:rPr>
          <w:rFonts w:asciiTheme="majorHAnsi" w:eastAsia="Times New Roman" w:hAnsiTheme="majorHAnsi" w:cs="Times New Roman"/>
        </w:rPr>
      </w:pPr>
      <w:r w:rsidRPr="003A63EB">
        <w:rPr>
          <w:rFonts w:asciiTheme="majorHAnsi" w:eastAsia="Times New Roman" w:hAnsiTheme="majorHAnsi" w:cs="Times New Roman"/>
        </w:rPr>
        <w:t xml:space="preserve">King Jr., Martin Luther.  </w:t>
      </w:r>
      <w:proofErr w:type="gramStart"/>
      <w:r w:rsidRPr="003A63EB">
        <w:rPr>
          <w:rFonts w:asciiTheme="majorHAnsi" w:eastAsia="Times New Roman" w:hAnsiTheme="majorHAnsi" w:cs="Times New Roman"/>
        </w:rPr>
        <w:t xml:space="preserve">“Letter from a Birmingham Jail.” </w:t>
      </w:r>
      <w:hyperlink r:id="rId5" w:history="1">
        <w:r w:rsidRPr="00825CAE">
          <w:rPr>
            <w:rStyle w:val="Hyperlink"/>
            <w:rFonts w:asciiTheme="majorHAnsi" w:eastAsia="Times New Roman" w:hAnsiTheme="majorHAnsi" w:cs="Times New Roman"/>
            <w:color w:val="auto"/>
            <w:u w:val="none"/>
          </w:rPr>
          <w:t>http://www.africa.upenn.edu/Articles_Gen/Letter_Birmingham.html</w:t>
        </w:r>
      </w:hyperlink>
      <w:r w:rsidRPr="00825CAE">
        <w:rPr>
          <w:rFonts w:asciiTheme="majorHAnsi" w:eastAsia="Times New Roman" w:hAnsiTheme="majorHAnsi" w:cs="Times New Roman"/>
        </w:rPr>
        <w:t>.</w:t>
      </w:r>
      <w:proofErr w:type="gramEnd"/>
      <w:r w:rsidRPr="00825CAE">
        <w:rPr>
          <w:rFonts w:asciiTheme="majorHAnsi" w:eastAsia="Times New Roman" w:hAnsiTheme="majorHAnsi" w:cs="Times New Roman"/>
        </w:rPr>
        <w:t xml:space="preserve"> </w:t>
      </w:r>
      <w:r w:rsidR="00825CAE">
        <w:rPr>
          <w:rFonts w:asciiTheme="majorHAnsi" w:eastAsia="Times New Roman" w:hAnsiTheme="majorHAnsi" w:cs="Times New Roman"/>
        </w:rPr>
        <w:t xml:space="preserve"> </w:t>
      </w:r>
      <w:r w:rsidRPr="00825CAE">
        <w:rPr>
          <w:rFonts w:asciiTheme="majorHAnsi" w:eastAsia="Times New Roman" w:hAnsiTheme="majorHAnsi" w:cs="Times New Roman"/>
        </w:rPr>
        <w:t>Accessed 28 Dec 2016.</w:t>
      </w:r>
    </w:p>
    <w:sectPr w:rsidR="00DA7503" w:rsidRPr="008A4295"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95"/>
    <w:rsid w:val="00595D0D"/>
    <w:rsid w:val="00825CAE"/>
    <w:rsid w:val="008A4295"/>
    <w:rsid w:val="00AC6714"/>
    <w:rsid w:val="00DA7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F805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2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2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frica.upenn.edu/Articles_Gen/Letter_Birmingham.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2</cp:revision>
  <dcterms:created xsi:type="dcterms:W3CDTF">2016-12-31T19:00:00Z</dcterms:created>
  <dcterms:modified xsi:type="dcterms:W3CDTF">2016-12-31T19:27:00Z</dcterms:modified>
</cp:coreProperties>
</file>