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CloudDesk Project Alignment and Kick-Off Meeting Agenda</w:t>
      </w:r>
    </w:p>
    <w:tbl>
      <w:tblPr>
        <w:tblStyle w:val="Table1"/>
        <w:tblW w:w="10728.000000000002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625"/>
        <w:gridCol w:w="2976"/>
        <w:gridCol w:w="1843"/>
        <w:gridCol w:w="4284"/>
        <w:tblGridChange w:id="0">
          <w:tblGrid>
            <w:gridCol w:w="1625"/>
            <w:gridCol w:w="2976"/>
            <w:gridCol w:w="1843"/>
            <w:gridCol w:w="4284"/>
          </w:tblGrid>
        </w:tblGridChange>
      </w:tblGrid>
      <w:tr>
        <w:trPr>
          <w:cantSplit w:val="0"/>
          <w:trHeight w:val="798" w:hRule="atLeast"/>
          <w:tblHeader w:val="0"/>
        </w:trPr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4"/>
                <w:szCs w:val="24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Facilitator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color w:val="1f2937"/>
                <w:sz w:val="24"/>
                <w:szCs w:val="24"/>
              </w:rPr>
            </w:pPr>
            <w:r w:rsidDel="00000000" w:rsidR="00000000" w:rsidRPr="00000000">
              <w:rPr>
                <w:color w:val="1f2937"/>
                <w:sz w:val="24"/>
                <w:szCs w:val="24"/>
                <w:rtl w:val="0"/>
              </w:rPr>
              <w:t xml:space="preserve">Ojali Fatusin — Project Team Lead</w:t>
            </w:r>
          </w:p>
          <w:p w:rsidR="00000000" w:rsidDel="00000000" w:rsidP="00000000" w:rsidRDefault="00000000" w:rsidRPr="00000000" w14:paraId="00000006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Project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4"/>
                <w:szCs w:val="24"/>
                <w:rtl w:val="0"/>
              </w:rPr>
              <w:t xml:space="preserve">Project Lead, PMOs and Kanban Masters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4"/>
                <w:szCs w:val="24"/>
                <w:rtl w:val="0"/>
              </w:rPr>
              <w:t xml:space="preserve">Data Analysts and Data Scientists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Meeting purpose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align the project team and approve the three-week MVP delivery baseline covering scope, deliverables, workflow, milestones, dependencies, risks, acceptance criteria and responsibilities.</w:t>
      </w:r>
    </w:p>
    <w:p w:rsidR="00000000" w:rsidDel="00000000" w:rsidP="00000000" w:rsidRDefault="00000000" w:rsidRPr="00000000" w14:paraId="0000000E">
      <w:pPr>
        <w:pStyle w:val="Heading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Agenda</w:t>
      </w:r>
    </w:p>
    <w:tbl>
      <w:tblPr>
        <w:tblStyle w:val="Table2"/>
        <w:tblW w:w="1072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341"/>
        <w:gridCol w:w="3544"/>
        <w:gridCol w:w="5843"/>
        <w:tblGridChange w:id="0">
          <w:tblGrid>
            <w:gridCol w:w="1341"/>
            <w:gridCol w:w="3544"/>
            <w:gridCol w:w="5843"/>
          </w:tblGrid>
        </w:tblGridChange>
      </w:tblGrid>
      <w:tr>
        <w:trPr>
          <w:cantSplit w:val="0"/>
          <w:trHeight w:val="527" w:hRule="atLeast"/>
          <w:tblHeader w:val="0"/>
        </w:trPr>
        <w:tc>
          <w:tcPr>
            <w:shd w:fill="943734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(mins)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43734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Agenda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43734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0–10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Welcome, introductions and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Confirm purpose, decision rules and expected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10–20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Business problem and product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Agree the problem, customer impact and intended RAG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20–35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MVP scope and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Confirm Must Haves, exclusions, assumptions and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35–50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Data Analyst delivery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Agree data sources, baseline, preparation, benchmark data and DA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50–65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Data Scientist delivery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Agree architecture, retrieval, RAG, citations, confidence and DS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65–80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Workflow and dependency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Confirm DA-to-DS handovers, sequencing, critical path and Kanban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80–90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Roadmap and 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Agree milestones, meeting cadence, weekly sprint goals, owners and target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90–105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RAID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Identify and assign risks, assumptions, issues and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105–115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Quality and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Approve acceptance criteria, DoR, DoD and release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115–120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Baseline approval and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Confirm scope freeze, decisions, actions, owners and deadlines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Required pre-meeting preparation</w:t>
      </w:r>
    </w:p>
    <w:tbl>
      <w:tblPr>
        <w:tblStyle w:val="Table3"/>
        <w:tblW w:w="10743.000000000002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581"/>
        <w:gridCol w:w="3581"/>
        <w:gridCol w:w="3581"/>
        <w:tblGridChange w:id="0">
          <w:tblGrid>
            <w:gridCol w:w="3581"/>
            <w:gridCol w:w="3581"/>
            <w:gridCol w:w="3581"/>
          </w:tblGrid>
        </w:tblGridChange>
      </w:tblGrid>
      <w:tr>
        <w:trPr>
          <w:cantSplit w:val="0"/>
          <w:trHeight w:val="624" w:hRule="atLeast"/>
          <w:tblHeader w:val="0"/>
        </w:trPr>
        <w:tc>
          <w:tcPr>
            <w:shd w:fill="943734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 Analysts</w:t>
            </w:r>
          </w:p>
        </w:tc>
        <w:tc>
          <w:tcPr>
            <w:shd w:fill="943734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 Scientists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43734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PMOs and Kanban Masters</w:t>
            </w:r>
          </w:p>
        </w:tc>
      </w:tr>
      <w:tr>
        <w:trPr>
          <w:cantSplit w:val="0"/>
          <w:tblHeader w:val="0"/>
        </w:trPr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color w:val="1f293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>
                <w:color w:val="1f2937"/>
                <w:sz w:val="22"/>
                <w:szCs w:val="22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Data sources and access; current-state process; baseline metrics; data quality and privacy concerns; deliverables, sub-tasks, estimates, dependencies, and acceptance evidence.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RAG architecture and technology stack; data and infrastructure needs; retrieval, citations, confidence and escalation; deliverables, estimates, DA dependencies, metrics, and risks.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Draft scope, RACI, RAID, and stakeholder register; acceptance framework; Kanban board and movement rules; milestones, change control, communication, and escalation routes.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 meeting outputs</w:t>
      </w:r>
    </w:p>
    <w:tbl>
      <w:tblPr>
        <w:tblStyle w:val="Table4"/>
        <w:tblW w:w="10712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356"/>
        <w:gridCol w:w="5356"/>
        <w:tblGridChange w:id="0">
          <w:tblGrid>
            <w:gridCol w:w="5356"/>
            <w:gridCol w:w="5356"/>
          </w:tblGrid>
        </w:tblGridChange>
      </w:tblGrid>
      <w:tr>
        <w:trPr>
          <w:cantSplit w:val="0"/>
          <w:tblHeader w:val="0"/>
        </w:trPr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• Approved product vision and MVP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• Prioritised DA and DS product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• Three-week roadmap, milestones, and sprint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• Confirmed DA-to-DS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• Approved Kanban workflow, acceptance criteria, DoR, and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• Initial RAID and decision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• Confirmed roles, communication, and escalation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a" w:val="clear"/>
            <w:tcMar>
              <w:top w:w="55.0" w:type="dxa"/>
              <w:left w:w="65.0" w:type="dxa"/>
              <w:bottom w:w="5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f2937"/>
                <w:sz w:val="22"/>
                <w:szCs w:val="22"/>
                <w:rtl w:val="0"/>
              </w:rPr>
              <w:t xml:space="preserve">• Frozen baseline scope and change-control 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60" w:lineRule="auto"/>
        <w:rPr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7365d"/>
          <w:sz w:val="24"/>
          <w:szCs w:val="24"/>
          <w:rtl w:val="0"/>
        </w:rPr>
        <w:t xml:space="preserve">Pre-work deadline: </w:t>
      </w:r>
      <w:r w:rsidDel="00000000" w:rsidR="00000000" w:rsidRPr="00000000">
        <w:rPr>
          <w:sz w:val="24"/>
          <w:szCs w:val="24"/>
          <w:rtl w:val="0"/>
        </w:rPr>
        <w:t xml:space="preserve">Team resources should be available 12 – 24 hours before the workshop so the meeting can focus on decisions and baseline approvals.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648" w:top="691" w:left="749" w:right="7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a5a5a"/>
        <w:sz w:val="15"/>
        <w:szCs w:val="15"/>
        <w:u w:val="none"/>
        <w:shd w:fill="auto" w:val="clear"/>
        <w:vertAlign w:val="baseline"/>
        <w:rtl w:val="0"/>
      </w:rPr>
      <w:t xml:space="preserve">CloudDesk AI Support Engineer MVP  |  Project Alignment and Kick-Off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00" w:lineRule="auto"/>
    </w:pPr>
    <w:rPr>
      <w:rFonts w:ascii="Calibri" w:cs="Calibri" w:eastAsia="Calibri" w:hAnsi="Calibri"/>
      <w:b w:val="1"/>
      <w:bCs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rPr>
      <w:b w:val="1"/>
      <w:bCs w:val="1"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JHdWqzvquUPkmVFitJzsExNLtA==">CgMxLjA4AHIhMU9DZlgxbkZTZ3pXSGpvV2ZXU2JnQi1hdEVvR0VjdnBo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2026-09-16T20:13:00Z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45b460a6-1045-4966-add1-72b44675c5d7</vt:lpwstr>
  </property>
</Properties>
</file>