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273778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</w:t>
      </w:r>
      <w:r w:rsidR="0012474A">
        <w:rPr>
          <w:rFonts w:ascii="Arial" w:hAnsi="Arial"/>
          <w:sz w:val="24"/>
          <w:lang w:val="es-419"/>
        </w:rPr>
        <w:t>rente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2474A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Después de que el usuario se ha autentificado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12474A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CC7E59">
        <w:rPr>
          <w:rFonts w:ascii="Arial" w:hAnsi="Arial"/>
          <w:sz w:val="24"/>
          <w:lang w:val="es-419"/>
        </w:rPr>
        <w:t>Submenús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Generar Reportes.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</w:t>
      </w:r>
      <w:r w:rsidR="00234E9F">
        <w:rPr>
          <w:rFonts w:ascii="Arial" w:hAnsi="Arial"/>
          <w:sz w:val="24"/>
          <w:lang w:val="es-419"/>
        </w:rPr>
        <w:t>Fallo Eléctrico</w:t>
      </w:r>
      <w:r>
        <w:rPr>
          <w:rFonts w:ascii="Arial" w:hAnsi="Arial"/>
          <w:sz w:val="24"/>
          <w:lang w:val="es-MX"/>
        </w:rPr>
        <w:t>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Fallo </w:t>
            </w:r>
            <w:r w:rsidR="007639B9">
              <w:rPr>
                <w:rFonts w:ascii="Arial" w:hAnsi="Arial"/>
                <w:sz w:val="24"/>
                <w:lang w:val="es-419"/>
              </w:rPr>
              <w:t>Eléctrico</w:t>
            </w:r>
          </w:p>
        </w:tc>
      </w:tr>
      <w:tr w:rsidR="00C74C82">
        <w:tc>
          <w:tcPr>
            <w:tcW w:w="637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 el sistema.</w:t>
            </w:r>
          </w:p>
        </w:tc>
      </w:tr>
      <w:tr w:rsidR="00CC7E59">
        <w:tc>
          <w:tcPr>
            <w:tcW w:w="637" w:type="dxa"/>
          </w:tcPr>
          <w:p w:rsidR="00CC7E5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sus credenciales.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7639B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valida el usuario.</w:t>
            </w:r>
          </w:p>
        </w:tc>
      </w:tr>
      <w:tr w:rsidR="007639B9">
        <w:tc>
          <w:tcPr>
            <w:tcW w:w="637" w:type="dxa"/>
          </w:tcPr>
          <w:p w:rsidR="007639B9" w:rsidRP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7639B9" w:rsidRDefault="007639B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da acceso al menú principal.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B8" w:rsidRDefault="003A4FB8">
      <w:r>
        <w:separator/>
      </w:r>
    </w:p>
  </w:endnote>
  <w:endnote w:type="continuationSeparator" w:id="0">
    <w:p w:rsidR="003A4FB8" w:rsidRDefault="003A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B8" w:rsidRDefault="003A4FB8">
      <w:r>
        <w:separator/>
      </w:r>
    </w:p>
  </w:footnote>
  <w:footnote w:type="continuationSeparator" w:id="0">
    <w:p w:rsidR="003A4FB8" w:rsidRDefault="003A4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73778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73778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273778"/>
    <w:rsid w:val="003A4FB8"/>
    <w:rsid w:val="00452FA7"/>
    <w:rsid w:val="007639B9"/>
    <w:rsid w:val="00C74C82"/>
    <w:rsid w:val="00CC7E59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45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4</cp:revision>
  <cp:lastPrinted>2015-09-12T22:25:00Z</cp:lastPrinted>
  <dcterms:created xsi:type="dcterms:W3CDTF">2015-09-12T22:23:00Z</dcterms:created>
  <dcterms:modified xsi:type="dcterms:W3CDTF">2015-09-13T14:26:00Z</dcterms:modified>
</cp:coreProperties>
</file>