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color w:val="595959"/>
          <w:spacing w:val="20"/>
          <w:sz w:val="24"/>
          <w:szCs w:val="24"/>
        </w:rPr>
        <w:t xml:space="preserve">ESCUELA DE CIENCIAS DEL MAR</w:t>
      </w:r>
    </w:p>
    <w:p>
      <w:pPr>
        <w:spacing w:before="100"/>
        <w:jc w:val="center"/>
      </w:pPr>
      <w:r>
        <w:rPr>
          <w:rFonts w:ascii="Calibri" w:cs="Calibri" w:eastAsia="Calibri" w:hAnsi="Calibri"/>
          <w:color w:val="595959"/>
          <w:sz w:val="20"/>
          <w:szCs w:val="20"/>
        </w:rPr>
        <w:t xml:space="preserve">Facultad de la Armada — UNDEF</w:t>
      </w:r>
    </w:p>
    <w:p>
      <w:pPr>
        <w:spacing w:after="200" w:before="900"/>
        <w:jc w:val="center"/>
      </w:pPr>
      <w:r>
        <w:rPr>
          <w:rFonts w:ascii="Calibri" w:cs="Calibri" w:eastAsia="Calibri" w:hAnsi="Calibri"/>
          <w:b/>
          <w:bCs/>
          <w:color w:val="1F3864"/>
          <w:sz w:val="44"/>
          <w:szCs w:val="44"/>
        </w:rPr>
        <w:t xml:space="preserve">MANUAL TÉCNICO–FUNCIONAL</w:t>
      </w:r>
    </w:p>
    <w:p>
      <w:pPr>
        <w:jc w:val="center"/>
      </w:pPr>
      <w:r>
        <w:rPr>
          <w:rFonts w:ascii="Calibri" w:cs="Calibri" w:eastAsia="Calibri" w:hAnsi="Calibri"/>
          <w:color w:val="1F3864"/>
          <w:sz w:val="30"/>
          <w:szCs w:val="30"/>
        </w:rPr>
        <w:t xml:space="preserve">Infraestructura de Datos Espaciales</w:t>
      </w:r>
    </w:p>
    <w:p>
      <w:pPr>
        <w:spacing w:after="200"/>
        <w:jc w:val="center"/>
      </w:pPr>
      <w:r>
        <w:rPr>
          <w:rFonts w:ascii="Calibri" w:cs="Calibri" w:eastAsia="Calibri" w:hAnsi="Calibri"/>
          <w:b/>
          <w:bCs/>
          <w:color w:val="1F3864"/>
          <w:sz w:val="30"/>
          <w:szCs w:val="30"/>
        </w:rPr>
        <w:t xml:space="preserve">Nodo IDE-ESCM</w:t>
      </w:r>
    </w:p>
    <w:p>
      <w:pPr>
        <w:spacing w:before="400"/>
        <w:jc w:val="center"/>
      </w:pPr>
      <w:r>
        <w:rPr>
          <w:rFonts w:ascii="Calibri" w:cs="Calibri" w:eastAsia="Calibri" w:hAnsi="Calibri"/>
          <w:i/>
          <w:iCs/>
          <w:color w:val="595959"/>
          <w:sz w:val="22"/>
          <w:szCs w:val="22"/>
        </w:rPr>
        <w:t xml:space="preserve">Etapa inicial — arquitectura, despliegue y modelo de datos</w:t>
      </w:r>
    </w:p>
    <w:p>
      <w:pPr>
        <w:spacing w:before="1600"/>
        <w:jc w:val="center"/>
      </w:pPr>
      <w:r>
        <w:rPr>
          <w:rFonts w:ascii="Calibri" w:cs="Calibri" w:eastAsia="Calibri" w:hAnsi="Calibri"/>
          <w:sz w:val="20"/>
          <w:szCs w:val="20"/>
        </w:rPr>
        <w:t xml:space="preserve">Versión 1.0</w:t>
      </w:r>
    </w:p>
    <w:p>
      <w:pPr>
        <w:jc w:val="center"/>
      </w:pPr>
      <w:r>
        <w:rPr>
          <w:rFonts w:ascii="Calibri" w:cs="Calibri" w:eastAsia="Calibri" w:hAnsi="Calibri"/>
          <w:sz w:val="20"/>
          <w:szCs w:val="20"/>
        </w:rPr>
        <w:t xml:space="preserve">Julio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Calibri" w:cs="Calibri" w:eastAsia="Calibri" w:hAnsi="Calibri"/>
        </w:rPr>
        <w:t xml:space="preserve">1. Introducción</w:t>
      </w:r>
    </w:p>
    <w:p>
      <w:pPr>
        <w:spacing w:after="160" w:line="276"/>
      </w:pPr>
      <w:r>
        <w:rPr>
          <w:rFonts w:ascii="Calibri" w:cs="Calibri" w:eastAsia="Calibri" w:hAnsi="Calibri"/>
          <w:b w:val="false"/>
          <w:bCs w:val="false"/>
          <w:i w:val="false"/>
          <w:iCs w:val="false"/>
          <w:sz w:val="21"/>
          <w:szCs w:val="21"/>
        </w:rPr>
        <w:t xml:space="preserve">Este documento describe, en su etapa inicial, la arquitectura técnica y funcional del nodo de Infraestructura de Datos Espaciales de la Escuela de Ciencias del Mar (IDE-ESCM). El objetivo del nodo es publicar los geoservicios y metadatos de las tesinas de la Licenciatura en Cartografía bajo estándares OGC e ISO, de forma compatible con la cosecha de metadatos de IDERA (Infraestructura de Datos Espaciales de la República Argentina).</w:t>
      </w:r>
    </w:p>
    <w:p>
      <w:pPr>
        <w:spacing w:after="160" w:line="276"/>
      </w:pPr>
      <w:r>
        <w:rPr>
          <w:rFonts w:ascii="Calibri" w:cs="Calibri" w:eastAsia="Calibri" w:hAnsi="Calibri"/>
          <w:b w:val="false"/>
          <w:bCs w:val="false"/>
          <w:i w:val="false"/>
          <w:iCs w:val="false"/>
          <w:sz w:val="21"/>
          <w:szCs w:val="21"/>
        </w:rPr>
        <w:t xml:space="preserve">El presente manual cubre lo construido hasta el momento: el diseño de la arquitectura en contenedores Docker, el dimensionamiento de hardware, el modelo de datos en PostGIS, los procedimientos de despliegue y los mecanismos desarrollados para migrar e incorporar el catálogo de tesinas.</w:t>
      </w:r>
    </w:p>
    <w:p>
      <w:pPr>
        <w:pStyle w:val="Heading2"/>
        <w:spacing w:after="150" w:before="300"/>
      </w:pPr>
      <w:r>
        <w:rPr>
          <w:rFonts w:ascii="Calibri" w:cs="Calibri" w:eastAsia="Calibri" w:hAnsi="Calibri"/>
        </w:rPr>
        <w:t xml:space="preserve">1.1 Alcance de esta versión</w:t>
      </w:r>
    </w:p>
    <w:p>
      <w:pPr>
        <w:spacing w:after="160" w:line="276"/>
      </w:pPr>
      <w:r>
        <w:rPr>
          <w:rFonts w:ascii="Calibri" w:cs="Calibri" w:eastAsia="Calibri" w:hAnsi="Calibri"/>
          <w:b w:val="false"/>
          <w:bCs w:val="false"/>
          <w:i w:val="false"/>
          <w:iCs w:val="false"/>
          <w:sz w:val="21"/>
          <w:szCs w:val="21"/>
        </w:rPr>
        <w:t xml:space="preserve">Esta es la etapa de prototipo funcional / MVP (Producto Mínimo Viable). Cubre el despliegue local o en un servidor de pruebas, la carga inicial de datos y la exposición de una API propia. Quedan fuera de esta versión — y se documentarán en versiones posteriores del manual — la autenticación de capas restringidas/militares y la publicación con dominio y HTTPS en el servidor institucional definitivo.</w:t>
      </w:r>
    </w:p>
    <w:p>
      <w:pPr>
        <w:pStyle w:val="Heading1"/>
        <w:spacing w:after="200" w:before="400"/>
      </w:pPr>
      <w:r>
        <w:rPr>
          <w:rFonts w:ascii="Calibri" w:cs="Calibri" w:eastAsia="Calibri" w:hAnsi="Calibri"/>
        </w:rPr>
        <w:t xml:space="preserve">2. Arquitectura general</w:t>
      </w:r>
    </w:p>
    <w:p>
      <w:pPr>
        <w:spacing w:after="160" w:line="276"/>
      </w:pPr>
      <w:r>
        <w:rPr>
          <w:rFonts w:ascii="Calibri" w:cs="Calibri" w:eastAsia="Calibri" w:hAnsi="Calibri"/>
          <w:b w:val="false"/>
          <w:bCs w:val="false"/>
          <w:i w:val="false"/>
          <w:iCs w:val="false"/>
          <w:sz w:val="21"/>
          <w:szCs w:val="21"/>
        </w:rPr>
        <w:t xml:space="preserve">El nodo se implementa como un conjunto de contenedores Docker orquestados con Docker Compose, todos sobre una única red interna. Esto permite reproducir el mismo entorno en una notebook de desarrollo, una máquina virtual de pruebas o el servidor institucional final, sin cambios en el código.</w:t>
      </w:r>
    </w:p>
    <w:p>
      <w:pPr>
        <w:pStyle w:val="Heading2"/>
        <w:spacing w:after="150" w:before="300"/>
      </w:pPr>
      <w:r>
        <w:rPr>
          <w:rFonts w:ascii="Calibri" w:cs="Calibri" w:eastAsia="Calibri" w:hAnsi="Calibri"/>
        </w:rPr>
        <w:t xml:space="preserve">2.1 Componentes del stack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600"/>
        <w:gridCol w:w="1200"/>
      </w:tblGrid>
      <w:tr>
        <w:tc>
          <w:tcPr>
            <w:tcW w:type="dxa" w:w="17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Servicio</w:t>
            </w:r>
          </w:p>
        </w:tc>
        <w:tc>
          <w:tcPr>
            <w:tcW w:type="dxa" w:w="22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Imagen / Tecnología</w:t>
            </w:r>
          </w:p>
        </w:tc>
        <w:tc>
          <w:tcPr>
            <w:tcW w:type="dxa" w:w="46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Función</w:t>
            </w:r>
          </w:p>
        </w:tc>
        <w:tc>
          <w:tcPr>
            <w:tcW w:type="dxa" w:w="12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Puerto</w:t>
            </w:r>
          </w:p>
        </w:tc>
      </w:tr>
      <w:tr>
        <w:tc>
          <w:tcPr>
            <w:tcW w:type="dxa" w:w="17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postgis</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kartoza/postgis 15-3.4</w:t>
            </w:r>
          </w:p>
        </w:tc>
        <w:tc>
          <w:tcPr>
            <w:tcW w:type="dxa" w:w="4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Base de datos espacial (PostgreSQL + PostGIS). Almacena capas, tesinas y sus geometrías.</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interno</w:t>
            </w:r>
          </w:p>
        </w:tc>
      </w:tr>
      <w:tr>
        <w:tc>
          <w:tcPr>
            <w:tcW w:type="dxa" w:w="17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geoserver</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kartoza/geoserver 2.24.2</w:t>
            </w:r>
          </w:p>
        </w:tc>
        <w:tc>
          <w:tcPr>
            <w:tcW w:type="dxa" w:w="4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Publica los geoservicios estándar OGC: WMS (imágenes de mapa) y WFS (datos vectoriales) en tiempo real.</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8080</w:t>
            </w:r>
          </w:p>
        </w:tc>
      </w:tr>
      <w:tr>
        <w:tc>
          <w:tcPr>
            <w:tcW w:type="dxa" w:w="17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geonetwork</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geonetwork 4.4.4</w:t>
            </w:r>
          </w:p>
        </w:tc>
        <w:tc>
          <w:tcPr>
            <w:tcW w:type="dxa" w:w="4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Catálogo de metadatos bajo norma ISO 19115/19139, cosechable por IDERA.</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8081</w:t>
            </w:r>
          </w:p>
        </w:tc>
      </w:tr>
      <w:tr>
        <w:tc>
          <w:tcPr>
            <w:tcW w:type="dxa" w:w="17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api</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Python 3.12 + FastAPI</w:t>
            </w:r>
          </w:p>
        </w:tc>
        <w:tc>
          <w:tcPr>
            <w:tcW w:type="dxa" w:w="4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Capa propia de orquestación: reglas de negocio, control de clasificación de datos, endpoints a medida.</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8000</w:t>
            </w:r>
          </w:p>
        </w:tc>
      </w:tr>
      <w:tr>
        <w:tc>
          <w:tcPr>
            <w:tcW w:type="dxa" w:w="17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nginx</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nginx:stable-alpine</w:t>
            </w:r>
          </w:p>
        </w:tc>
        <w:tc>
          <w:tcPr>
            <w:tcW w:type="dxa" w:w="4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Proxy reverso: punto único de entrada HTTP y futura terminación HTTPS.</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80</w:t>
            </w:r>
          </w:p>
        </w:tc>
      </w:tr>
    </w:tbl>
    <w:p>
      <w:pPr>
        <w:spacing w:before="200"/>
      </w:pPr>
    </w:p>
    <w:p>
      <w:pPr>
        <w:pBdr>
          <w:left w:val="single" w:color="E8B339" w:sz="24"/>
        </w:pBdr>
        <w:shd w:fill="FFF3CD" w:color="auto" w:val="clear"/>
        <w:spacing w:after="160" w:before="80"/>
      </w:pPr>
      <w:r>
        <w:rPr>
          <w:rFonts w:ascii="Calibri" w:cs="Calibri" w:eastAsia="Calibri" w:hAnsi="Calibri"/>
          <w:i/>
          <w:iCs/>
          <w:sz w:val="20"/>
          <w:szCs w:val="20"/>
        </w:rPr>
        <w:t xml:space="preserve">Nota: El puerto de PostgreSQL (5432) no se expone al host: solo es accesible dentro de la red interna de Docker, por seguridad.</w:t>
      </w:r>
    </w:p>
    <w:p>
      <w:pPr>
        <w:pStyle w:val="Heading2"/>
        <w:spacing w:after="150" w:before="300"/>
      </w:pPr>
      <w:r>
        <w:rPr>
          <w:rFonts w:ascii="Calibri" w:cs="Calibri" w:eastAsia="Calibri" w:hAnsi="Calibri"/>
        </w:rPr>
        <w:t xml:space="preserve">2.2 Diagrama lógico</w:t>
      </w:r>
    </w:p>
    <w:p>
      <w:pPr>
        <w:spacing w:after="160" w:line="276"/>
      </w:pPr>
      <w:r>
        <w:rPr>
          <w:rFonts w:ascii="Calibri" w:cs="Calibri" w:eastAsia="Calibri" w:hAnsi="Calibri"/>
          <w:b w:val="false"/>
          <w:bCs w:val="false"/>
          <w:i w:val="false"/>
          <w:iCs w:val="false"/>
          <w:sz w:val="21"/>
          <w:szCs w:val="21"/>
        </w:rPr>
        <w:t xml:space="preserve">Flujo de una consulta típica: un cliente externo (navegador, QGIS, o el portal de IDERA) solicita un geoservicio o metadato a través del proxy Nginx, que redirige internamente al servicio correspondiente:</w:t>
      </w:r>
    </w:p>
    <w:p>
      <w:pPr>
        <w:pStyle w:val="ListParagraph"/>
        <w:numPr>
          <w:ilvl w:val="0"/>
          <w:numId w:val="2"/>
        </w:numPr>
        <w:spacing w:after="80"/>
      </w:pPr>
      <w:r>
        <w:rPr>
          <w:rFonts w:ascii="Calibri" w:cs="Calibri" w:eastAsia="Calibri" w:hAnsi="Calibri"/>
          <w:sz w:val="21"/>
          <w:szCs w:val="21"/>
        </w:rPr>
        <w:t xml:space="preserve">Nginx (puerto 80) recibe todas las solicitudes externas.</w:t>
      </w:r>
    </w:p>
    <w:p>
      <w:pPr>
        <w:pStyle w:val="ListParagraph"/>
        <w:numPr>
          <w:ilvl w:val="0"/>
          <w:numId w:val="2"/>
        </w:numPr>
        <w:spacing w:after="80"/>
      </w:pPr>
      <w:r>
        <w:rPr>
          <w:rFonts w:ascii="Calibri" w:cs="Calibri" w:eastAsia="Calibri" w:hAnsi="Calibri"/>
          <w:sz w:val="21"/>
          <w:szCs w:val="21"/>
        </w:rPr>
        <w:t xml:space="preserve">/geoserver/*  →  GeoServer  →  consulta a PostGIS  →  devuelve WMS/WFS.</w:t>
      </w:r>
    </w:p>
    <w:p>
      <w:pPr>
        <w:pStyle w:val="ListParagraph"/>
        <w:numPr>
          <w:ilvl w:val="0"/>
          <w:numId w:val="2"/>
        </w:numPr>
        <w:spacing w:after="80"/>
      </w:pPr>
      <w:r>
        <w:rPr>
          <w:rFonts w:ascii="Calibri" w:cs="Calibri" w:eastAsia="Calibri" w:hAnsi="Calibri"/>
          <w:sz w:val="21"/>
          <w:szCs w:val="21"/>
        </w:rPr>
        <w:t xml:space="preserve">/geonetwork/*  →  GeoNetwork  →  devuelve metadatos ISO.</w:t>
      </w:r>
    </w:p>
    <w:p>
      <w:pPr>
        <w:pStyle w:val="ListParagraph"/>
        <w:numPr>
          <w:ilvl w:val="0"/>
          <w:numId w:val="2"/>
        </w:numPr>
        <w:spacing w:after="80"/>
      </w:pPr>
      <w:r>
        <w:rPr>
          <w:rFonts w:ascii="Calibri" w:cs="Calibri" w:eastAsia="Calibri" w:hAnsi="Calibri"/>
          <w:sz w:val="21"/>
          <w:szCs w:val="21"/>
        </w:rPr>
        <w:t xml:space="preserve">/api/*  →  API en Python (FastAPI)  →  consulta a PostGIS  →  devuelve JSON.</w:t>
      </w:r>
    </w:p>
    <w:p>
      <w:pPr>
        <w:pStyle w:val="Heading1"/>
        <w:spacing w:after="200" w:before="400"/>
      </w:pPr>
      <w:r>
        <w:rPr>
          <w:rFonts w:ascii="Calibri" w:cs="Calibri" w:eastAsia="Calibri" w:hAnsi="Calibri"/>
        </w:rPr>
        <w:t xml:space="preserve">3. Dimensionamiento de hardware</w:t>
      </w:r>
    </w:p>
    <w:p>
      <w:pPr>
        <w:spacing w:after="160" w:line="276"/>
      </w:pPr>
      <w:r>
        <w:rPr>
          <w:rFonts w:ascii="Calibri" w:cs="Calibri" w:eastAsia="Calibri" w:hAnsi="Calibri"/>
          <w:b w:val="false"/>
          <w:bCs w:val="false"/>
          <w:i w:val="false"/>
          <w:iCs w:val="false"/>
          <w:sz w:val="21"/>
          <w:szCs w:val="21"/>
        </w:rPr>
        <w:t xml:space="preserve">El perfil de carga de una IDE universitaria es de tráfico bajo a moderado, con picos de procesamiento cuando GeoServer renderiza mapas complejos, y una demanda de lectura/escritura crítica en PostGIS. Se definieron dos escenarios:</w:t>
      </w:r>
    </w:p>
    <w:p>
      <w:pPr>
        <w:pStyle w:val="Heading2"/>
        <w:spacing w:after="150" w:before="300"/>
      </w:pPr>
      <w:r>
        <w:rPr>
          <w:rFonts w:ascii="Calibri" w:cs="Calibri" w:eastAsia="Calibri" w:hAnsi="Calibri"/>
        </w:rPr>
        <w:t xml:space="preserve">3.1 Escenario MVP (servidor base de producción)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Recurso</w:t>
            </w:r>
          </w:p>
        </w:tc>
        <w:tc>
          <w:tcPr>
            <w:tcW w:type="dxa" w:w="67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Especificación</w:t>
            </w:r>
          </w:p>
        </w:tc>
      </w:tr>
      <w:tr>
        <w:tc>
          <w:tcPr>
            <w:tcW w:type="dxa" w:w="3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CPU</w:t>
            </w:r>
          </w:p>
        </w:tc>
        <w:tc>
          <w:tcPr>
            <w:tcW w:type="dxa" w:w="67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4 vCPU</w:t>
            </w:r>
          </w:p>
        </w:tc>
      </w:tr>
      <w:tr>
        <w:tc>
          <w:tcPr>
            <w:tcW w:type="dxa" w:w="3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RAM</w:t>
            </w:r>
          </w:p>
        </w:tc>
        <w:tc>
          <w:tcPr>
            <w:tcW w:type="dxa" w:w="67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8 GB</w:t>
            </w:r>
          </w:p>
        </w:tc>
      </w:tr>
      <w:tr>
        <w:tc>
          <w:tcPr>
            <w:tcW w:type="dxa" w:w="3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Almacenamiento</w:t>
            </w:r>
          </w:p>
        </w:tc>
        <w:tc>
          <w:tcPr>
            <w:tcW w:type="dxa" w:w="67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100 GB SSD/NVMe (crítico: IOPS, no capacidad)</w:t>
            </w:r>
          </w:p>
        </w:tc>
      </w:tr>
      <w:tr>
        <w:tc>
          <w:tcPr>
            <w:tcW w:type="dxa" w:w="3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Sistema operativo</w:t>
            </w:r>
          </w:p>
        </w:tc>
        <w:tc>
          <w:tcPr>
            <w:tcW w:type="dxa" w:w="67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Ubuntu Server 22.04 LTS o 24.04 LTS, sin interfaz gráfica</w:t>
            </w:r>
          </w:p>
        </w:tc>
      </w:tr>
      <w:tr>
        <w:tc>
          <w:tcPr>
            <w:tcW w:type="dxa" w:w="3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Red</w:t>
            </w:r>
          </w:p>
        </w:tc>
        <w:tc>
          <w:tcPr>
            <w:tcW w:type="dxa" w:w="67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IP pública fija + dominio institucional + 100 Mbps simétricos mínimo</w:t>
            </w:r>
          </w:p>
        </w:tc>
      </w:tr>
    </w:tbl>
    <w:p>
      <w:pPr>
        <w:pStyle w:val="Heading2"/>
        <w:spacing w:after="150" w:before="300"/>
      </w:pPr>
      <w:r>
        <w:rPr>
          <w:rFonts w:ascii="Calibri" w:cs="Calibri" w:eastAsia="Calibri" w:hAnsi="Calibri"/>
        </w:rPr>
        <w:t xml:space="preserve">3.2 Escenario "soporte institucional" (objetivo a 1 año)</w:t>
      </w:r>
    </w:p>
    <w:p>
      <w:pPr>
        <w:spacing w:after="160" w:line="276"/>
      </w:pPr>
      <w:r>
        <w:rPr>
          <w:rFonts w:ascii="Calibri" w:cs="Calibri" w:eastAsia="Calibri" w:hAnsi="Calibri"/>
          <w:b w:val="false"/>
          <w:bCs w:val="false"/>
          <w:i w:val="false"/>
          <w:iCs w:val="false"/>
          <w:sz w:val="21"/>
          <w:szCs w:val="21"/>
        </w:rPr>
        <w:t xml:space="preserve">Cuando el nodo sea cosechado por IDERA y se incorporen imágenes satelitales (rasters pesados):</w:t>
      </w:r>
    </w:p>
    <w:p>
      <w:pPr>
        <w:pStyle w:val="ListParagraph"/>
        <w:numPr>
          <w:ilvl w:val="0"/>
          <w:numId w:val="2"/>
        </w:numPr>
        <w:spacing w:after="80"/>
      </w:pPr>
      <w:r>
        <w:rPr>
          <w:rFonts w:ascii="Calibri" w:cs="Calibri" w:eastAsia="Calibri" w:hAnsi="Calibri"/>
          <w:sz w:val="21"/>
          <w:szCs w:val="21"/>
        </w:rPr>
        <w:t xml:space="preserve">8 vCPU</w:t>
      </w:r>
    </w:p>
    <w:p>
      <w:pPr>
        <w:pStyle w:val="ListParagraph"/>
        <w:numPr>
          <w:ilvl w:val="0"/>
          <w:numId w:val="2"/>
        </w:numPr>
        <w:spacing w:after="80"/>
      </w:pPr>
      <w:r>
        <w:rPr>
          <w:rFonts w:ascii="Calibri" w:cs="Calibri" w:eastAsia="Calibri" w:hAnsi="Calibri"/>
          <w:sz w:val="21"/>
          <w:szCs w:val="21"/>
        </w:rPr>
        <w:t xml:space="preserve">16–32 GB RAM (GeoServer escala fuertemente con rasters y estilos complejos)</w:t>
      </w:r>
    </w:p>
    <w:p>
      <w:pPr>
        <w:pStyle w:val="ListParagraph"/>
        <w:numPr>
          <w:ilvl w:val="0"/>
          <w:numId w:val="2"/>
        </w:numPr>
        <w:spacing w:after="80"/>
      </w:pPr>
      <w:r>
        <w:rPr>
          <w:rFonts w:ascii="Calibri" w:cs="Calibri" w:eastAsia="Calibri" w:hAnsi="Calibri"/>
          <w:sz w:val="21"/>
          <w:szCs w:val="21"/>
        </w:rPr>
        <w:t xml:space="preserve">200 GB SSD/NVMe + almacenamiento en frío opcional (HDD o tipo S3) para series históricas</w:t>
      </w:r>
    </w:p>
    <w:p>
      <w:pPr>
        <w:pStyle w:val="Heading2"/>
        <w:spacing w:after="150" w:before="300"/>
      </w:pPr>
      <w:r>
        <w:rPr>
          <w:rFonts w:ascii="Calibri" w:cs="Calibri" w:eastAsia="Calibri" w:hAnsi="Calibri"/>
        </w:rPr>
        <w:t xml:space="preserve">3.3 Distribución de RAM entre contenedores (escenario MVP)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00"/>
      </w:tblGrid>
      <w:tr>
        <w:tc>
          <w:tcPr>
            <w:tcW w:type="dxa" w:w="24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Servicio</w:t>
            </w:r>
          </w:p>
        </w:tc>
        <w:tc>
          <w:tcPr>
            <w:tcW w:type="dxa" w:w="18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RAM asignada</w:t>
            </w:r>
          </w:p>
        </w:tc>
        <w:tc>
          <w:tcPr>
            <w:tcW w:type="dxa" w:w="55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Justificación</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PostGIS</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2 GB</w:t>
            </w:r>
          </w:p>
        </w:tc>
        <w:tc>
          <w:tcPr>
            <w:tcW w:type="dxa" w:w="5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shared_buffers y effective_cache_size tuneados para consultas espaciales</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GeoServer</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3 GB</w:t>
            </w:r>
          </w:p>
        </w:tc>
        <w:tc>
          <w:tcPr>
            <w:tcW w:type="dxa" w:w="5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Heap JVM de 2.5 GB + margen para caché de teselas fuera del heap</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GeoNetwork</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1 GB</w:t>
            </w:r>
          </w:p>
        </w:tc>
        <w:tc>
          <w:tcPr>
            <w:tcW w:type="dxa" w:w="5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Tomcat + catálogo de metadatos</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API (Python)</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256 MB</w:t>
            </w:r>
          </w:p>
        </w:tc>
        <w:tc>
          <w:tcPr>
            <w:tcW w:type="dxa" w:w="5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FastAPI, uso liviano</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Nginx</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128 MB</w:t>
            </w:r>
          </w:p>
        </w:tc>
        <w:tc>
          <w:tcPr>
            <w:tcW w:type="dxa" w:w="5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Proxy reverso</w:t>
            </w:r>
          </w:p>
        </w:tc>
      </w:tr>
    </w:tbl>
    <w:p>
      <w:pPr>
        <w:spacing w:before="200"/>
      </w:pPr>
    </w:p>
    <w:p>
      <w:pPr>
        <w:spacing w:after="160" w:line="276"/>
      </w:pPr>
      <w:r>
        <w:rPr>
          <w:rFonts w:ascii="Calibri" w:cs="Calibri" w:eastAsia="Calibri" w:hAnsi="Calibri"/>
          <w:b w:val="false"/>
          <w:bCs w:val="false"/>
          <w:i w:val="false"/>
          <w:iCs w:val="false"/>
          <w:sz w:val="21"/>
          <w:szCs w:val="21"/>
        </w:rPr>
        <w:t xml:space="preserve">Total aproximado: 6.4 GB, dejando margen para el sistema operativo en un host de 8 GB. Estos valores están fijados en el archivo docker-compose.yml mediante mem_limit y cpus por servicio.</w:t>
      </w:r>
    </w:p>
    <w:p>
      <w:pPr>
        <w:pStyle w:val="Heading1"/>
        <w:spacing w:after="200" w:before="400"/>
      </w:pPr>
      <w:r>
        <w:rPr>
          <w:rFonts w:ascii="Calibri" w:cs="Calibri" w:eastAsia="Calibri" w:hAnsi="Calibri"/>
        </w:rPr>
        <w:t xml:space="preserve">4. Modelo de datos</w:t>
      </w:r>
    </w:p>
    <w:p>
      <w:pPr>
        <w:spacing w:after="160" w:line="276"/>
      </w:pPr>
      <w:r>
        <w:rPr>
          <w:rFonts w:ascii="Calibri" w:cs="Calibri" w:eastAsia="Calibri" w:hAnsi="Calibri"/>
          <w:b w:val="false"/>
          <w:bCs w:val="false"/>
          <w:i w:val="false"/>
          <w:iCs w:val="false"/>
          <w:sz w:val="21"/>
          <w:szCs w:val="21"/>
        </w:rPr>
        <w:t xml:space="preserve">La base espacial utiliza PostgreSQL con la extensión PostGIS, organizada en el esquema escm. Las tablas principales son capas_base (genérica, para futuras capas temáticas) e investigaciones (catálogo de tesinas).</w:t>
      </w:r>
    </w:p>
    <w:p>
      <w:pPr>
        <w:pStyle w:val="Heading2"/>
        <w:spacing w:after="150" w:before="300"/>
      </w:pPr>
      <w:r>
        <w:rPr>
          <w:rFonts w:ascii="Calibri" w:cs="Calibri" w:eastAsia="Calibri" w:hAnsi="Calibri"/>
        </w:rPr>
        <w:t xml:space="preserve">4.1 Tabla escm.investigaciones</w:t>
      </w:r>
    </w:p>
    <w:p>
      <w:pPr>
        <w:spacing w:after="160" w:line="276"/>
      </w:pPr>
      <w:r>
        <w:rPr>
          <w:rFonts w:ascii="Calibri" w:cs="Calibri" w:eastAsia="Calibri" w:hAnsi="Calibri"/>
          <w:b w:val="false"/>
          <w:bCs w:val="false"/>
          <w:i w:val="false"/>
          <w:iCs w:val="false"/>
          <w:sz w:val="21"/>
          <w:szCs w:val="21"/>
        </w:rPr>
        <w:t xml:space="preserve">Reemplaza al prototipo original en SQLite (tesis.db) y se amplió para incorporar los campos reales de las fichas del repositorio institucional (cefadigital.edu.ar, formato DSpace).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900"/>
      </w:tblGrid>
      <w:tr>
        <w:tc>
          <w:tcPr>
            <w:tcW w:type="dxa" w:w="20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Columna</w:t>
            </w:r>
          </w:p>
        </w:tc>
        <w:tc>
          <w:tcPr>
            <w:tcW w:type="dxa" w:w="16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w:t>
            </w:r>
          </w:p>
        </w:tc>
        <w:tc>
          <w:tcPr>
            <w:tcW w:type="dxa" w:w="59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id</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SERIAL</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Identificador interno, autoincremental</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anio</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INTEGER</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Año de publicación de la tesina</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titulo</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Título completo</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autor</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Autor/a de la tesina</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palabras_clave</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Lista de palabras clave (array, una por línea en la ficha original)</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sector</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Zona geográfica de estudio (campo del prototipo original, opcional)</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resena</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Resumen de la tesina</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descripcion</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Descripción bibliográfica (tipo de trabajo, año, escuela)</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editorial</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Institución editora</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citacion</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Cita bibliográfica formal (ej. "Tesina LC;07/2005")</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coleccion</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Colección del repositorio a la que pertenece</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url</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Handle / URI del repositorio. Clave única para evitar duplicados</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clasificacion</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VARCHAR(50)</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publico | restringido | militar — controla el nivel de acceso</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geom</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GEOMETRY(4326)</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Geometría del área de estudio (punto o polígono). Opcional</w:t>
            </w:r>
          </w:p>
        </w:tc>
      </w:tr>
      <w:tr>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creado_en / actualizado_en</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TIMESTAMP</w:t>
            </w:r>
          </w:p>
        </w:tc>
        <w:tc>
          <w:tcPr>
            <w:tcW w:type="dxa" w:w="5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Auditoría, actualizado_en se mantiene con un trigger automático</w:t>
            </w:r>
          </w:p>
        </w:tc>
      </w:tr>
    </w:tbl>
    <w:p>
      <w:pPr>
        <w:spacing w:before="200"/>
      </w:pPr>
    </w:p>
    <w:p>
      <w:pPr>
        <w:pBdr>
          <w:left w:val="single" w:color="E8B339" w:sz="24"/>
        </w:pBdr>
        <w:shd w:fill="FFF3CD" w:color="auto" w:val="clear"/>
        <w:spacing w:after="160" w:before="80"/>
      </w:pPr>
      <w:r>
        <w:rPr>
          <w:rFonts w:ascii="Calibri" w:cs="Calibri" w:eastAsia="Calibri" w:hAnsi="Calibri"/>
          <w:i/>
          <w:iCs/>
          <w:sz w:val="20"/>
          <w:szCs w:val="20"/>
        </w:rPr>
        <w:t xml:space="preserve">Nota: La geometría es opcional: una tesina puede cargarse y consultarse por su metadata aunque todavía no tenga coordenadas asignadas. Solo las que tengan geom cargado podrán publicarse como capa WMS/WFS en GeoServer.</w:t>
      </w:r>
    </w:p>
    <w:p>
      <w:pPr>
        <w:pStyle w:val="Heading2"/>
        <w:spacing w:after="150" w:before="300"/>
      </w:pPr>
      <w:r>
        <w:rPr>
          <w:rFonts w:ascii="Calibri" w:cs="Calibri" w:eastAsia="Calibri" w:hAnsi="Calibri"/>
        </w:rPr>
        <w:t xml:space="preserve">4.2 Tabla escm.capas_base</w:t>
      </w:r>
    </w:p>
    <w:p>
      <w:pPr>
        <w:spacing w:after="160" w:line="276"/>
      </w:pPr>
      <w:r>
        <w:rPr>
          <w:rFonts w:ascii="Calibri" w:cs="Calibri" w:eastAsia="Calibri" w:hAnsi="Calibri"/>
          <w:b w:val="false"/>
          <w:bCs w:val="false"/>
          <w:i w:val="false"/>
          <w:iCs w:val="false"/>
          <w:sz w:val="21"/>
          <w:szCs w:val="21"/>
        </w:rPr>
        <w:t xml:space="preserve">Tabla genérica pensada para futuras capas temáticas propias del nodo (no provenientes del catálogo de tesinas), con el mismo esquema de clasificación de acceso (publico/restringido/militar) y geometría en WGS84 (EPSG:4326).</w:t>
      </w:r>
    </w:p>
    <w:p>
      <w:pPr>
        <w:pStyle w:val="Heading1"/>
        <w:spacing w:after="200" w:before="400"/>
      </w:pPr>
      <w:r>
        <w:rPr>
          <w:rFonts w:ascii="Calibri" w:cs="Calibri" w:eastAsia="Calibri" w:hAnsi="Calibri"/>
        </w:rPr>
        <w:t xml:space="preserve">5. Estructura del proyecto</w:t>
      </w:r>
    </w:p>
    <w:p>
      <w:pPr>
        <w:pBdr>
          <w:top w:val="single" w:color="BFBFBF" w:sz="4"/>
          <w:bottom w:val="single" w:color="BFBFBF" w:sz="4"/>
          <w:left w:val="single" w:color="BFBFBF" w:sz="4"/>
          <w:right w:val="single" w:color="BFBFBF" w:sz="4"/>
        </w:pBdr>
        <w:shd w:fill="F2F2F2" w:color="auto" w:val="clear"/>
        <w:spacing w:after="160" w:before="80"/>
      </w:pPr>
      <w:r>
        <w:rPr>
          <w:rFonts w:ascii="Consolas" w:cs="Consolas" w:eastAsia="Consolas" w:hAnsi="Consolas"/>
          <w:color w:val="1B1B1B"/>
          <w:sz w:val="18"/>
          <w:szCs w:val="18"/>
        </w:rPr>
        <w:t xml:space="preserve">ide-escm/
├── docker-compose.yml       Orquestación de todos los servicios
├── .env.example             Plantilla de variables de entorno
├── postgis/
│   └── init/                Scripts SQL de inicialización (schema, tablas, índices)
├── api/
│   ├── main.py              API FastAPI (endpoints /capas, /investigaciones)
│   ├── migrate.py           Migración del prototipo SQLite (tesis.db)
│   ├── cargar_tesis_dspace.py  Carga masiva de fichas del repositorio
│   └── Dockerfile
├── data/
│   ├── tesis.db             Prototipo original (SQLite)
│   └── tesis_dspace.txt     Fichas de tesinas pegadas desde el repositorio
├── nginx/
│   └── nginx.conf           Configuración del proxy reverso
└── README.md                Guía operativa de despliegue</w:t>
      </w:r>
    </w:p>
    <w:p>
      <w:pPr>
        <w:pStyle w:val="Heading1"/>
        <w:spacing w:after="200" w:before="400"/>
      </w:pPr>
      <w:r>
        <w:rPr>
          <w:rFonts w:ascii="Calibri" w:cs="Calibri" w:eastAsia="Calibri" w:hAnsi="Calibri"/>
        </w:rPr>
        <w:t xml:space="preserve">6. Procedimiento de despliegue</w:t>
      </w:r>
    </w:p>
    <w:p>
      <w:pPr>
        <w:pStyle w:val="Heading2"/>
        <w:spacing w:after="150" w:before="300"/>
      </w:pPr>
      <w:r>
        <w:rPr>
          <w:rFonts w:ascii="Calibri" w:cs="Calibri" w:eastAsia="Calibri" w:hAnsi="Calibri"/>
        </w:rPr>
        <w:t xml:space="preserve">6.1 Requisitos previos</w:t>
      </w:r>
    </w:p>
    <w:p>
      <w:pPr>
        <w:pStyle w:val="ListParagraph"/>
        <w:numPr>
          <w:ilvl w:val="0"/>
          <w:numId w:val="2"/>
        </w:numPr>
        <w:spacing w:after="80"/>
      </w:pPr>
      <w:r>
        <w:rPr>
          <w:rFonts w:ascii="Calibri" w:cs="Calibri" w:eastAsia="Calibri" w:hAnsi="Calibri"/>
          <w:sz w:val="21"/>
          <w:szCs w:val="21"/>
        </w:rPr>
        <w:t xml:space="preserve">Ubuntu Server 22.04 LTS o superior</w:t>
      </w:r>
    </w:p>
    <w:p>
      <w:pPr>
        <w:pStyle w:val="ListParagraph"/>
        <w:numPr>
          <w:ilvl w:val="0"/>
          <w:numId w:val="2"/>
        </w:numPr>
        <w:spacing w:after="80"/>
      </w:pPr>
      <w:r>
        <w:rPr>
          <w:rFonts w:ascii="Calibri" w:cs="Calibri" w:eastAsia="Calibri" w:hAnsi="Calibri"/>
          <w:sz w:val="21"/>
          <w:szCs w:val="21"/>
        </w:rPr>
        <w:t xml:space="preserve">Docker Engine y Docker Compose instalados</w:t>
      </w:r>
    </w:p>
    <w:p>
      <w:pPr>
        <w:pStyle w:val="ListParagraph"/>
        <w:numPr>
          <w:ilvl w:val="0"/>
          <w:numId w:val="2"/>
        </w:numPr>
        <w:spacing w:after="80"/>
      </w:pPr>
      <w:r>
        <w:rPr>
          <w:rFonts w:ascii="Calibri" w:cs="Calibri" w:eastAsia="Calibri" w:hAnsi="Calibri"/>
          <w:sz w:val="21"/>
          <w:szCs w:val="21"/>
        </w:rPr>
        <w:t xml:space="preserve">Acceso root o sudo</w:t>
      </w:r>
    </w:p>
    <w:p>
      <w:pPr>
        <w:pStyle w:val="Heading2"/>
        <w:spacing w:after="150" w:before="300"/>
      </w:pPr>
      <w:r>
        <w:rPr>
          <w:rFonts w:ascii="Calibri" w:cs="Calibri" w:eastAsia="Calibri" w:hAnsi="Calibri"/>
        </w:rPr>
        <w:t xml:space="preserve">6.2 Instalación de Docker</w:t>
      </w:r>
    </w:p>
    <w:p>
      <w:pPr>
        <w:pBdr>
          <w:top w:val="single" w:color="BFBFBF" w:sz="4"/>
          <w:bottom w:val="single" w:color="BFBFBF" w:sz="4"/>
          <w:left w:val="single" w:color="BFBFBF" w:sz="4"/>
          <w:right w:val="single" w:color="BFBFBF" w:sz="4"/>
        </w:pBdr>
        <w:shd w:fill="F2F2F2" w:color="auto" w:val="clear"/>
        <w:spacing w:after="160" w:before="80"/>
      </w:pPr>
      <w:r>
        <w:rPr>
          <w:rFonts w:ascii="Consolas" w:cs="Consolas" w:eastAsia="Consolas" w:hAnsi="Consolas"/>
          <w:color w:val="1B1B1B"/>
          <w:sz w:val="18"/>
          <w:szCs w:val="18"/>
        </w:rPr>
        <w:t xml:space="preserve">curl -fsSL https://get.docker.com -o get-docker.sh
sudo sh get-docker.sh
sudo usermod -aG docker $USER</w:t>
      </w:r>
    </w:p>
    <w:p>
      <w:pPr>
        <w:pStyle w:val="Heading2"/>
        <w:spacing w:after="150" w:before="300"/>
      </w:pPr>
      <w:r>
        <w:rPr>
          <w:rFonts w:ascii="Calibri" w:cs="Calibri" w:eastAsia="Calibri" w:hAnsi="Calibri"/>
        </w:rPr>
        <w:t xml:space="preserve">6.3 Puesta en marcha del stack</w:t>
      </w:r>
    </w:p>
    <w:p>
      <w:pPr>
        <w:pBdr>
          <w:top w:val="single" w:color="BFBFBF" w:sz="4"/>
          <w:bottom w:val="single" w:color="BFBFBF" w:sz="4"/>
          <w:left w:val="single" w:color="BFBFBF" w:sz="4"/>
          <w:right w:val="single" w:color="BFBFBF" w:sz="4"/>
        </w:pBdr>
        <w:shd w:fill="F2F2F2" w:color="auto" w:val="clear"/>
        <w:spacing w:after="160" w:before="80"/>
      </w:pPr>
      <w:r>
        <w:rPr>
          <w:rFonts w:ascii="Consolas" w:cs="Consolas" w:eastAsia="Consolas" w:hAnsi="Consolas"/>
          <w:color w:val="1B1B1B"/>
          <w:sz w:val="18"/>
          <w:szCs w:val="18"/>
        </w:rPr>
        <w:t xml:space="preserve">cd ide-escm
cp .env.example .env
nano .env                 # completar contraseñas seguras
docker compose up -d
docker compose ps         # verificar que todo esté "running"/"healthy"</w:t>
      </w:r>
    </w:p>
    <w:p>
      <w:pPr>
        <w:pStyle w:val="Heading2"/>
        <w:spacing w:after="150" w:before="300"/>
      </w:pPr>
      <w:r>
        <w:rPr>
          <w:rFonts w:ascii="Calibri" w:cs="Calibri" w:eastAsia="Calibri" w:hAnsi="Calibri"/>
        </w:rPr>
        <w:t xml:space="preserve">6.4 Acceso a los servicios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Servicio</w:t>
            </w:r>
          </w:p>
        </w:tc>
        <w:tc>
          <w:tcPr>
            <w:tcW w:type="dxa" w:w="69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URL</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GeoServer</w:t>
            </w:r>
          </w:p>
        </w:tc>
        <w:tc>
          <w:tcPr>
            <w:tcW w:type="dxa" w:w="6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http://IP_SERVIDOR/geoserver/web</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GeoNetwork</w:t>
            </w:r>
          </w:p>
        </w:tc>
        <w:tc>
          <w:tcPr>
            <w:tcW w:type="dxa" w:w="6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http://IP_SERVIDOR/geonetwork</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API (Python)</w:t>
            </w:r>
          </w:p>
        </w:tc>
        <w:tc>
          <w:tcPr>
            <w:tcW w:type="dxa" w:w="6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http://IP_SERVIDOR/api/health</w:t>
            </w:r>
          </w:p>
        </w:tc>
      </w:tr>
    </w:tbl>
    <w:p>
      <w:pPr>
        <w:pStyle w:val="Heading2"/>
        <w:spacing w:after="150" w:before="300"/>
      </w:pPr>
      <w:r>
        <w:rPr>
          <w:rFonts w:ascii="Calibri" w:cs="Calibri" w:eastAsia="Calibri" w:hAnsi="Calibri"/>
        </w:rPr>
        <w:t xml:space="preserve">6.5 Conexión de GeoServer a PostGIS</w:t>
      </w:r>
    </w:p>
    <w:p>
      <w:pPr>
        <w:spacing w:after="160" w:line="276"/>
      </w:pPr>
      <w:r>
        <w:rPr>
          <w:rFonts w:ascii="Calibri" w:cs="Calibri" w:eastAsia="Calibri" w:hAnsi="Calibri"/>
          <w:b w:val="false"/>
          <w:bCs w:val="false"/>
          <w:i w:val="false"/>
          <w:iCs w:val="false"/>
          <w:sz w:val="21"/>
          <w:szCs w:val="21"/>
        </w:rPr>
        <w:t xml:space="preserve">Desde Data &gt; Stores &gt; Add new Store &gt; PostGIS, con host "postgis" (nombre del servicio Docker), puerto 5432, y las credenciales definidas en .env. A partir de ahí se puede publicar cualquier tabla del esquema escm como capa WMS/WFS.</w:t>
      </w:r>
    </w:p>
    <w:p>
      <w:pPr>
        <w:pStyle w:val="Heading1"/>
        <w:spacing w:after="200" w:before="400"/>
      </w:pPr>
      <w:r>
        <w:rPr>
          <w:rFonts w:ascii="Calibri" w:cs="Calibri" w:eastAsia="Calibri" w:hAnsi="Calibri"/>
        </w:rPr>
        <w:t xml:space="preserve">7. Procedimientos de carga de datos</w:t>
      </w:r>
    </w:p>
    <w:p>
      <w:pPr>
        <w:pStyle w:val="Heading2"/>
        <w:spacing w:after="150" w:before="300"/>
      </w:pPr>
      <w:r>
        <w:rPr>
          <w:rFonts w:ascii="Calibri" w:cs="Calibri" w:eastAsia="Calibri" w:hAnsi="Calibri"/>
        </w:rPr>
        <w:t xml:space="preserve">7.1 Migración del prototipo SQLite</w:t>
      </w:r>
    </w:p>
    <w:p>
      <w:pPr>
        <w:spacing w:after="160" w:line="276"/>
      </w:pPr>
      <w:r>
        <w:rPr>
          <w:rFonts w:ascii="Calibri" w:cs="Calibri" w:eastAsia="Calibri" w:hAnsi="Calibri"/>
          <w:b w:val="false"/>
          <w:bCs w:val="false"/>
          <w:i w:val="false"/>
          <w:iCs w:val="false"/>
          <w:sz w:val="21"/>
          <w:szCs w:val="21"/>
        </w:rPr>
        <w:t xml:space="preserve">El prototipo original (tesis.db, 3 registros de ejemplo) se migra automáticamente con el script migrate.py, que convierte la geometría GeoJSON almacenada en SQLite a geometría nativa de PostGIS.</w:t>
      </w:r>
    </w:p>
    <w:p>
      <w:pPr>
        <w:pBdr>
          <w:top w:val="single" w:color="BFBFBF" w:sz="4"/>
          <w:bottom w:val="single" w:color="BFBFBF" w:sz="4"/>
          <w:left w:val="single" w:color="BFBFBF" w:sz="4"/>
          <w:right w:val="single" w:color="BFBFBF" w:sz="4"/>
        </w:pBdr>
        <w:shd w:fill="F2F2F2" w:color="auto" w:val="clear"/>
        <w:spacing w:after="160" w:before="80"/>
      </w:pPr>
      <w:r>
        <w:rPr>
          <w:rFonts w:ascii="Consolas" w:cs="Consolas" w:eastAsia="Consolas" w:hAnsi="Consolas"/>
          <w:color w:val="1B1B1B"/>
          <w:sz w:val="18"/>
          <w:szCs w:val="18"/>
        </w:rPr>
        <w:t xml:space="preserve">docker compose run --rm migrate</w:t>
      </w:r>
    </w:p>
    <w:p>
      <w:pPr>
        <w:pStyle w:val="Heading2"/>
        <w:spacing w:after="150" w:before="300"/>
      </w:pPr>
      <w:r>
        <w:rPr>
          <w:rFonts w:ascii="Calibri" w:cs="Calibri" w:eastAsia="Calibri" w:hAnsi="Calibri"/>
        </w:rPr>
        <w:t xml:space="preserve">7.2 Carga masiva de tesinas del repositorio (DSpace)</w:t>
      </w:r>
    </w:p>
    <w:p>
      <w:pPr>
        <w:spacing w:after="160" w:line="276"/>
      </w:pPr>
      <w:r>
        <w:rPr>
          <w:rFonts w:ascii="Calibri" w:cs="Calibri" w:eastAsia="Calibri" w:hAnsi="Calibri"/>
          <w:b w:val="false"/>
          <w:bCs w:val="false"/>
          <w:i w:val="false"/>
          <w:iCs w:val="false"/>
          <w:sz w:val="21"/>
          <w:szCs w:val="21"/>
        </w:rPr>
        <w:t xml:space="preserve">Para incorporar el catálogo completo (172 tesinas), se desarrolló un cargador que interpreta directamente el texto de cada ficha tal como se copia de la página del repositorio (cefadigital.edu.ar), sin necesidad de reformatearlo manualmente.</w:t>
      </w:r>
    </w:p>
    <w:p>
      <w:pPr>
        <w:spacing w:after="160" w:line="276"/>
      </w:pPr>
      <w:r>
        <w:rPr>
          <w:rFonts w:ascii="Calibri" w:cs="Calibri" w:eastAsia="Calibri" w:hAnsi="Calibri"/>
          <w:b w:val="false"/>
          <w:bCs w:val="false"/>
          <w:i w:val="false"/>
          <w:iCs w:val="false"/>
          <w:sz w:val="21"/>
          <w:szCs w:val="21"/>
        </w:rPr>
        <w:t xml:space="preserve">Procedimiento operativo:</w:t>
      </w:r>
    </w:p>
    <w:p>
      <w:pPr>
        <w:pStyle w:val="ListParagraph"/>
        <w:numPr>
          <w:ilvl w:val="0"/>
          <w:numId w:val="2"/>
        </w:numPr>
        <w:spacing w:after="80"/>
      </w:pPr>
      <w:r>
        <w:rPr>
          <w:rFonts w:ascii="Calibri" w:cs="Calibri" w:eastAsia="Calibri" w:hAnsi="Calibri"/>
          <w:sz w:val="21"/>
          <w:szCs w:val="21"/>
        </w:rPr>
        <w:t xml:space="preserve">Pegar el texto de cada ficha, una a continuación de la otra, en el archivo data/tesis_dspace.txt.</w:t>
      </w:r>
    </w:p>
    <w:p>
      <w:pPr>
        <w:pStyle w:val="ListParagraph"/>
        <w:numPr>
          <w:ilvl w:val="0"/>
          <w:numId w:val="2"/>
        </w:numPr>
        <w:spacing w:after="80"/>
      </w:pPr>
      <w:r>
        <w:rPr>
          <w:rFonts w:ascii="Calibri" w:cs="Calibri" w:eastAsia="Calibri" w:hAnsi="Calibri"/>
          <w:sz w:val="21"/>
          <w:szCs w:val="21"/>
        </w:rPr>
        <w:t xml:space="preserve">El cargador detecta automáticamente el inicio de cada ficha por su encabezado repetido.</w:t>
      </w:r>
    </w:p>
    <w:p>
      <w:pPr>
        <w:pStyle w:val="ListParagraph"/>
        <w:numPr>
          <w:ilvl w:val="0"/>
          <w:numId w:val="2"/>
        </w:numPr>
        <w:spacing w:after="80"/>
      </w:pPr>
      <w:r>
        <w:rPr>
          <w:rFonts w:ascii="Calibri" w:cs="Calibri" w:eastAsia="Calibri" w:hAnsi="Calibri"/>
          <w:sz w:val="21"/>
          <w:szCs w:val="21"/>
        </w:rPr>
        <w:t xml:space="preserve">Ejecutar la carga: docker compose run --rm migrate-dspace</w:t>
      </w:r>
    </w:p>
    <w:p>
      <w:pPr>
        <w:pStyle w:val="ListParagraph"/>
        <w:numPr>
          <w:ilvl w:val="0"/>
          <w:numId w:val="2"/>
        </w:numPr>
        <w:spacing w:after="80"/>
      </w:pPr>
      <w:r>
        <w:rPr>
          <w:rFonts w:ascii="Calibri" w:cs="Calibri" w:eastAsia="Calibri" w:hAnsi="Calibri"/>
          <w:sz w:val="21"/>
          <w:szCs w:val="21"/>
        </w:rPr>
        <w:t xml:space="preserve">El proceso es idempotente por URI (handle del repositorio): puede ejecutarse en tandas sin duplicar registros.</w:t>
      </w:r>
    </w:p>
    <w:p>
      <w:pPr>
        <w:pBdr>
          <w:top w:val="single" w:color="BFBFBF" w:sz="4"/>
          <w:bottom w:val="single" w:color="BFBFBF" w:sz="4"/>
          <w:left w:val="single" w:color="BFBFBF" w:sz="4"/>
          <w:right w:val="single" w:color="BFBFBF" w:sz="4"/>
        </w:pBdr>
        <w:shd w:fill="F2F2F2" w:color="auto" w:val="clear"/>
        <w:spacing w:after="160" w:before="80"/>
      </w:pPr>
      <w:r>
        <w:rPr>
          <w:rFonts w:ascii="Consolas" w:cs="Consolas" w:eastAsia="Consolas" w:hAnsi="Consolas"/>
          <w:color w:val="1B1B1B"/>
          <w:sz w:val="18"/>
          <w:szCs w:val="18"/>
        </w:rPr>
        <w:t xml:space="preserve">docker compose run --rm migrate-dspace</w:t>
      </w:r>
    </w:p>
    <w:p>
      <w:pPr>
        <w:spacing w:after="160" w:line="276"/>
      </w:pPr>
      <w:r>
        <w:rPr>
          <w:rFonts w:ascii="Calibri" w:cs="Calibri" w:eastAsia="Calibri" w:hAnsi="Calibri"/>
          <w:b w:val="false"/>
          <w:bCs w:val="false"/>
          <w:i w:val="false"/>
          <w:iCs w:val="false"/>
          <w:sz w:val="21"/>
          <w:szCs w:val="21"/>
        </w:rPr>
        <w:t xml:space="preserve">Campos reconocidos automáticamente en cada ficha: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500"/>
      </w:tblGrid>
      <w:tr>
        <w:tc>
          <w:tcPr>
            <w:tcW w:type="dxa" w:w="32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Campo en la ficha</w:t>
            </w:r>
          </w:p>
        </w:tc>
        <w:tc>
          <w:tcPr>
            <w:tcW w:type="dxa" w:w="32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Columna en PostGIS</w:t>
            </w:r>
          </w:p>
        </w:tc>
        <w:tc>
          <w:tcPr>
            <w:tcW w:type="dxa" w:w="25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w:t>
            </w:r>
          </w:p>
        </w:tc>
      </w:tr>
      <w:tr>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Título</w:t>
            </w:r>
          </w:p>
        </w:tc>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titulo</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r>
      <w:tr>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Autor</w:t>
            </w:r>
          </w:p>
        </w:tc>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autor</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r>
      <w:tr>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Palabras clave</w:t>
            </w:r>
          </w:p>
        </w:tc>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palabras_clave</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r>
      <w:tr>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Fecha de publicación</w:t>
            </w:r>
          </w:p>
        </w:tc>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anio</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INTEGER</w:t>
            </w:r>
          </w:p>
        </w:tc>
      </w:tr>
      <w:tr>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Editorial</w:t>
            </w:r>
          </w:p>
        </w:tc>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editorial</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r>
      <w:tr>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Citación</w:t>
            </w:r>
          </w:p>
        </w:tc>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citacion</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r>
      <w:tr>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Resumen</w:t>
            </w:r>
          </w:p>
        </w:tc>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resena</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r>
      <w:tr>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Descripción</w:t>
            </w:r>
          </w:p>
        </w:tc>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descripcion</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r>
      <w:tr>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URI</w:t>
            </w:r>
          </w:p>
        </w:tc>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url</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 (clave única)</w:t>
            </w:r>
          </w:p>
        </w:tc>
      </w:tr>
      <w:tr>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Aparece en las colecciones</w:t>
            </w:r>
          </w:p>
        </w:tc>
        <w:tc>
          <w:tcPr>
            <w:tcW w:type="dxa" w:w="3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coleccion</w:t>
            </w:r>
          </w:p>
        </w:tc>
        <w:tc>
          <w:tcPr>
            <w:tcW w:type="dxa" w:w="2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TEXT</w:t>
            </w:r>
          </w:p>
        </w:tc>
      </w:tr>
    </w:tbl>
    <w:p>
      <w:pPr>
        <w:spacing w:before="200"/>
      </w:pPr>
    </w:p>
    <w:p>
      <w:pPr>
        <w:pBdr>
          <w:left w:val="single" w:color="E8B339" w:sz="24"/>
        </w:pBdr>
        <w:shd w:fill="FFF3CD" w:color="auto" w:val="clear"/>
        <w:spacing w:after="160" w:before="80"/>
      </w:pPr>
      <w:r>
        <w:rPr>
          <w:rFonts w:ascii="Calibri" w:cs="Calibri" w:eastAsia="Calibri" w:hAnsi="Calibri"/>
          <w:i/>
          <w:iCs/>
          <w:sz w:val="20"/>
          <w:szCs w:val="20"/>
        </w:rPr>
        <w:t xml:space="preserve">Nota: La geometría no se completa desde la ficha (el repositorio no la incluye). Se carga aparte, tesina por tesina, mediante una actualización directa en PostGIS a medida que se identifica el área de estudio de cada trabajo.</w:t>
      </w:r>
    </w:p>
    <w:p>
      <w:pPr>
        <w:pStyle w:val="Heading1"/>
        <w:spacing w:after="200" w:before="400"/>
      </w:pPr>
      <w:r>
        <w:rPr>
          <w:rFonts w:ascii="Calibri" w:cs="Calibri" w:eastAsia="Calibri" w:hAnsi="Calibri"/>
        </w:rPr>
        <w:t xml:space="preserve">8. API de orquestación (Python / FastAPI)</w:t>
      </w:r>
    </w:p>
    <w:p>
      <w:pPr>
        <w:spacing w:after="160" w:line="276"/>
      </w:pPr>
      <w:r>
        <w:rPr>
          <w:rFonts w:ascii="Calibri" w:cs="Calibri" w:eastAsia="Calibri" w:hAnsi="Calibri"/>
          <w:b w:val="false"/>
          <w:bCs w:val="false"/>
          <w:i w:val="false"/>
          <w:iCs w:val="false"/>
          <w:sz w:val="21"/>
          <w:szCs w:val="21"/>
        </w:rPr>
        <w:t xml:space="preserve">La API expone los datos de PostGIS con reglas propias de la ESCM, como capa intermedia entre la base de datos y los consumidores externos (portal propio, futuras integraciones).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300"/>
      </w:tblGrid>
      <w:tr>
        <w:tc>
          <w:tcPr>
            <w:tcW w:type="dxa" w:w="14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Método</w:t>
            </w:r>
          </w:p>
        </w:tc>
        <w:tc>
          <w:tcPr>
            <w:tcW w:type="dxa" w:w="33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Ruta</w:t>
            </w:r>
          </w:p>
        </w:tc>
        <w:tc>
          <w:tcPr>
            <w:tcW w:type="dxa" w:w="43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1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GET</w:t>
            </w:r>
          </w:p>
        </w:tc>
        <w:tc>
          <w:tcPr>
            <w:tcW w:type="dxa" w:w="33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/health</w:t>
            </w:r>
          </w:p>
        </w:tc>
        <w:tc>
          <w:tcPr>
            <w:tcW w:type="dxa" w:w="43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Verifica que la API esté activa</w:t>
            </w:r>
          </w:p>
        </w:tc>
      </w:tr>
      <w:tr>
        <w:tc>
          <w:tcPr>
            <w:tcW w:type="dxa" w:w="1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GET</w:t>
            </w:r>
          </w:p>
        </w:tc>
        <w:tc>
          <w:tcPr>
            <w:tcW w:type="dxa" w:w="33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/capas?clasificacion=</w:t>
            </w:r>
          </w:p>
        </w:tc>
        <w:tc>
          <w:tcPr>
            <w:tcW w:type="dxa" w:w="43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Lista capas genéricas por nivel de acceso</w:t>
            </w:r>
          </w:p>
        </w:tc>
      </w:tr>
      <w:tr>
        <w:tc>
          <w:tcPr>
            <w:tcW w:type="dxa" w:w="1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GET</w:t>
            </w:r>
          </w:p>
        </w:tc>
        <w:tc>
          <w:tcPr>
            <w:tcW w:type="dxa" w:w="33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/investigaciones?clasificacion=</w:t>
            </w:r>
          </w:p>
        </w:tc>
        <w:tc>
          <w:tcPr>
            <w:tcW w:type="dxa" w:w="43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Lista tesinas por nivel de acceso, con todos sus metadatos y geometría en GeoJSON</w:t>
            </w:r>
          </w:p>
        </w:tc>
      </w:tr>
      <w:tr>
        <w:tc>
          <w:tcPr>
            <w:tcW w:type="dxa" w:w="1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GET</w:t>
            </w:r>
          </w:p>
        </w:tc>
        <w:tc>
          <w:tcPr>
            <w:tcW w:type="dxa" w:w="33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/investigaciones/{id}</w:t>
            </w:r>
          </w:p>
        </w:tc>
        <w:tc>
          <w:tcPr>
            <w:tcW w:type="dxa" w:w="43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rFonts w:ascii="Calibri" w:cs="Calibri" w:eastAsia="Calibri" w:hAnsi="Calibri"/>
                <w:b w:val="false"/>
                <w:bCs w:val="false"/>
                <w:i w:val="false"/>
                <w:iCs w:val="false"/>
                <w:sz w:val="19"/>
                <w:szCs w:val="19"/>
              </w:rPr>
              <w:t xml:space="preserve">Detalle de una tesina puntual</w:t>
            </w:r>
          </w:p>
        </w:tc>
      </w:tr>
    </w:tbl>
    <w:p>
      <w:pPr>
        <w:spacing w:before="200"/>
      </w:pPr>
    </w:p>
    <w:p>
      <w:pPr>
        <w:pBdr>
          <w:left w:val="single" w:color="E8B339" w:sz="24"/>
        </w:pBdr>
        <w:shd w:fill="FFF3CD" w:color="auto" w:val="clear"/>
        <w:spacing w:after="160" w:before="80"/>
      </w:pPr>
      <w:r>
        <w:rPr>
          <w:rFonts w:ascii="Calibri" w:cs="Calibri" w:eastAsia="Calibri" w:hAnsi="Calibri"/>
          <w:i/>
          <w:iCs/>
          <w:sz w:val="20"/>
          <w:szCs w:val="20"/>
        </w:rPr>
        <w:t xml:space="preserve">Nota: El filtro por clasificación (publico/restringido/militar) hoy es a nivel de consulta. La autenticación real (JWT/OAuth2) para bloquear el acceso a datos restringidos está planificada para la siguiente etapa (ver sección 10).</w:t>
      </w:r>
    </w:p>
    <w:p>
      <w:pPr>
        <w:pStyle w:val="Heading1"/>
        <w:spacing w:after="200" w:before="400"/>
      </w:pPr>
      <w:r>
        <w:rPr>
          <w:rFonts w:ascii="Calibri" w:cs="Calibri" w:eastAsia="Calibri" w:hAnsi="Calibri"/>
        </w:rPr>
        <w:t xml:space="preserve">9. Seguridad y red</w:t>
      </w:r>
    </w:p>
    <w:p>
      <w:pPr>
        <w:pStyle w:val="Heading2"/>
        <w:spacing w:after="150" w:before="300"/>
      </w:pPr>
      <w:r>
        <w:rPr>
          <w:rFonts w:ascii="Calibri" w:cs="Calibri" w:eastAsia="Calibri" w:hAnsi="Calibri"/>
        </w:rPr>
        <w:t xml:space="preserve">9.1 Requisitos de red institucionales</w:t>
      </w:r>
    </w:p>
    <w:p>
      <w:pPr>
        <w:pStyle w:val="ListParagraph"/>
        <w:numPr>
          <w:ilvl w:val="0"/>
          <w:numId w:val="2"/>
        </w:numPr>
        <w:spacing w:after="80"/>
      </w:pPr>
      <w:r>
        <w:rPr>
          <w:rFonts w:ascii="Calibri" w:cs="Calibri" w:eastAsia="Calibri" w:hAnsi="Calibri"/>
          <w:sz w:val="21"/>
          <w:szCs w:val="21"/>
        </w:rPr>
        <w:t xml:space="preserve">IP pública fija, imprescindible para que IDERA coseche el catálogo de forma confiable.</w:t>
      </w:r>
    </w:p>
    <w:p>
      <w:pPr>
        <w:pStyle w:val="ListParagraph"/>
        <w:numPr>
          <w:ilvl w:val="0"/>
          <w:numId w:val="2"/>
        </w:numPr>
        <w:spacing w:after="80"/>
      </w:pPr>
      <w:r>
        <w:rPr>
          <w:rFonts w:ascii="Calibri" w:cs="Calibri" w:eastAsia="Calibri" w:hAnsi="Calibri"/>
          <w:sz w:val="21"/>
          <w:szCs w:val="21"/>
        </w:rPr>
        <w:t xml:space="preserve">Dominio institucional (ej. ide.escm.undef.edu.ar) apuntando al servidor.</w:t>
      </w:r>
    </w:p>
    <w:p>
      <w:pPr>
        <w:pStyle w:val="ListParagraph"/>
        <w:numPr>
          <w:ilvl w:val="0"/>
          <w:numId w:val="2"/>
        </w:numPr>
        <w:spacing w:after="80"/>
      </w:pPr>
      <w:r>
        <w:rPr>
          <w:rFonts w:ascii="Calibri" w:cs="Calibri" w:eastAsia="Calibri" w:hAnsi="Calibri"/>
          <w:sz w:val="21"/>
          <w:szCs w:val="21"/>
        </w:rPr>
        <w:t xml:space="preserve">Ancho de banda simétrico, mínimo 100 Mbps.</w:t>
      </w:r>
    </w:p>
    <w:p>
      <w:pPr>
        <w:pStyle w:val="ListParagraph"/>
        <w:numPr>
          <w:ilvl w:val="0"/>
          <w:numId w:val="2"/>
        </w:numPr>
        <w:spacing w:after="80"/>
      </w:pPr>
      <w:r>
        <w:rPr>
          <w:rFonts w:ascii="Calibri" w:cs="Calibri" w:eastAsia="Calibri" w:hAnsi="Calibri"/>
          <w:sz w:val="21"/>
          <w:szCs w:val="21"/>
        </w:rPr>
        <w:t xml:space="preserve">Puerto 22 (SSH) cerrado al público; solo accesible por VPN institucional o IPs autorizadas.</w:t>
      </w:r>
    </w:p>
    <w:p>
      <w:pPr>
        <w:pStyle w:val="Heading2"/>
        <w:spacing w:after="150" w:before="300"/>
      </w:pPr>
      <w:r>
        <w:rPr>
          <w:rFonts w:ascii="Calibri" w:cs="Calibri" w:eastAsia="Calibri" w:hAnsi="Calibri"/>
        </w:rPr>
        <w:t xml:space="preserve">9.2 Firewall</w:t>
      </w:r>
    </w:p>
    <w:p>
      <w:pPr>
        <w:pBdr>
          <w:top w:val="single" w:color="BFBFBF" w:sz="4"/>
          <w:bottom w:val="single" w:color="BFBFBF" w:sz="4"/>
          <w:left w:val="single" w:color="BFBFBF" w:sz="4"/>
          <w:right w:val="single" w:color="BFBFBF" w:sz="4"/>
        </w:pBdr>
        <w:shd w:fill="F2F2F2" w:color="auto" w:val="clear"/>
        <w:spacing w:after="160" w:before="80"/>
      </w:pPr>
      <w:r>
        <w:rPr>
          <w:rFonts w:ascii="Consolas" w:cs="Consolas" w:eastAsia="Consolas" w:hAnsi="Consolas"/>
          <w:color w:val="1B1B1B"/>
          <w:sz w:val="18"/>
          <w:szCs w:val="18"/>
        </w:rPr>
        <w:t xml:space="preserve">sudo ufw allow OpenSSH
sudo ufw allow 80/tcp
sudo ufw allow 443/tcp
sudo ufw enable</w:t>
      </w:r>
    </w:p>
    <w:p>
      <w:pPr>
        <w:pStyle w:val="Heading2"/>
        <w:spacing w:after="150" w:before="300"/>
      </w:pPr>
      <w:r>
        <w:rPr>
          <w:rFonts w:ascii="Calibri" w:cs="Calibri" w:eastAsia="Calibri" w:hAnsi="Calibri"/>
        </w:rPr>
        <w:t xml:space="preserve">9.3 Clasificación de acceso a los datos</w:t>
      </w:r>
    </w:p>
    <w:p>
      <w:pPr>
        <w:spacing w:after="160" w:line="276"/>
      </w:pPr>
      <w:r>
        <w:rPr>
          <w:rFonts w:ascii="Calibri" w:cs="Calibri" w:eastAsia="Calibri" w:hAnsi="Calibri"/>
          <w:b w:val="false"/>
          <w:bCs w:val="false"/>
          <w:i w:val="false"/>
          <w:iCs w:val="false"/>
          <w:sz w:val="21"/>
          <w:szCs w:val="21"/>
        </w:rPr>
        <w:t xml:space="preserve">Toda capa y toda tesina tiene un campo clasificacion (publico | restringido | militar). Este campo es la base sobre la que se construirá, en la siguiente etapa, tanto la autenticación de la API como las reglas de seguridad por capa en GeoServer (Security &gt; Layers).</w:t>
      </w:r>
    </w:p>
    <w:p>
      <w:pPr>
        <w:pStyle w:val="Heading2"/>
        <w:spacing w:after="150" w:before="300"/>
      </w:pPr>
      <w:r>
        <w:rPr>
          <w:rFonts w:ascii="Calibri" w:cs="Calibri" w:eastAsia="Calibri" w:hAnsi="Calibri"/>
        </w:rPr>
        <w:t xml:space="preserve">9.4 Respaldos</w:t>
      </w:r>
    </w:p>
    <w:p>
      <w:pPr>
        <w:pBdr>
          <w:top w:val="single" w:color="BFBFBF" w:sz="4"/>
          <w:bottom w:val="single" w:color="BFBFBF" w:sz="4"/>
          <w:left w:val="single" w:color="BFBFBF" w:sz="4"/>
          <w:right w:val="single" w:color="BFBFBF" w:sz="4"/>
        </w:pBdr>
        <w:shd w:fill="F2F2F2" w:color="auto" w:val="clear"/>
        <w:spacing w:after="160" w:before="80"/>
      </w:pPr>
      <w:r>
        <w:rPr>
          <w:rFonts w:ascii="Consolas" w:cs="Consolas" w:eastAsia="Consolas" w:hAnsi="Consolas"/>
          <w:color w:val="1B1B1B"/>
          <w:sz w:val="18"/>
          <w:szCs w:val="18"/>
        </w:rPr>
        <w:t xml:space="preserve">docker exec ide_postgis pg_dump -U ide_admin ide_escm &gt; backup_$(date +%F).sql</w:t>
      </w:r>
    </w:p>
    <w:p>
      <w:pPr>
        <w:pStyle w:val="Heading1"/>
        <w:spacing w:after="200" w:before="400"/>
      </w:pPr>
      <w:r>
        <w:rPr>
          <w:rFonts w:ascii="Calibri" w:cs="Calibri" w:eastAsia="Calibri" w:hAnsi="Calibri"/>
        </w:rPr>
        <w:t xml:space="preserve">10. Estado actual y próximos pasos</w:t>
      </w:r>
    </w:p>
    <w:p>
      <w:pPr>
        <w:pStyle w:val="Heading2"/>
        <w:spacing w:after="150" w:before="300"/>
      </w:pPr>
      <w:r>
        <w:rPr>
          <w:rFonts w:ascii="Calibri" w:cs="Calibri" w:eastAsia="Calibri" w:hAnsi="Calibri"/>
        </w:rPr>
        <w:t xml:space="preserve">10.1 Completado en esta etapa</w:t>
      </w:r>
    </w:p>
    <w:p>
      <w:pPr>
        <w:pStyle w:val="ListParagraph"/>
        <w:numPr>
          <w:ilvl w:val="0"/>
          <w:numId w:val="2"/>
        </w:numPr>
        <w:spacing w:after="80"/>
      </w:pPr>
      <w:r>
        <w:rPr>
          <w:rFonts w:ascii="Calibri" w:cs="Calibri" w:eastAsia="Calibri" w:hAnsi="Calibri"/>
          <w:sz w:val="21"/>
          <w:szCs w:val="21"/>
        </w:rPr>
        <w:t xml:space="preserve">Arquitectura completa en Docker (PostGIS, GeoServer, GeoNetwork, API propia, proxy).</w:t>
      </w:r>
    </w:p>
    <w:p>
      <w:pPr>
        <w:pStyle w:val="ListParagraph"/>
        <w:numPr>
          <w:ilvl w:val="0"/>
          <w:numId w:val="2"/>
        </w:numPr>
        <w:spacing w:after="80"/>
      </w:pPr>
      <w:r>
        <w:rPr>
          <w:rFonts w:ascii="Calibri" w:cs="Calibri" w:eastAsia="Calibri" w:hAnsi="Calibri"/>
          <w:sz w:val="21"/>
          <w:szCs w:val="21"/>
        </w:rPr>
        <w:t xml:space="preserve">Dimensionamiento de hardware para MVP e institucional.</w:t>
      </w:r>
    </w:p>
    <w:p>
      <w:pPr>
        <w:pStyle w:val="ListParagraph"/>
        <w:numPr>
          <w:ilvl w:val="0"/>
          <w:numId w:val="2"/>
        </w:numPr>
        <w:spacing w:after="80"/>
      </w:pPr>
      <w:r>
        <w:rPr>
          <w:rFonts w:ascii="Calibri" w:cs="Calibri" w:eastAsia="Calibri" w:hAnsi="Calibri"/>
          <w:sz w:val="21"/>
          <w:szCs w:val="21"/>
        </w:rPr>
        <w:t xml:space="preserve">Modelo de datos de tesinas, alineado a los campos reales del repositorio.</w:t>
      </w:r>
    </w:p>
    <w:p>
      <w:pPr>
        <w:pStyle w:val="ListParagraph"/>
        <w:numPr>
          <w:ilvl w:val="0"/>
          <w:numId w:val="2"/>
        </w:numPr>
        <w:spacing w:after="80"/>
      </w:pPr>
      <w:r>
        <w:rPr>
          <w:rFonts w:ascii="Calibri" w:cs="Calibri" w:eastAsia="Calibri" w:hAnsi="Calibri"/>
          <w:sz w:val="21"/>
          <w:szCs w:val="21"/>
        </w:rPr>
        <w:t xml:space="preserve">Migración del prototipo SQLite.</w:t>
      </w:r>
    </w:p>
    <w:p>
      <w:pPr>
        <w:pStyle w:val="ListParagraph"/>
        <w:numPr>
          <w:ilvl w:val="0"/>
          <w:numId w:val="2"/>
        </w:numPr>
        <w:spacing w:after="80"/>
      </w:pPr>
      <w:r>
        <w:rPr>
          <w:rFonts w:ascii="Calibri" w:cs="Calibri" w:eastAsia="Calibri" w:hAnsi="Calibri"/>
          <w:sz w:val="21"/>
          <w:szCs w:val="21"/>
        </w:rPr>
        <w:t xml:space="preserve">Cargador masivo de fichas del repositorio (formato DSpace), idempotente y en tandas.</w:t>
      </w:r>
    </w:p>
    <w:p>
      <w:pPr>
        <w:pStyle w:val="ListParagraph"/>
        <w:numPr>
          <w:ilvl w:val="0"/>
          <w:numId w:val="2"/>
        </w:numPr>
        <w:spacing w:after="80"/>
      </w:pPr>
      <w:r>
        <w:rPr>
          <w:rFonts w:ascii="Calibri" w:cs="Calibri" w:eastAsia="Calibri" w:hAnsi="Calibri"/>
          <w:sz w:val="21"/>
          <w:szCs w:val="21"/>
        </w:rPr>
        <w:t xml:space="preserve">API propia con endpoints de consulta.</w:t>
      </w:r>
    </w:p>
    <w:p>
      <w:pPr>
        <w:pStyle w:val="Heading2"/>
        <w:spacing w:after="150" w:before="300"/>
      </w:pPr>
      <w:r>
        <w:rPr>
          <w:rFonts w:ascii="Calibri" w:cs="Calibri" w:eastAsia="Calibri" w:hAnsi="Calibri"/>
        </w:rPr>
        <w:t xml:space="preserve">10.2 Pendiente para la siguiente etapa</w:t>
      </w:r>
    </w:p>
    <w:p>
      <w:pPr>
        <w:pStyle w:val="ListParagraph"/>
        <w:numPr>
          <w:ilvl w:val="0"/>
          <w:numId w:val="2"/>
        </w:numPr>
        <w:spacing w:after="80"/>
      </w:pPr>
      <w:r>
        <w:rPr>
          <w:rFonts w:ascii="Calibri" w:cs="Calibri" w:eastAsia="Calibri" w:hAnsi="Calibri"/>
          <w:sz w:val="21"/>
          <w:szCs w:val="21"/>
        </w:rPr>
        <w:t xml:space="preserve">Autenticación (JWT/OAuth2) para bloquear efectivamente el acceso a datos restringidos/militares.</w:t>
      </w:r>
    </w:p>
    <w:p>
      <w:pPr>
        <w:pStyle w:val="ListParagraph"/>
        <w:numPr>
          <w:ilvl w:val="0"/>
          <w:numId w:val="2"/>
        </w:numPr>
        <w:spacing w:after="80"/>
      </w:pPr>
      <w:r>
        <w:rPr>
          <w:rFonts w:ascii="Calibri" w:cs="Calibri" w:eastAsia="Calibri" w:hAnsi="Calibri"/>
          <w:sz w:val="21"/>
          <w:szCs w:val="21"/>
        </w:rPr>
        <w:t xml:space="preserve">Reglas de seguridad por capa/workspace en GeoServer.</w:t>
      </w:r>
    </w:p>
    <w:p>
      <w:pPr>
        <w:pStyle w:val="ListParagraph"/>
        <w:numPr>
          <w:ilvl w:val="0"/>
          <w:numId w:val="2"/>
        </w:numPr>
        <w:spacing w:after="80"/>
      </w:pPr>
      <w:r>
        <w:rPr>
          <w:rFonts w:ascii="Calibri" w:cs="Calibri" w:eastAsia="Calibri" w:hAnsi="Calibri"/>
          <w:sz w:val="21"/>
          <w:szCs w:val="21"/>
        </w:rPr>
        <w:t xml:space="preserve">HTTPS con Certbot y publicación bajo el dominio institucional definitivo.</w:t>
      </w:r>
    </w:p>
    <w:p>
      <w:pPr>
        <w:pStyle w:val="ListParagraph"/>
        <w:numPr>
          <w:ilvl w:val="0"/>
          <w:numId w:val="2"/>
        </w:numPr>
        <w:spacing w:after="80"/>
      </w:pPr>
      <w:r>
        <w:rPr>
          <w:rFonts w:ascii="Calibri" w:cs="Calibri" w:eastAsia="Calibri" w:hAnsi="Calibri"/>
          <w:sz w:val="21"/>
          <w:szCs w:val="21"/>
        </w:rPr>
        <w:t xml:space="preserve">Carga completa de las 172 tesinas y su clasificación de acceso.</w:t>
      </w:r>
    </w:p>
    <w:p>
      <w:pPr>
        <w:pStyle w:val="ListParagraph"/>
        <w:numPr>
          <w:ilvl w:val="0"/>
          <w:numId w:val="2"/>
        </w:numPr>
        <w:spacing w:after="80"/>
      </w:pPr>
      <w:r>
        <w:rPr>
          <w:rFonts w:ascii="Calibri" w:cs="Calibri" w:eastAsia="Calibri" w:hAnsi="Calibri"/>
          <w:sz w:val="21"/>
          <w:szCs w:val="21"/>
        </w:rPr>
        <w:t xml:space="preserve">Incorporación progresiva de geometrías para las tesinas que aún no las tienen.</w:t>
      </w:r>
    </w:p>
    <w:p>
      <w:pPr>
        <w:pStyle w:val="ListParagraph"/>
        <w:numPr>
          <w:ilvl w:val="0"/>
          <w:numId w:val="2"/>
        </w:numPr>
        <w:spacing w:after="80"/>
      </w:pPr>
      <w:r>
        <w:rPr>
          <w:rFonts w:ascii="Calibri" w:cs="Calibri" w:eastAsia="Calibri" w:hAnsi="Calibri"/>
          <w:sz w:val="21"/>
          <w:szCs w:val="21"/>
        </w:rPr>
        <w:t xml:space="preserve">Registro de metadatos ISO en GeoNetwork por cada capa publicada.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595959"/>
        <w:sz w:val="16"/>
        <w:szCs w:val="16"/>
      </w:rPr>
      <w:t xml:space="preserve">IDE-ESCM — Manual Técnico-Funcional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6"/>
      </w:pBd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pPr>
      <w:spacing w:after="150" w:before="300"/>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2026-07-11T00:05:49.243Z</dcterms:created>
  <dcterms:modified xsi:type="dcterms:W3CDTF">2026-07-11T00:05:49.256Z</dcterms:modified>
</cp:coreProperties>
</file>

<file path=docProps/custom.xml><?xml version="1.0" encoding="utf-8"?>
<Properties xmlns="http://schemas.openxmlformats.org/officeDocument/2006/custom-properties" xmlns:vt="http://schemas.openxmlformats.org/officeDocument/2006/docPropsVTypes"/>
</file>