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c1d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rtl w:val="0"/>
        </w:rPr>
        <w:t xml:space="preserve">Data Dictionary 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c1d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rtl w:val="0"/>
        </w:rPr>
        <w:t xml:space="preserve">constraint ON DELETE CASCADE | ON DELETE SET NULL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c1d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c1d1f"/>
          <w:sz w:val="21"/>
          <w:szCs w:val="21"/>
          <w:rtl w:val="0"/>
        </w:rPr>
        <w:t xml:space="preserve">READ-ONLY Tables in SQL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c1d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c1d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Dynamic SQL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Hàm treat trong oracle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nói về các chuẩn trong oracle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Oracle Real Application Clusters (RAC)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Giới thiệu về Oracle RAC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Cấu hình và quản lý Oracle RAC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thành phần chính của Oracle RAC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lý và tối ưu hóa hiệu suất trong Oracle RAC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hành với Oracle RAC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