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06A44"/>
          <w:sz w:val="18"/>
          <w:szCs w:val="18"/>
        </w:rPr>
        <w:t xml:space="preserve">LCAPIX</w:t>
      </w:r>
    </w:p>
    <w:p>
      <w:pPr>
        <w:spacing w:after="120"/>
      </w:pPr>
      <w:r>
        <w:rPr>
          <w:rFonts w:ascii="Arial" w:cs="Arial" w:eastAsia="Arial" w:hAnsi="Arial"/>
          <w:b/>
          <w:bCs/>
          <w:color w:val="1A1F1B"/>
          <w:sz w:val="56"/>
          <w:szCs w:val="56"/>
        </w:rPr>
        <w:t xml:space="preserve">Your First LCA in 15 Minutes</w:t>
      </w:r>
    </w:p>
    <w:p>
      <w:pPr>
        <w:spacing w:after="200"/>
      </w:pPr>
      <w:r>
        <w:rPr>
          <w:rFonts w:ascii="Arial" w:cs="Arial" w:eastAsia="Arial" w:hAnsi="Arial"/>
          <w:i/>
          <w:iCs/>
          <w:color w:val="5E6663"/>
          <w:sz w:val="24"/>
          <w:szCs w:val="24"/>
        </w:rPr>
        <w:t xml:space="preserve">A self-contained zero-to-one journey for a first-time customer. Sign up, create your first project, run your first assessment, and read the result. The sample data is tiny on purpose so you can verify the platform math against a calculator as you go.</w:t>
      </w:r>
    </w:p>
    <w:p>
      <w:pPr>
        <w:pBdr>
          <w:bottom w:val="single" w:color="D5DCD7" w:sz="6" w:space="1"/>
        </w:pBdr>
        <w:spacing w:after="200" w:before="100"/>
      </w:pPr>
      <w:r>
        <w:t xml:space="preserve"/>
      </w:r>
    </w:p>
    <w:p>
      <w:pPr>
        <w:pStyle w:val="Heading2"/>
        <w:spacing w:after="140" w:before="240"/>
      </w:pPr>
      <w:r>
        <w:rPr>
          <w:rFonts w:ascii="Arial" w:cs="Arial" w:eastAsia="Arial" w:hAnsi="Arial"/>
          <w:b/>
          <w:bCs/>
          <w:color w:val="1A1F1B"/>
          <w:sz w:val="28"/>
          <w:szCs w:val="28"/>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What you need</w:t>
            </w:r>
          </w:p>
        </w:tc>
        <w:tc>
          <w:tcPr>
            <w:tcW w:type="dxa" w:w="624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Value</w:t>
            </w:r>
          </w:p>
        </w:tc>
      </w:tr>
      <w:tr>
        <w:tc>
          <w:tcPr>
            <w:tcW w:type="dxa" w:w="312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Time required</w:t>
            </w:r>
          </w:p>
        </w:tc>
        <w:tc>
          <w:tcPr>
            <w:tcW w:type="dxa" w:w="624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~15 minutes</w:t>
            </w:r>
          </w:p>
        </w:tc>
      </w:tr>
      <w:tr>
        <w:tc>
          <w:tcPr>
            <w:tcW w:type="dxa" w:w="312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Tools needed</w:t>
            </w:r>
          </w:p>
        </w:tc>
        <w:tc>
          <w:tcPr>
            <w:tcW w:type="dxa" w:w="624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A browser. A calculator (optional)</w:t>
            </w:r>
          </w:p>
        </w:tc>
      </w:tr>
      <w:tr>
        <w:tc>
          <w:tcPr>
            <w:tcW w:type="dxa" w:w="312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App URL</w:t>
            </w:r>
          </w:p>
        </w:tc>
        <w:tc>
          <w:tcPr>
            <w:tcW w:type="dxa" w:w="624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https://lcapix.vercel.app</w:t>
            </w:r>
          </w:p>
        </w:tc>
      </w:tr>
      <w:tr>
        <w:tc>
          <w:tcPr>
            <w:tcW w:type="dxa" w:w="312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Test account</w:t>
            </w:r>
          </w:p>
        </w:tc>
        <w:tc>
          <w:tcPr>
            <w:tcW w:type="dxa" w:w="624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lcapix50@gmail.com / Lcapix@guerry123</w:t>
            </w:r>
          </w:p>
        </w:tc>
      </w:tr>
      <w:tr>
        <w:tc>
          <w:tcPr>
            <w:tcW w:type="dxa" w:w="312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Sample case</w:t>
            </w:r>
          </w:p>
        </w:tc>
        <w:tc>
          <w:tcPr>
            <w:tcW w:type="dxa" w:w="624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Aluminum vs. steel bookshelf bracket</w:t>
            </w:r>
          </w:p>
        </w:tc>
      </w:tr>
      <w:tr>
        <w:tc>
          <w:tcPr>
            <w:tcW w:type="dxa" w:w="312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Expected outcome</w:t>
            </w:r>
          </w:p>
        </w:tc>
        <w:tc>
          <w:tcPr>
            <w:tcW w:type="dxa" w:w="624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Aluminum is 18% cheaper, but emits 69% more CO2</w:t>
            </w:r>
          </w:p>
        </w:tc>
      </w:tr>
    </w:tbl>
    <w:p>
      <w:pPr>
        <w:pStyle w:val="Heading2"/>
        <w:spacing w:after="140" w:before="240"/>
      </w:pPr>
      <w:r>
        <w:rPr>
          <w:rFonts w:ascii="Arial" w:cs="Arial" w:eastAsia="Arial" w:hAnsi="Arial"/>
          <w:b/>
          <w:bCs/>
          <w:color w:val="1A1F1B"/>
          <w:sz w:val="28"/>
          <w:szCs w:val="28"/>
        </w:rPr>
        <w:t xml:space="preserve">The sample case: an aluminum bookshelf bracket</w:t>
      </w:r>
    </w:p>
    <w:p>
      <w:pPr>
        <w:spacing w:after="140"/>
      </w:pPr>
      <w:r>
        <w:rPr>
          <w:rFonts w:ascii="Arial" w:cs="Arial" w:eastAsia="Arial" w:hAnsi="Arial"/>
          <w:color w:val="1A1F1B"/>
          <w:sz w:val="22"/>
          <w:szCs w:val="22"/>
        </w:rPr>
        <w:t xml:space="preserve">You will model a tiny part: a single L-shaped aluminum bookshelf bracket. Then you will compare it against a steel version. The hierarchy has just four nodes so you can walk through every screen without drowning in scale.</w:t>
      </w:r>
    </w:p>
    <w:p>
      <w:pPr>
        <w:pStyle w:val="Heading3"/>
        <w:spacing w:after="100" w:before="200"/>
      </w:pPr>
      <w:r>
        <w:rPr>
          <w:rFonts w:ascii="Arial" w:cs="Arial" w:eastAsia="Arial" w:hAnsi="Arial"/>
          <w:b/>
          <w:bCs/>
          <w:color w:val="1A1F1B"/>
          <w:sz w:val="22"/>
          <w:szCs w:val="22"/>
        </w:rPr>
        <w:t xml:space="preserve">Why this example?</w:t>
      </w:r>
    </w:p>
    <w:p>
      <w:pPr>
        <w:pStyle w:val="ListParagraph"/>
        <w:numPr>
          <w:ilvl w:val="0"/>
          <w:numId w:val="2"/>
        </w:numPr>
        <w:spacing w:after="80"/>
      </w:pPr>
      <w:r>
        <w:rPr>
          <w:rFonts w:ascii="Arial" w:cs="Arial" w:eastAsia="Arial" w:hAnsi="Arial"/>
          <w:color w:val="1A1F1B"/>
          <w:sz w:val="22"/>
          <w:szCs w:val="22"/>
        </w:rPr>
        <w:t xml:space="preserve">Aluminum vs steel is a real industry trade-off (lighter material, but ~5x the CO2 per kg).</w:t>
      </w:r>
    </w:p>
    <w:p>
      <w:pPr>
        <w:pStyle w:val="ListParagraph"/>
        <w:numPr>
          <w:ilvl w:val="0"/>
          <w:numId w:val="2"/>
        </w:numPr>
        <w:spacing w:after="80"/>
      </w:pPr>
      <w:r>
        <w:rPr>
          <w:rFonts w:ascii="Arial" w:cs="Arial" w:eastAsia="Arial" w:hAnsi="Arial"/>
          <w:color w:val="1A1F1B"/>
          <w:sz w:val="22"/>
          <w:szCs w:val="22"/>
        </w:rPr>
        <w:t xml:space="preserve">Two flows total, so the math fits on a sticky note.</w:t>
      </w:r>
    </w:p>
    <w:p>
      <w:pPr>
        <w:pStyle w:val="ListParagraph"/>
        <w:numPr>
          <w:ilvl w:val="0"/>
          <w:numId w:val="2"/>
        </w:numPr>
        <w:spacing w:after="80"/>
      </w:pPr>
      <w:r>
        <w:rPr>
          <w:rFonts w:ascii="Arial" w:cs="Arial" w:eastAsia="Arial" w:hAnsi="Arial"/>
          <w:color w:val="1A1F1B"/>
          <w:sz w:val="22"/>
          <w:szCs w:val="22"/>
        </w:rPr>
        <w:t xml:space="preserve">The expected result is counter-intuitive: aluminum is cheaper but worse for CO2. A great teaching moment.</w:t>
      </w:r>
    </w:p>
    <w:p>
      <w:pPr>
        <w:pBdr>
          <w:bottom w:val="single" w:color="D5DCD7" w:sz="6" w:space="1"/>
        </w:pBdr>
        <w:spacing w:after="200" w:before="100"/>
      </w:pPr>
      <w:r>
        <w:t xml:space="preserve"/>
      </w:r>
    </w:p>
    <w:p>
      <w:pPr>
        <w:pStyle w:val="Heading2"/>
        <w:spacing w:after="140" w:before="240"/>
      </w:pPr>
      <w:r>
        <w:rPr>
          <w:rFonts w:ascii="Arial" w:cs="Arial" w:eastAsia="Arial" w:hAnsi="Arial"/>
          <w:b/>
          <w:bCs/>
          <w:color w:val="1A1F1B"/>
          <w:sz w:val="28"/>
          <w:szCs w:val="28"/>
        </w:rPr>
        <w:t xml:space="preserve">Sample data, type these into LCAPIX exactly</w:t>
      </w:r>
    </w:p>
    <w:p>
      <w:pPr>
        <w:pStyle w:val="Heading3"/>
        <w:spacing w:after="100" w:before="200"/>
      </w:pPr>
      <w:r>
        <w:rPr>
          <w:rFonts w:ascii="Arial" w:cs="Arial" w:eastAsia="Arial" w:hAnsi="Arial"/>
          <w:b/>
          <w:bCs/>
          <w:color w:val="1A1F1B"/>
          <w:sz w:val="22"/>
          <w:szCs w:val="22"/>
        </w:rPr>
        <w:t xml:space="preserve">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Field</w:t>
            </w:r>
          </w:p>
        </w:tc>
        <w:tc>
          <w:tcPr>
            <w:tcW w:type="dxa" w:w="624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Value</w:t>
            </w:r>
          </w:p>
        </w:tc>
      </w:tr>
      <w:tr>
        <w:tc>
          <w:tcPr>
            <w:tcW w:type="dxa" w:w="312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Project name</w:t>
            </w:r>
          </w:p>
        </w:tc>
        <w:tc>
          <w:tcPr>
            <w:tcW w:type="dxa" w:w="624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Bookshelf Bracket LCA</w:t>
            </w:r>
          </w:p>
        </w:tc>
      </w:tr>
      <w:tr>
        <w:tc>
          <w:tcPr>
            <w:tcW w:type="dxa" w:w="312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Description</w:t>
            </w:r>
          </w:p>
        </w:tc>
        <w:tc>
          <w:tcPr>
            <w:tcW w:type="dxa" w:w="624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One L-bracket for shelving, aluminum vs steel comparative</w:t>
            </w:r>
          </w:p>
        </w:tc>
      </w:tr>
    </w:tbl>
    <w:p>
      <w:pPr>
        <w:pStyle w:val="Heading3"/>
        <w:spacing w:after="100" w:before="200"/>
      </w:pPr>
      <w:r>
        <w:rPr>
          <w:rFonts w:ascii="Arial" w:cs="Arial" w:eastAsia="Arial" w:hAnsi="Arial"/>
          <w:b/>
          <w:bCs/>
          <w:color w:val="1A1F1B"/>
          <w:sz w:val="22"/>
          <w:szCs w:val="22"/>
        </w:rPr>
        <w:t xml:space="preserve">Base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Field</w:t>
            </w:r>
          </w:p>
        </w:tc>
        <w:tc>
          <w:tcPr>
            <w:tcW w:type="dxa" w:w="624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Value</w:t>
            </w:r>
          </w:p>
        </w:tc>
      </w:tr>
      <w:tr>
        <w:tc>
          <w:tcPr>
            <w:tcW w:type="dxa" w:w="312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Case name</w:t>
            </w:r>
          </w:p>
        </w:tc>
        <w:tc>
          <w:tcPr>
            <w:tcW w:type="dxa" w:w="624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Aluminum bracket, current</w:t>
            </w:r>
          </w:p>
        </w:tc>
      </w:tr>
      <w:tr>
        <w:tc>
          <w:tcPr>
            <w:tcW w:type="dxa" w:w="312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Type</w:t>
            </w:r>
          </w:p>
        </w:tc>
        <w:tc>
          <w:tcPr>
            <w:tcW w:type="dxa" w:w="624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Base</w:t>
            </w:r>
          </w:p>
        </w:tc>
      </w:tr>
      <w:tr>
        <w:tc>
          <w:tcPr>
            <w:tcW w:type="dxa" w:w="312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Description</w:t>
            </w:r>
          </w:p>
        </w:tc>
        <w:tc>
          <w:tcPr>
            <w:tcW w:type="dxa" w:w="624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0.40 kg aluminum, 0.3 kWh cutting electricity, 4 min labor</w:t>
            </w:r>
          </w:p>
        </w:tc>
      </w:tr>
    </w:tbl>
    <w:p>
      <w:pPr>
        <w:pStyle w:val="Heading3"/>
        <w:spacing w:after="100" w:before="200"/>
      </w:pPr>
      <w:r>
        <w:rPr>
          <w:rFonts w:ascii="Arial" w:cs="Arial" w:eastAsia="Arial" w:hAnsi="Arial"/>
          <w:b/>
          <w:bCs/>
          <w:color w:val="1A1F1B"/>
          <w:sz w:val="22"/>
          <w:szCs w:val="22"/>
        </w:rPr>
        <w:t xml:space="preserve">Hierarchy (full 5-tier, top-down)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rPr>
          <w:tblHeader/>
        </w:trPr>
        <w:tc>
          <w:tcPr>
            <w:tcW w:type="dxa" w:w="208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Tier</w:t>
            </w:r>
          </w:p>
        </w:tc>
        <w:tc>
          <w:tcPr>
            <w:tcW w:type="dxa" w:w="364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Name</w:t>
            </w:r>
          </w:p>
        </w:tc>
        <w:tc>
          <w:tcPr>
            <w:tcW w:type="dxa" w:w="364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Notes</w:t>
            </w:r>
          </w:p>
        </w:tc>
      </w:tr>
      <w:tr>
        <w:tc>
          <w:tcPr>
            <w:tcW w:type="dxa" w:w="208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Product</w:t>
            </w:r>
          </w:p>
        </w:tc>
        <w:tc>
          <w:tcPr>
            <w:tcW w:type="dxa" w:w="364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Aluminum bookshelf bracket</w:t>
            </w:r>
          </w:p>
        </w:tc>
        <w:tc>
          <w:tcPr>
            <w:tcW w:type="dxa" w:w="364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top of the tree</w:t>
            </w:r>
          </w:p>
        </w:tc>
      </w:tr>
      <w:tr>
        <w:tc>
          <w:tcPr>
            <w:tcW w:type="dxa" w:w="208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Machine/Line</w:t>
            </w:r>
          </w:p>
        </w:tc>
        <w:tc>
          <w:tcPr>
            <w:tcW w:type="dxa" w:w="364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Bracket forming line</w:t>
            </w:r>
          </w:p>
        </w:tc>
        <w:tc>
          <w:tcPr>
            <w:tcW w:type="dxa" w:w="364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child of Product</w:t>
            </w:r>
          </w:p>
        </w:tc>
      </w:tr>
      <w:tr>
        <w:tc>
          <w:tcPr>
            <w:tcW w:type="dxa" w:w="208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Subprocess</w:t>
            </w:r>
          </w:p>
        </w:tc>
        <w:tc>
          <w:tcPr>
            <w:tcW w:type="dxa" w:w="364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Forming</w:t>
            </w:r>
          </w:p>
        </w:tc>
        <w:tc>
          <w:tcPr>
            <w:tcW w:type="dxa" w:w="364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child of Machine/Line</w:t>
            </w:r>
          </w:p>
        </w:tc>
      </w:tr>
      <w:tr>
        <w:tc>
          <w:tcPr>
            <w:tcW w:type="dxa" w:w="208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Operation</w:t>
            </w:r>
          </w:p>
        </w:tc>
        <w:tc>
          <w:tcPr>
            <w:tcW w:type="dxa" w:w="364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Cut and bend</w:t>
            </w:r>
          </w:p>
        </w:tc>
        <w:tc>
          <w:tcPr>
            <w:tcW w:type="dxa" w:w="364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child of Subprocess</w:t>
            </w:r>
          </w:p>
        </w:tc>
      </w:tr>
      <w:tr>
        <w:tc>
          <w:tcPr>
            <w:tcW w:type="dxa" w:w="208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Elemental Task</w:t>
            </w:r>
          </w:p>
        </w:tc>
        <w:tc>
          <w:tcPr>
            <w:tcW w:type="dxa" w:w="364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Stamping + cutting</w:t>
            </w:r>
          </w:p>
        </w:tc>
        <w:tc>
          <w:tcPr>
            <w:tcW w:type="dxa" w:w="364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leaf node, where flows go</w:t>
            </w:r>
          </w:p>
        </w:tc>
      </w:tr>
    </w:tbl>
    <w:p>
      <w:pPr>
        <w:pStyle w:val="Heading3"/>
        <w:spacing w:after="100" w:before="200"/>
      </w:pPr>
      <w:r>
        <w:rPr>
          <w:rFonts w:ascii="Arial" w:cs="Arial" w:eastAsia="Arial" w:hAnsi="Arial"/>
          <w:b/>
          <w:bCs/>
          <w:color w:val="1A1F1B"/>
          <w:sz w:val="22"/>
          <w:szCs w:val="22"/>
        </w:rPr>
        <w:t xml:space="preserve">Flows on the Elemental Task (Stamping + cutting)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400"/>
        <w:gridCol w:w="1400"/>
        <w:gridCol w:w="800"/>
        <w:gridCol w:w="2760"/>
      </w:tblGrid>
      <w:tr>
        <w:trPr>
          <w:tblHeader/>
        </w:trPr>
        <w:tc>
          <w:tcPr>
            <w:tcW w:type="dxa" w:w="6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w:t>
            </w:r>
          </w:p>
        </w:tc>
        <w:tc>
          <w:tcPr>
            <w:tcW w:type="dxa" w:w="24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Substance</w:t>
            </w:r>
          </w:p>
        </w:tc>
        <w:tc>
          <w:tcPr>
            <w:tcW w:type="dxa" w:w="14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Direction</w:t>
            </w:r>
          </w:p>
        </w:tc>
        <w:tc>
          <w:tcPr>
            <w:tcW w:type="dxa" w:w="14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Quantity</w:t>
            </w:r>
          </w:p>
        </w:tc>
        <w:tc>
          <w:tcPr>
            <w:tcW w:type="dxa" w:w="8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Unit</w:t>
            </w:r>
          </w:p>
        </w:tc>
        <w:tc>
          <w:tcPr>
            <w:tcW w:type="dxa" w:w="27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Why</w:t>
            </w:r>
          </w:p>
        </w:tc>
      </w:tr>
      <w:tr>
        <w:tc>
          <w:tcPr>
            <w:tcW w:type="dxa" w:w="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1</w:t>
            </w:r>
          </w:p>
        </w:tc>
        <w:tc>
          <w:tcPr>
            <w:tcW w:type="dxa" w:w="2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Aluminum, primary</w:t>
            </w:r>
          </w:p>
        </w:tc>
        <w:tc>
          <w:tcPr>
            <w:tcW w:type="dxa" w:w="1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input</w:t>
            </w:r>
          </w:p>
        </w:tc>
        <w:tc>
          <w:tcPr>
            <w:tcW w:type="dxa" w:w="1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0.40</w:t>
            </w:r>
          </w:p>
        </w:tc>
        <w:tc>
          <w:tcPr>
            <w:tcW w:type="dxa" w:w="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kg</w:t>
            </w:r>
          </w:p>
        </w:tc>
        <w:tc>
          <w:tcPr>
            <w:tcW w:type="dxa" w:w="27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mass of one bracket</w:t>
            </w:r>
          </w:p>
        </w:tc>
      </w:tr>
      <w:tr>
        <w:tc>
          <w:tcPr>
            <w:tcW w:type="dxa" w:w="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2</w:t>
            </w:r>
          </w:p>
        </w:tc>
        <w:tc>
          <w:tcPr>
            <w:tcW w:type="dxa" w:w="2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Electricity</w:t>
            </w:r>
          </w:p>
        </w:tc>
        <w:tc>
          <w:tcPr>
            <w:tcW w:type="dxa" w:w="1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input</w:t>
            </w:r>
          </w:p>
        </w:tc>
        <w:tc>
          <w:tcPr>
            <w:tcW w:type="dxa" w:w="1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0.30</w:t>
            </w:r>
          </w:p>
        </w:tc>
        <w:tc>
          <w:tcPr>
            <w:tcW w:type="dxa" w:w="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kWh</w:t>
            </w:r>
          </w:p>
        </w:tc>
        <w:tc>
          <w:tcPr>
            <w:tcW w:type="dxa" w:w="27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per-unit cutting energy</w:t>
            </w:r>
          </w:p>
        </w:tc>
      </w:tr>
    </w:tbl>
    <w:p>
      <w:pPr>
        <w:pStyle w:val="Heading3"/>
        <w:spacing w:after="100" w:before="200"/>
      </w:pPr>
      <w:r>
        <w:rPr>
          <w:rFonts w:ascii="Arial" w:cs="Arial" w:eastAsia="Arial" w:hAnsi="Arial"/>
          <w:b/>
          <w:bCs/>
          <w:color w:val="1A1F1B"/>
          <w:sz w:val="22"/>
          <w:szCs w:val="22"/>
        </w:rPr>
        <w:t xml:space="preserve">Comparative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Field</w:t>
            </w:r>
          </w:p>
        </w:tc>
        <w:tc>
          <w:tcPr>
            <w:tcW w:type="dxa" w:w="624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Value</w:t>
            </w:r>
          </w:p>
        </w:tc>
      </w:tr>
      <w:tr>
        <w:tc>
          <w:tcPr>
            <w:tcW w:type="dxa" w:w="312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Case name</w:t>
            </w:r>
          </w:p>
        </w:tc>
        <w:tc>
          <w:tcPr>
            <w:tcW w:type="dxa" w:w="624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Steel bracket, comparative</w:t>
            </w:r>
          </w:p>
        </w:tc>
      </w:tr>
      <w:tr>
        <w:tc>
          <w:tcPr>
            <w:tcW w:type="dxa" w:w="312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Type</w:t>
            </w:r>
          </w:p>
        </w:tc>
        <w:tc>
          <w:tcPr>
            <w:tcW w:type="dxa" w:w="624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Comparative</w:t>
            </w:r>
          </w:p>
        </w:tc>
      </w:tr>
      <w:tr>
        <w:tc>
          <w:tcPr>
            <w:tcW w:type="dxa" w:w="312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Description</w:t>
            </w:r>
          </w:p>
        </w:tc>
        <w:tc>
          <w:tcPr>
            <w:tcW w:type="dxa" w:w="624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1.0 kg steel sheet, 0.5 kWh cutting, 5 min labor</w:t>
            </w:r>
          </w:p>
        </w:tc>
      </w:tr>
    </w:tbl>
    <w:p>
      <w:pPr>
        <w:spacing w:after="140"/>
      </w:pPr>
      <w:r>
        <w:rPr>
          <w:rFonts w:ascii="Arial" w:cs="Arial" w:eastAsia="Arial" w:hAnsi="Arial"/>
          <w:color w:val="1A1F1B"/>
          <w:sz w:val="22"/>
          <w:szCs w:val="22"/>
        </w:rPr>
        <w:t xml:space="preserve">Same hierarchy, but with these flows on the elemental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400"/>
        <w:gridCol w:w="1400"/>
        <w:gridCol w:w="1760"/>
      </w:tblGrid>
      <w:tr>
        <w:trPr>
          <w:tblHeader/>
        </w:trPr>
        <w:tc>
          <w:tcPr>
            <w:tcW w:type="dxa" w:w="6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w:t>
            </w:r>
          </w:p>
        </w:tc>
        <w:tc>
          <w:tcPr>
            <w:tcW w:type="dxa" w:w="42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Substance</w:t>
            </w:r>
          </w:p>
        </w:tc>
        <w:tc>
          <w:tcPr>
            <w:tcW w:type="dxa" w:w="14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Direction</w:t>
            </w:r>
          </w:p>
        </w:tc>
        <w:tc>
          <w:tcPr>
            <w:tcW w:type="dxa" w:w="14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Quantity</w:t>
            </w:r>
          </w:p>
        </w:tc>
        <w:tc>
          <w:tcPr>
            <w:tcW w:type="dxa" w:w="17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Unit</w:t>
            </w:r>
          </w:p>
        </w:tc>
      </w:tr>
      <w:tr>
        <w:tc>
          <w:tcPr>
            <w:tcW w:type="dxa" w:w="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1</w:t>
            </w:r>
          </w:p>
        </w:tc>
        <w:tc>
          <w:tcPr>
            <w:tcW w:type="dxa" w:w="42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Steel, hot-rolled (or closest available)</w:t>
            </w:r>
          </w:p>
        </w:tc>
        <w:tc>
          <w:tcPr>
            <w:tcW w:type="dxa" w:w="1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input</w:t>
            </w:r>
          </w:p>
        </w:tc>
        <w:tc>
          <w:tcPr>
            <w:tcW w:type="dxa" w:w="1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1.0</w:t>
            </w:r>
          </w:p>
        </w:tc>
        <w:tc>
          <w:tcPr>
            <w:tcW w:type="dxa" w:w="17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kg</w:t>
            </w:r>
          </w:p>
        </w:tc>
      </w:tr>
      <w:tr>
        <w:tc>
          <w:tcPr>
            <w:tcW w:type="dxa" w:w="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2</w:t>
            </w:r>
          </w:p>
        </w:tc>
        <w:tc>
          <w:tcPr>
            <w:tcW w:type="dxa" w:w="42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Electricity</w:t>
            </w:r>
          </w:p>
        </w:tc>
        <w:tc>
          <w:tcPr>
            <w:tcW w:type="dxa" w:w="1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input</w:t>
            </w:r>
          </w:p>
        </w:tc>
        <w:tc>
          <w:tcPr>
            <w:tcW w:type="dxa" w:w="1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0.50</w:t>
            </w:r>
          </w:p>
        </w:tc>
        <w:tc>
          <w:tcPr>
            <w:tcW w:type="dxa" w:w="17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kWh</w:t>
            </w:r>
          </w:p>
        </w:tc>
      </w:tr>
    </w:tbl>
    <w:p>
      <w:pPr>
        <w:pBdr>
          <w:bottom w:val="single" w:color="D5DCD7" w:sz="6" w:space="1"/>
        </w:pBdr>
        <w:spacing w:after="200" w:before="100"/>
      </w:pPr>
      <w:r>
        <w:t xml:space="preserve"/>
      </w:r>
    </w:p>
    <w:p>
      <w:pPr>
        <w:pStyle w:val="Heading2"/>
        <w:spacing w:after="140" w:before="240"/>
      </w:pPr>
      <w:r>
        <w:rPr>
          <w:rFonts w:ascii="Arial" w:cs="Arial" w:eastAsia="Arial" w:hAnsi="Arial"/>
          <w:b/>
          <w:bCs/>
          <w:color w:val="1A1F1B"/>
          <w:sz w:val="28"/>
          <w:szCs w:val="28"/>
        </w:rPr>
        <w:t xml:space="preserve">The math, what the software should output</w:t>
      </w:r>
    </w:p>
    <w:p>
      <w:pPr>
        <w:spacing w:after="140"/>
      </w:pPr>
      <w:r>
        <w:rPr>
          <w:rFonts w:ascii="Arial" w:cs="Arial" w:eastAsia="Arial" w:hAnsi="Arial"/>
          <w:color w:val="1A1F1B"/>
          <w:sz w:val="22"/>
          <w:szCs w:val="22"/>
        </w:rPr>
        <w:t xml:space="preserve">You will compute Global Warming Potential (GWP) under CML 2001 by hand. Then you will feed the data into LCAPIX and compare.</w:t>
      </w:r>
    </w:p>
    <w:p>
      <w:pPr>
        <w:pStyle w:val="Heading3"/>
        <w:spacing w:after="100" w:before="200"/>
      </w:pPr>
      <w:r>
        <w:rPr>
          <w:rFonts w:ascii="Arial" w:cs="Arial" w:eastAsia="Arial" w:hAnsi="Arial"/>
          <w:b/>
          <w:bCs/>
          <w:color w:val="1A1F1B"/>
          <w:sz w:val="22"/>
          <w:szCs w:val="22"/>
        </w:rPr>
        <w:t xml:space="preserve">Characterization factors (CML 2001, GWP100)</w:t>
      </w:r>
    </w:p>
    <w:p>
      <w:pPr>
        <w:spacing w:after="140"/>
      </w:pPr>
      <w:r>
        <w:rPr>
          <w:rFonts w:ascii="Arial" w:cs="Arial" w:eastAsia="Arial" w:hAnsi="Arial"/>
          <w:color w:val="1A1F1B"/>
          <w:sz w:val="22"/>
          <w:szCs w:val="22"/>
        </w:rPr>
        <w:t xml:space="preserve">These are the kg-CO2-eq emitted per kg (or per kWh) of substance. They are preloaded in the LCAPIX CML 2001 factor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Substance</w:t>
            </w:r>
          </w:p>
        </w:tc>
        <w:tc>
          <w:tcPr>
            <w:tcW w:type="dxa" w:w="30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CML 2001 GWP factor</w:t>
            </w:r>
          </w:p>
        </w:tc>
        <w:tc>
          <w:tcPr>
            <w:tcW w:type="dxa" w:w="28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Unit</w:t>
            </w:r>
          </w:p>
        </w:tc>
      </w:tr>
      <w:tr>
        <w:tc>
          <w:tcPr>
            <w:tcW w:type="dxa" w:w="35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Aluminum, primary</w:t>
            </w:r>
          </w:p>
        </w:tc>
        <w:tc>
          <w:tcPr>
            <w:tcW w:type="dxa" w:w="3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8.2</w:t>
            </w:r>
          </w:p>
        </w:tc>
        <w:tc>
          <w:tcPr>
            <w:tcW w:type="dxa" w:w="2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kg CO2-eq / kg</w:t>
            </w:r>
          </w:p>
        </w:tc>
      </w:tr>
      <w:tr>
        <w:tc>
          <w:tcPr>
            <w:tcW w:type="dxa" w:w="35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Steel, hot-rolled</w:t>
            </w:r>
          </w:p>
        </w:tc>
        <w:tc>
          <w:tcPr>
            <w:tcW w:type="dxa" w:w="3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1.8</w:t>
            </w:r>
          </w:p>
        </w:tc>
        <w:tc>
          <w:tcPr>
            <w:tcW w:type="dxa" w:w="28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kg CO2-eq / kg</w:t>
            </w:r>
          </w:p>
        </w:tc>
      </w:tr>
      <w:tr>
        <w:tc>
          <w:tcPr>
            <w:tcW w:type="dxa" w:w="35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Electricity (US grid avg)</w:t>
            </w:r>
          </w:p>
        </w:tc>
        <w:tc>
          <w:tcPr>
            <w:tcW w:type="dxa" w:w="3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0.42</w:t>
            </w:r>
          </w:p>
        </w:tc>
        <w:tc>
          <w:tcPr>
            <w:tcW w:type="dxa" w:w="2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kg CO2-eq / kWh</w:t>
            </w:r>
          </w:p>
        </w:tc>
      </w:tr>
    </w:tbl>
    <w:p>
      <w:pPr>
        <w:pBdr>
          <w:left w:val="single" w:color="006A44" w:sz="18" w:space="4"/>
        </w:pBdr>
        <w:shd w:fill="EAF1ED" w:color="auto" w:val="clear"/>
        <w:spacing w:after="140" w:before="100"/>
        <w:ind w:left="120" w:right="120"/>
      </w:pPr>
      <w:r>
        <w:rPr>
          <w:rFonts w:ascii="Arial" w:cs="Arial" w:eastAsia="Arial" w:hAnsi="Arial"/>
          <w:i/>
          <w:iCs/>
          <w:color w:val="006A44"/>
          <w:sz w:val="20"/>
          <w:szCs w:val="20"/>
        </w:rPr>
        <w:t xml:space="preserve">Verify the factors yourself with: GET /api/driver-factors?method=CML 2001</w:t>
      </w:r>
    </w:p>
    <w:p>
      <w:pPr>
        <w:pStyle w:val="Heading3"/>
        <w:spacing w:after="100" w:before="200"/>
      </w:pPr>
      <w:r>
        <w:rPr>
          <w:rFonts w:ascii="Arial" w:cs="Arial" w:eastAsia="Arial" w:hAnsi="Arial"/>
          <w:b/>
          <w:bCs/>
          <w:color w:val="1A1F1B"/>
          <w:sz w:val="22"/>
          <w:szCs w:val="22"/>
        </w:rPr>
        <w:t xml:space="preserve">Aluminum bracket (base case)</w:t>
      </w:r>
    </w:p>
    <w:p>
      <w:pPr>
        <w:shd w:fill="F0F4F1" w:color="auto" w:val="clear"/>
        <w:spacing w:after="0"/>
        <w:ind w:left="120"/>
      </w:pPr>
      <w:r>
        <w:rPr>
          <w:rFonts w:ascii="Consolas" w:cs="Consolas" w:eastAsia="Consolas" w:hAnsi="Consolas"/>
          <w:color w:val="1A1F1B"/>
          <w:sz w:val="20"/>
          <w:szCs w:val="20"/>
        </w:rPr>
        <w:t xml:space="preserve">GWP_aluminum_material = 0.40 kg x 8.2 kg CO2-eq/kg      = 3.280 kg CO2-eq</w:t>
      </w:r>
    </w:p>
    <w:p>
      <w:pPr>
        <w:shd w:fill="F0F4F1" w:color="auto" w:val="clear"/>
        <w:spacing w:after="0"/>
        <w:ind w:left="120"/>
      </w:pPr>
      <w:r>
        <w:rPr>
          <w:rFonts w:ascii="Consolas" w:cs="Consolas" w:eastAsia="Consolas" w:hAnsi="Consolas"/>
          <w:color w:val="1A1F1B"/>
          <w:sz w:val="20"/>
          <w:szCs w:val="20"/>
        </w:rPr>
        <w:t xml:space="preserve">GWP_aluminum_energy   = 0.30 kWh x 0.42 kg CO2-eq/kWh   = 0.126 kg CO2-eq</w:t>
      </w:r>
    </w:p>
    <w:p>
      <w:pPr>
        <w:shd w:fill="F0F4F1" w:color="auto" w:val="clear"/>
        <w:spacing w:after="0"/>
        <w:ind w:left="120"/>
      </w:pPr>
      <w:r>
        <w:rPr>
          <w:rFonts w:ascii="Consolas" w:cs="Consolas" w:eastAsia="Consolas" w:hAnsi="Consolas"/>
          <w:color w:val="1A1F1B"/>
          <w:sz w:val="20"/>
          <w:szCs w:val="20"/>
        </w:rPr>
        <w:t xml:space="preserve">                                                            ---------</w:t>
      </w:r>
    </w:p>
    <w:p>
      <w:pPr>
        <w:shd w:fill="F0F4F1" w:color="auto" w:val="clear"/>
        <w:spacing w:after="0"/>
        <w:ind w:left="120"/>
      </w:pPr>
      <w:r>
        <w:rPr>
          <w:rFonts w:ascii="Consolas" w:cs="Consolas" w:eastAsia="Consolas" w:hAnsi="Consolas"/>
          <w:color w:val="1A1F1B"/>
          <w:sz w:val="20"/>
          <w:szCs w:val="20"/>
        </w:rPr>
        <w:t xml:space="preserve">                                                  TOTAL = 3.406 kg CO2-eq</w:t>
      </w:r>
    </w:p>
    <w:p>
      <w:pPr>
        <w:pStyle w:val="Heading3"/>
        <w:spacing w:after="100" w:before="200"/>
      </w:pPr>
      <w:r>
        <w:rPr>
          <w:rFonts w:ascii="Arial" w:cs="Arial" w:eastAsia="Arial" w:hAnsi="Arial"/>
          <w:b/>
          <w:bCs/>
          <w:color w:val="1A1F1B"/>
          <w:sz w:val="22"/>
          <w:szCs w:val="22"/>
        </w:rPr>
        <w:t xml:space="preserve">Steel bracket (comparative case)</w:t>
      </w:r>
    </w:p>
    <w:p>
      <w:pPr>
        <w:shd w:fill="F0F4F1" w:color="auto" w:val="clear"/>
        <w:spacing w:after="0"/>
        <w:ind w:left="120"/>
      </w:pPr>
      <w:r>
        <w:rPr>
          <w:rFonts w:ascii="Consolas" w:cs="Consolas" w:eastAsia="Consolas" w:hAnsi="Consolas"/>
          <w:color w:val="1A1F1B"/>
          <w:sz w:val="20"/>
          <w:szCs w:val="20"/>
        </w:rPr>
        <w:t xml:space="preserve">GWP_steel_material  = 1.0 kg x 1.8 kg CO2-eq/kg     = 1.80 kg CO2-eq</w:t>
      </w:r>
    </w:p>
    <w:p>
      <w:pPr>
        <w:shd w:fill="F0F4F1" w:color="auto" w:val="clear"/>
        <w:spacing w:after="0"/>
        <w:ind w:left="120"/>
      </w:pPr>
      <w:r>
        <w:rPr>
          <w:rFonts w:ascii="Consolas" w:cs="Consolas" w:eastAsia="Consolas" w:hAnsi="Consolas"/>
          <w:color w:val="1A1F1B"/>
          <w:sz w:val="20"/>
          <w:szCs w:val="20"/>
        </w:rPr>
        <w:t xml:space="preserve">GWP_steel_energy    = 0.5 kWh x 0.42 kg CO2-eq/kWh  = 0.21 kg CO2-eq</w:t>
      </w:r>
    </w:p>
    <w:p>
      <w:pPr>
        <w:shd w:fill="F0F4F1" w:color="auto" w:val="clear"/>
        <w:spacing w:after="0"/>
        <w:ind w:left="120"/>
      </w:pPr>
      <w:r>
        <w:rPr>
          <w:rFonts w:ascii="Consolas" w:cs="Consolas" w:eastAsia="Consolas" w:hAnsi="Consolas"/>
          <w:color w:val="1A1F1B"/>
          <w:sz w:val="20"/>
          <w:szCs w:val="20"/>
        </w:rPr>
        <w:t xml:space="preserve">                                                       ---------</w:t>
      </w:r>
    </w:p>
    <w:p>
      <w:pPr>
        <w:shd w:fill="F0F4F1" w:color="auto" w:val="clear"/>
        <w:spacing w:after="0"/>
        <w:ind w:left="120"/>
      </w:pPr>
      <w:r>
        <w:rPr>
          <w:rFonts w:ascii="Consolas" w:cs="Consolas" w:eastAsia="Consolas" w:hAnsi="Consolas"/>
          <w:color w:val="1A1F1B"/>
          <w:sz w:val="20"/>
          <w:szCs w:val="20"/>
        </w:rPr>
        <w:t xml:space="preserve">                                              TOTAL = 2.01 kg CO2-eq</w:t>
      </w:r>
    </w:p>
    <w:p>
      <w:pPr>
        <w:pStyle w:val="Heading3"/>
        <w:spacing w:after="100" w:before="200"/>
      </w:pPr>
      <w:r>
        <w:rPr>
          <w:rFonts w:ascii="Arial" w:cs="Arial" w:eastAsia="Arial" w:hAnsi="Arial"/>
          <w:b/>
          <w:bCs/>
          <w:color w:val="1A1F1B"/>
          <w:sz w:val="22"/>
          <w:szCs w:val="22"/>
        </w:rPr>
        <w:t xml:space="preserve">Cost (ABC sum, approximate prices)</w:t>
      </w:r>
    </w:p>
    <w:p>
      <w:pPr>
        <w:spacing w:after="140"/>
      </w:pPr>
      <w:r>
        <w:rPr>
          <w:rFonts w:ascii="Arial" w:cs="Arial" w:eastAsia="Arial" w:hAnsi="Arial"/>
          <w:color w:val="1A1F1B"/>
          <w:sz w:val="22"/>
          <w:szCs w:val="22"/>
        </w:rPr>
        <w:t xml:space="preserve">Using US average rates that the LCAPIX Suggest costs feature would fetch (when API keys are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800"/>
        <w:gridCol w:w="1860"/>
        <w:gridCol w:w="2000"/>
      </w:tblGrid>
      <w:tr>
        <w:trPr>
          <w:tblHeader/>
        </w:trPr>
        <w:tc>
          <w:tcPr>
            <w:tcW w:type="dxa" w:w="37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Item</w:t>
            </w:r>
          </w:p>
        </w:tc>
        <w:tc>
          <w:tcPr>
            <w:tcW w:type="dxa" w:w="18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Rate</w:t>
            </w:r>
          </w:p>
        </w:tc>
        <w:tc>
          <w:tcPr>
            <w:tcW w:type="dxa" w:w="18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Qty</w:t>
            </w:r>
          </w:p>
        </w:tc>
        <w:tc>
          <w:tcPr>
            <w:tcW w:type="dxa" w:w="20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Cost</w:t>
            </w:r>
          </w:p>
        </w:tc>
      </w:tr>
      <w:tr>
        <w:tc>
          <w:tcPr>
            <w:tcW w:type="dxa" w:w="37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Aluminum, primary</w:t>
            </w:r>
          </w:p>
        </w:tc>
        <w:tc>
          <w:tcPr>
            <w:tcW w:type="dxa" w:w="1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$2.10 / kg</w:t>
            </w:r>
          </w:p>
        </w:tc>
        <w:tc>
          <w:tcPr>
            <w:tcW w:type="dxa" w:w="1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0.40 kg</w:t>
            </w:r>
          </w:p>
        </w:tc>
        <w:tc>
          <w:tcPr>
            <w:tcW w:type="dxa" w:w="2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$0.84</w:t>
            </w:r>
          </w:p>
        </w:tc>
      </w:tr>
      <w:tr>
        <w:tc>
          <w:tcPr>
            <w:tcW w:type="dxa" w:w="37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Steel, hot-rolled</w:t>
            </w:r>
          </w:p>
        </w:tc>
        <w:tc>
          <w:tcPr>
            <w:tcW w:type="dxa" w:w="1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$0.95 / kg</w:t>
            </w:r>
          </w:p>
        </w:tc>
        <w:tc>
          <w:tcPr>
            <w:tcW w:type="dxa" w:w="18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1.0 kg</w:t>
            </w:r>
          </w:p>
        </w:tc>
        <w:tc>
          <w:tcPr>
            <w:tcW w:type="dxa" w:w="2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$0.95</w:t>
            </w:r>
          </w:p>
        </w:tc>
      </w:tr>
      <w:tr>
        <w:tc>
          <w:tcPr>
            <w:tcW w:type="dxa" w:w="37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Electricity</w:t>
            </w:r>
          </w:p>
        </w:tc>
        <w:tc>
          <w:tcPr>
            <w:tcW w:type="dxa" w:w="1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$0.13 / kWh</w:t>
            </w:r>
          </w:p>
        </w:tc>
        <w:tc>
          <w:tcPr>
            <w:tcW w:type="dxa" w:w="1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0.30 / 0.50 kWh</w:t>
            </w:r>
          </w:p>
        </w:tc>
        <w:tc>
          <w:tcPr>
            <w:tcW w:type="dxa" w:w="2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$0.04 / $0.07</w:t>
            </w:r>
          </w:p>
        </w:tc>
      </w:tr>
      <w:tr>
        <w:tc>
          <w:tcPr>
            <w:tcW w:type="dxa" w:w="37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Welder labor (BLS OEWS 51-4121 NC)</w:t>
            </w:r>
          </w:p>
        </w:tc>
        <w:tc>
          <w:tcPr>
            <w:tcW w:type="dxa" w:w="1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$25.83 / hr</w:t>
            </w:r>
          </w:p>
        </w:tc>
        <w:tc>
          <w:tcPr>
            <w:tcW w:type="dxa" w:w="18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4 / 5 min</w:t>
            </w:r>
          </w:p>
        </w:tc>
        <w:tc>
          <w:tcPr>
            <w:tcW w:type="dxa" w:w="2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$1.72 / $2.15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860"/>
        <w:gridCol w:w="1860"/>
        <w:gridCol w:w="1860"/>
        <w:gridCol w:w="1920"/>
      </w:tblGrid>
      <w:tr>
        <w:trPr>
          <w:tblHeader/>
        </w:trPr>
        <w:tc>
          <w:tcPr>
            <w:tcW w:type="dxa" w:w="18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Bracket</w:t>
            </w:r>
          </w:p>
        </w:tc>
        <w:tc>
          <w:tcPr>
            <w:tcW w:type="dxa" w:w="18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Material</w:t>
            </w:r>
          </w:p>
        </w:tc>
        <w:tc>
          <w:tcPr>
            <w:tcW w:type="dxa" w:w="18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Energy</w:t>
            </w:r>
          </w:p>
        </w:tc>
        <w:tc>
          <w:tcPr>
            <w:tcW w:type="dxa" w:w="18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Labor</w:t>
            </w:r>
          </w:p>
        </w:tc>
        <w:tc>
          <w:tcPr>
            <w:tcW w:type="dxa" w:w="192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Total cost</w:t>
            </w:r>
          </w:p>
        </w:tc>
      </w:tr>
      <w:tr>
        <w:tc>
          <w:tcPr>
            <w:tcW w:type="dxa" w:w="1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Aluminum</w:t>
            </w:r>
          </w:p>
        </w:tc>
        <w:tc>
          <w:tcPr>
            <w:tcW w:type="dxa" w:w="1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$0.84</w:t>
            </w:r>
          </w:p>
        </w:tc>
        <w:tc>
          <w:tcPr>
            <w:tcW w:type="dxa" w:w="1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$0.04</w:t>
            </w:r>
          </w:p>
        </w:tc>
        <w:tc>
          <w:tcPr>
            <w:tcW w:type="dxa" w:w="1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$1.72</w:t>
            </w:r>
          </w:p>
        </w:tc>
        <w:tc>
          <w:tcPr>
            <w:tcW w:type="dxa" w:w="192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$2.60</w:t>
            </w:r>
          </w:p>
        </w:tc>
      </w:tr>
      <w:tr>
        <w:tc>
          <w:tcPr>
            <w:tcW w:type="dxa" w:w="18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Steel</w:t>
            </w:r>
          </w:p>
        </w:tc>
        <w:tc>
          <w:tcPr>
            <w:tcW w:type="dxa" w:w="18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$0.95</w:t>
            </w:r>
          </w:p>
        </w:tc>
        <w:tc>
          <w:tcPr>
            <w:tcW w:type="dxa" w:w="18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$0.07</w:t>
            </w:r>
          </w:p>
        </w:tc>
        <w:tc>
          <w:tcPr>
            <w:tcW w:type="dxa" w:w="18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$2.15</w:t>
            </w:r>
          </w:p>
        </w:tc>
        <w:tc>
          <w:tcPr>
            <w:tcW w:type="dxa" w:w="192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$3.17</w:t>
            </w:r>
          </w:p>
        </w:tc>
      </w:tr>
    </w:tbl>
    <w:p>
      <w:pPr>
        <w:pStyle w:val="Heading3"/>
        <w:spacing w:after="100" w:before="200"/>
      </w:pPr>
      <w:r>
        <w:rPr>
          <w:rFonts w:ascii="Arial" w:cs="Arial" w:eastAsia="Arial" w:hAnsi="Arial"/>
          <w:b/>
          <w:bCs/>
          <w:color w:val="1A1F1B"/>
          <w:sz w:val="22"/>
          <w:szCs w:val="22"/>
        </w:rPr>
        <w:t xml:space="preserve">Expected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Metric</w:t>
            </w:r>
          </w:p>
        </w:tc>
        <w:tc>
          <w:tcPr>
            <w:tcW w:type="dxa" w:w="252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Aluminum (base)</w:t>
            </w:r>
          </w:p>
        </w:tc>
        <w:tc>
          <w:tcPr>
            <w:tcW w:type="dxa" w:w="252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Steel (comp)</w:t>
            </w:r>
          </w:p>
        </w:tc>
        <w:tc>
          <w:tcPr>
            <w:tcW w:type="dxa" w:w="252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Delta</w:t>
            </w:r>
          </w:p>
        </w:tc>
      </w:tr>
      <w:tr>
        <w:tc>
          <w:tcPr>
            <w:tcW w:type="dxa" w:w="1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GWP100</w:t>
            </w:r>
          </w:p>
        </w:tc>
        <w:tc>
          <w:tcPr>
            <w:tcW w:type="dxa" w:w="252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3.406 kg CO2-eq</w:t>
            </w:r>
          </w:p>
        </w:tc>
        <w:tc>
          <w:tcPr>
            <w:tcW w:type="dxa" w:w="252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2.01 kg CO2-eq</w:t>
            </w:r>
          </w:p>
        </w:tc>
        <w:tc>
          <w:tcPr>
            <w:tcW w:type="dxa" w:w="252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Steel is 41% lower CO2</w:t>
            </w:r>
          </w:p>
        </w:tc>
      </w:tr>
      <w:tr>
        <w:tc>
          <w:tcPr>
            <w:tcW w:type="dxa" w:w="1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Cost</w:t>
            </w:r>
          </w:p>
        </w:tc>
        <w:tc>
          <w:tcPr>
            <w:tcW w:type="dxa" w:w="252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$2.60</w:t>
            </w:r>
          </w:p>
        </w:tc>
        <w:tc>
          <w:tcPr>
            <w:tcW w:type="dxa" w:w="252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$3.17</w:t>
            </w:r>
          </w:p>
        </w:tc>
        <w:tc>
          <w:tcPr>
            <w:tcW w:type="dxa" w:w="252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Aluminum is 18% cheaper</w:t>
            </w:r>
          </w:p>
        </w:tc>
      </w:tr>
    </w:tbl>
    <w:p>
      <w:pPr>
        <w:pBdr>
          <w:left w:val="single" w:color="006A44" w:sz="18" w:space="4"/>
        </w:pBdr>
        <w:shd w:fill="EAF1ED" w:color="auto" w:val="clear"/>
        <w:spacing w:after="140" w:before="100"/>
        <w:ind w:left="120" w:right="120"/>
      </w:pPr>
      <w:r>
        <w:rPr>
          <w:rFonts w:ascii="Arial" w:cs="Arial" w:eastAsia="Arial" w:hAnsi="Arial"/>
          <w:i/>
          <w:iCs/>
          <w:color w:val="006A44"/>
          <w:sz w:val="20"/>
          <w:szCs w:val="20"/>
        </w:rPr>
        <w:t xml:space="preserve">Punchline: Aluminum saves money but emits more CO2. The classic ABC x LCA trade-off, exactly what the platform is built to surface.</w:t>
      </w:r>
    </w:p>
    <w:p>
      <w:pPr>
        <w:spacing w:after="140"/>
      </w:pPr>
      <w:r>
        <w:rPr>
          <w:rFonts w:ascii="Arial" w:cs="Arial" w:eastAsia="Arial" w:hAnsi="Arial"/>
          <w:color w:val="1A1F1B"/>
          <w:sz w:val="22"/>
          <w:szCs w:val="22"/>
        </w:rPr>
        <w:t xml:space="preserve">If LCAPIX returns numbers within ~5% of these, the engine is correct. If it returns 0 or wildly different numbers, that is a bug, likely the engine-side flow processing issue tracked as Bug #9 in the E2E audit.</w:t>
      </w:r>
    </w:p>
    <w:p>
      <w:r>
        <w:br w:type="page"/>
      </w:r>
    </w:p>
    <w:p>
      <w:pPr>
        <w:pStyle w:val="Heading2"/>
        <w:spacing w:after="140" w:before="240"/>
      </w:pPr>
      <w:r>
        <w:rPr>
          <w:rFonts w:ascii="Arial" w:cs="Arial" w:eastAsia="Arial" w:hAnsi="Arial"/>
          <w:b/>
          <w:bCs/>
          <w:color w:val="1A1F1B"/>
          <w:sz w:val="28"/>
          <w:szCs w:val="28"/>
        </w:rPr>
        <w:t xml:space="preserve">Walkthrough, every screen, every click</w:t>
      </w:r>
    </w:p>
    <w:p>
      <w:pPr>
        <w:spacing w:after="140"/>
      </w:pPr>
      <w:r>
        <w:rPr>
          <w:rFonts w:ascii="Arial" w:cs="Arial" w:eastAsia="Arial" w:hAnsi="Arial"/>
          <w:color w:val="1A1F1B"/>
          <w:sz w:val="22"/>
          <w:szCs w:val="22"/>
        </w:rPr>
        <w:t xml:space="preserve">The Walk me through button on the home dashboard runs an in-app guided tour with arrows. Use it the first time. The detailed steps below are for verification.</w:t>
      </w:r>
    </w:p>
    <w:p>
      <w:pPr>
        <w:pStyle w:val="Heading3"/>
        <w:spacing w:after="100" w:before="200"/>
      </w:pPr>
      <w:r>
        <w:rPr>
          <w:rFonts w:ascii="Arial" w:cs="Arial" w:eastAsia="Arial" w:hAnsi="Arial"/>
          <w:b/>
          <w:bCs/>
          <w:color w:val="1A1F1B"/>
          <w:sz w:val="22"/>
          <w:szCs w:val="22"/>
        </w:rPr>
        <w:t xml:space="preserve">Step 1. Sign in</w:t>
      </w:r>
    </w:p>
    <w:p>
      <w:pPr>
        <w:spacing w:after="140"/>
      </w:pPr>
      <w:r>
        <w:rPr>
          <w:rFonts w:ascii="Arial" w:cs="Arial" w:eastAsia="Arial" w:hAnsi="Arial"/>
          <w:color w:val="1A1F1B"/>
          <w:sz w:val="22"/>
          <w:szCs w:val="22"/>
        </w:rPr>
        <w:t xml:space="preserve">Visit https://lcapix.vercel.app/auth/login, enter email + password, then click </w:t>
      </w:r>
      <w:r>
        <w:rPr>
          <w:rFonts w:ascii="Arial" w:cs="Arial" w:eastAsia="Arial" w:hAnsi="Arial"/>
          <w:b/>
          <w:bCs/>
          <w:color w:val="1A1F1B"/>
          <w:sz w:val="22"/>
          <w:szCs w:val="22"/>
        </w:rPr>
        <w:t xml:space="preserve">Log in</w:t>
      </w:r>
      <w:r>
        <w:rPr>
          <w:rFonts w:ascii="Arial" w:cs="Arial" w:eastAsia="Arial" w:hAnsi="Arial"/>
          <w:color w:val="1A1F1B"/>
          <w:sz w:val="22"/>
          <w:szCs w:val="22"/>
        </w:rPr>
        <w:t xml:space="preserve">. You land on /home.</w:t>
      </w:r>
    </w:p>
    <w:p>
      <w:pPr>
        <w:pBdr>
          <w:left w:val="single" w:color="006A44" w:sz="18" w:space="4"/>
        </w:pBdr>
        <w:shd w:fill="EAF1ED" w:color="auto" w:val="clear"/>
        <w:spacing w:after="140" w:before="100"/>
        <w:ind w:left="120" w:right="120"/>
      </w:pPr>
      <w:r>
        <w:rPr>
          <w:rFonts w:ascii="Arial" w:cs="Arial" w:eastAsia="Arial" w:hAnsi="Arial"/>
          <w:i/>
          <w:iCs/>
          <w:color w:val="006A44"/>
          <w:sz w:val="20"/>
          <w:szCs w:val="20"/>
        </w:rPr>
        <w:t xml:space="preserve">What to expect: Dashboard with 4 KPI tiles (Projects, Assessments, Factors, Components), a Your Projects grid, and a Recent Activity sidebar. If this is a fresh signup, all KPIs read 0.</w:t>
      </w:r>
    </w:p>
    <w:p>
      <w:pPr>
        <w:pStyle w:val="Heading3"/>
        <w:spacing w:after="100" w:before="200"/>
      </w:pPr>
      <w:r>
        <w:rPr>
          <w:rFonts w:ascii="Arial" w:cs="Arial" w:eastAsia="Arial" w:hAnsi="Arial"/>
          <w:b/>
          <w:bCs/>
          <w:color w:val="1A1F1B"/>
          <w:sz w:val="22"/>
          <w:szCs w:val="22"/>
        </w:rPr>
        <w:t xml:space="preserve">Step 2. Start the guided tour (optional but recommended)</w:t>
      </w:r>
    </w:p>
    <w:p>
      <w:pPr>
        <w:spacing w:after="140"/>
      </w:pPr>
      <w:r>
        <w:rPr>
          <w:rFonts w:ascii="Arial" w:cs="Arial" w:eastAsia="Arial" w:hAnsi="Arial"/>
          <w:color w:val="1A1F1B"/>
          <w:sz w:val="22"/>
          <w:szCs w:val="22"/>
        </w:rPr>
        <w:t xml:space="preserve">Click </w:t>
      </w:r>
      <w:r>
        <w:rPr>
          <w:rFonts w:ascii="Arial" w:cs="Arial" w:eastAsia="Arial" w:hAnsi="Arial"/>
          <w:b/>
          <w:bCs/>
          <w:color w:val="1A1F1B"/>
          <w:sz w:val="22"/>
          <w:szCs w:val="22"/>
        </w:rPr>
        <w:t xml:space="preserve">Walk me through</w:t>
      </w:r>
      <w:r>
        <w:rPr>
          <w:rFonts w:ascii="Arial" w:cs="Arial" w:eastAsia="Arial" w:hAnsi="Arial"/>
          <w:color w:val="1A1F1B"/>
          <w:sz w:val="22"/>
          <w:szCs w:val="22"/>
        </w:rPr>
        <w:t xml:space="preserve"> (top right of the dashboard). The tour overlays:</w:t>
      </w:r>
    </w:p>
    <w:p>
      <w:pPr>
        <w:pStyle w:val="ListParagraph"/>
        <w:numPr>
          <w:ilvl w:val="0"/>
          <w:numId w:val="2"/>
        </w:numPr>
        <w:spacing w:after="80"/>
      </w:pPr>
      <w:r>
        <w:rPr>
          <w:rFonts w:ascii="Arial" w:cs="Arial" w:eastAsia="Arial" w:hAnsi="Arial"/>
          <w:color w:val="1A1F1B"/>
          <w:sz w:val="22"/>
          <w:szCs w:val="22"/>
        </w:rPr>
        <w:t xml:space="preserve">A highlighted ring around the next element you should look at</w:t>
      </w:r>
    </w:p>
    <w:p>
      <w:pPr>
        <w:pStyle w:val="ListParagraph"/>
        <w:numPr>
          <w:ilvl w:val="0"/>
          <w:numId w:val="2"/>
        </w:numPr>
        <w:spacing w:after="80"/>
      </w:pPr>
      <w:r>
        <w:rPr>
          <w:rFonts w:ascii="Arial" w:cs="Arial" w:eastAsia="Arial" w:hAnsi="Arial"/>
          <w:color w:val="1A1F1B"/>
          <w:sz w:val="22"/>
          <w:szCs w:val="22"/>
        </w:rPr>
        <w:t xml:space="preserve">An arrow pointing at it</w:t>
      </w:r>
    </w:p>
    <w:p>
      <w:pPr>
        <w:pStyle w:val="ListParagraph"/>
        <w:numPr>
          <w:ilvl w:val="0"/>
          <w:numId w:val="2"/>
        </w:numPr>
        <w:spacing w:after="80"/>
      </w:pPr>
      <w:r>
        <w:rPr>
          <w:rFonts w:ascii="Arial" w:cs="Arial" w:eastAsia="Arial" w:hAnsi="Arial"/>
          <w:color w:val="1A1F1B"/>
          <w:sz w:val="22"/>
          <w:szCs w:val="22"/>
        </w:rPr>
        <w:t xml:space="preserve">A floating callout explaining what it is</w:t>
      </w:r>
    </w:p>
    <w:p>
      <w:pPr>
        <w:spacing w:after="140"/>
      </w:pPr>
      <w:r>
        <w:rPr>
          <w:rFonts w:ascii="Arial" w:cs="Arial" w:eastAsia="Arial" w:hAnsi="Arial"/>
          <w:color w:val="1A1F1B"/>
          <w:sz w:val="22"/>
          <w:szCs w:val="22"/>
        </w:rPr>
        <w:t xml:space="preserve">Click </w:t>
      </w:r>
      <w:r>
        <w:rPr>
          <w:rFonts w:ascii="Arial" w:cs="Arial" w:eastAsia="Arial" w:hAnsi="Arial"/>
          <w:b/>
          <w:bCs/>
          <w:color w:val="1A1F1B"/>
          <w:sz w:val="22"/>
          <w:szCs w:val="22"/>
        </w:rPr>
        <w:t xml:space="preserve">Next</w:t>
      </w:r>
      <w:r>
        <w:rPr>
          <w:rFonts w:ascii="Arial" w:cs="Arial" w:eastAsia="Arial" w:hAnsi="Arial"/>
          <w:color w:val="1A1F1B"/>
          <w:sz w:val="22"/>
          <w:szCs w:val="22"/>
        </w:rPr>
        <w:t xml:space="preserve"> to advance. The tour navigates between pages automatically when needed.</w:t>
      </w:r>
    </w:p>
    <w:p>
      <w:pPr>
        <w:pStyle w:val="Heading3"/>
        <w:spacing w:after="100" w:before="200"/>
      </w:pPr>
      <w:r>
        <w:rPr>
          <w:rFonts w:ascii="Arial" w:cs="Arial" w:eastAsia="Arial" w:hAnsi="Arial"/>
          <w:b/>
          <w:bCs/>
          <w:color w:val="1A1F1B"/>
          <w:sz w:val="22"/>
          <w:szCs w:val="22"/>
        </w:rPr>
        <w:t xml:space="preserve">Step 3. Create the project</w:t>
      </w:r>
    </w:p>
    <w:p>
      <w:pPr>
        <w:spacing w:after="140"/>
      </w:pPr>
      <w:r>
        <w:rPr>
          <w:rFonts w:ascii="Arial" w:cs="Arial" w:eastAsia="Arial" w:hAnsi="Arial"/>
          <w:color w:val="1A1F1B"/>
          <w:sz w:val="22"/>
          <w:szCs w:val="22"/>
        </w:rPr>
        <w:t xml:space="preserve">Click </w:t>
      </w:r>
      <w:r>
        <w:rPr>
          <w:rFonts w:ascii="Arial" w:cs="Arial" w:eastAsia="Arial" w:hAnsi="Arial"/>
          <w:b/>
          <w:bCs/>
          <w:color w:val="1A1F1B"/>
          <w:sz w:val="22"/>
          <w:szCs w:val="22"/>
        </w:rPr>
        <w:t xml:space="preserve">+ New project</w:t>
      </w:r>
      <w:r>
        <w:rPr>
          <w:rFonts w:ascii="Arial" w:cs="Arial" w:eastAsia="Arial" w:hAnsi="Arial"/>
          <w:color w:val="1A1F1B"/>
          <w:sz w:val="22"/>
          <w:szCs w:val="22"/>
        </w:rPr>
        <w:t xml:space="preserve">, the modal opens.</w:t>
      </w:r>
    </w:p>
    <w:p>
      <w:pPr>
        <w:pStyle w:val="ListParagraph"/>
        <w:numPr>
          <w:ilvl w:val="0"/>
          <w:numId w:val="2"/>
        </w:numPr>
        <w:spacing w:after="80"/>
      </w:pPr>
      <w:r>
        <w:rPr>
          <w:rFonts w:ascii="Arial" w:cs="Arial" w:eastAsia="Arial" w:hAnsi="Arial"/>
          <w:color w:val="1A1F1B"/>
          <w:sz w:val="22"/>
          <w:szCs w:val="22"/>
        </w:rPr>
        <w:t xml:space="preserve">Project name: Bookshelf Bracket LCA</w:t>
      </w:r>
    </w:p>
    <w:p>
      <w:pPr>
        <w:pStyle w:val="ListParagraph"/>
        <w:numPr>
          <w:ilvl w:val="0"/>
          <w:numId w:val="2"/>
        </w:numPr>
        <w:spacing w:after="80"/>
      </w:pPr>
      <w:r>
        <w:rPr>
          <w:rFonts w:ascii="Arial" w:cs="Arial" w:eastAsia="Arial" w:hAnsi="Arial"/>
          <w:color w:val="1A1F1B"/>
          <w:sz w:val="22"/>
          <w:szCs w:val="22"/>
        </w:rPr>
        <w:t xml:space="preserve">Description: Aluminum vs steel L-bracket</w:t>
      </w:r>
    </w:p>
    <w:p>
      <w:pPr>
        <w:pStyle w:val="ListParagraph"/>
        <w:numPr>
          <w:ilvl w:val="0"/>
          <w:numId w:val="2"/>
        </w:numPr>
        <w:spacing w:after="80"/>
      </w:pPr>
      <w:r>
        <w:rPr>
          <w:rFonts w:ascii="Arial" w:cs="Arial" w:eastAsia="Arial" w:hAnsi="Arial"/>
          <w:color w:val="1A1F1B"/>
          <w:sz w:val="22"/>
          <w:szCs w:val="22"/>
        </w:rPr>
        <w:t xml:space="preserve">Submit.</w:t>
      </w:r>
    </w:p>
    <w:p>
      <w:pPr>
        <w:spacing w:after="140"/>
      </w:pPr>
      <w:r>
        <w:rPr>
          <w:rFonts w:ascii="Arial" w:cs="Arial" w:eastAsia="Arial" w:hAnsi="Arial"/>
          <w:color w:val="1A1F1B"/>
          <w:sz w:val="22"/>
          <w:szCs w:val="22"/>
        </w:rPr>
        <w:t xml:space="preserve">You land on /project/{id}.</w:t>
      </w:r>
    </w:p>
    <w:p>
      <w:pPr>
        <w:pStyle w:val="Heading3"/>
        <w:spacing w:after="100" w:before="200"/>
      </w:pPr>
      <w:r>
        <w:rPr>
          <w:rFonts w:ascii="Arial" w:cs="Arial" w:eastAsia="Arial" w:hAnsi="Arial"/>
          <w:b/>
          <w:bCs/>
          <w:color w:val="1A1F1B"/>
          <w:sz w:val="22"/>
          <w:szCs w:val="22"/>
        </w:rPr>
        <w:t xml:space="preserve">Step 4. Create the base case</w:t>
      </w:r>
    </w:p>
    <w:p>
      <w:pPr>
        <w:spacing w:after="140"/>
      </w:pPr>
      <w:r>
        <w:rPr>
          <w:rFonts w:ascii="Arial" w:cs="Arial" w:eastAsia="Arial" w:hAnsi="Arial"/>
          <w:color w:val="1A1F1B"/>
          <w:sz w:val="22"/>
          <w:szCs w:val="22"/>
        </w:rPr>
        <w:t xml:space="preserve">On the project page, click </w:t>
      </w:r>
      <w:r>
        <w:rPr>
          <w:rFonts w:ascii="Arial" w:cs="Arial" w:eastAsia="Arial" w:hAnsi="Arial"/>
          <w:b/>
          <w:bCs/>
          <w:color w:val="1A1F1B"/>
          <w:sz w:val="22"/>
          <w:szCs w:val="22"/>
        </w:rPr>
        <w:t xml:space="preserve">+ Add Case</w:t>
      </w:r>
      <w:r>
        <w:rPr>
          <w:rFonts w:ascii="Arial" w:cs="Arial" w:eastAsia="Arial" w:hAnsi="Arial"/>
          <w:color w:val="1A1F1B"/>
          <w:sz w:val="22"/>
          <w:szCs w:val="22"/>
        </w:rPr>
        <w:t xml:space="preserve">.</w:t>
      </w:r>
    </w:p>
    <w:p>
      <w:pPr>
        <w:pStyle w:val="ListParagraph"/>
        <w:numPr>
          <w:ilvl w:val="0"/>
          <w:numId w:val="2"/>
        </w:numPr>
        <w:spacing w:after="80"/>
      </w:pPr>
      <w:r>
        <w:rPr>
          <w:rFonts w:ascii="Arial" w:cs="Arial" w:eastAsia="Arial" w:hAnsi="Arial"/>
          <w:color w:val="1A1F1B"/>
          <w:sz w:val="22"/>
          <w:szCs w:val="22"/>
        </w:rPr>
        <w:t xml:space="preserve">Case name: Aluminum bracket, current</w:t>
      </w:r>
    </w:p>
    <w:p>
      <w:pPr>
        <w:pStyle w:val="ListParagraph"/>
        <w:numPr>
          <w:ilvl w:val="0"/>
          <w:numId w:val="2"/>
        </w:numPr>
        <w:spacing w:after="80"/>
      </w:pPr>
      <w:r>
        <w:rPr>
          <w:rFonts w:ascii="Arial" w:cs="Arial" w:eastAsia="Arial" w:hAnsi="Arial"/>
          <w:color w:val="1A1F1B"/>
          <w:sz w:val="22"/>
          <w:szCs w:val="22"/>
        </w:rPr>
        <w:t xml:space="preserve">Type: Base</w:t>
      </w:r>
    </w:p>
    <w:p>
      <w:pPr>
        <w:pStyle w:val="ListParagraph"/>
        <w:numPr>
          <w:ilvl w:val="0"/>
          <w:numId w:val="2"/>
        </w:numPr>
        <w:spacing w:after="80"/>
      </w:pPr>
      <w:r>
        <w:rPr>
          <w:rFonts w:ascii="Arial" w:cs="Arial" w:eastAsia="Arial" w:hAnsi="Arial"/>
          <w:color w:val="1A1F1B"/>
          <w:sz w:val="22"/>
          <w:szCs w:val="22"/>
        </w:rPr>
        <w:t xml:space="preserve">Submit.</w:t>
      </w:r>
    </w:p>
    <w:p>
      <w:pPr>
        <w:pStyle w:val="Heading3"/>
        <w:spacing w:after="100" w:before="200"/>
      </w:pPr>
      <w:r>
        <w:rPr>
          <w:rFonts w:ascii="Arial" w:cs="Arial" w:eastAsia="Arial" w:hAnsi="Arial"/>
          <w:b/>
          <w:bCs/>
          <w:color w:val="1A1F1B"/>
          <w:sz w:val="22"/>
          <w:szCs w:val="22"/>
        </w:rPr>
        <w:t xml:space="preserve">Step 5. Open the editor and build the hierarchy</w:t>
      </w:r>
    </w:p>
    <w:p>
      <w:pPr>
        <w:spacing w:after="140"/>
      </w:pPr>
      <w:r>
        <w:rPr>
          <w:rFonts w:ascii="Arial" w:cs="Arial" w:eastAsia="Arial" w:hAnsi="Arial"/>
          <w:color w:val="1A1F1B"/>
          <w:sz w:val="22"/>
          <w:szCs w:val="22"/>
        </w:rPr>
        <w:t xml:space="preserve">Click </w:t>
      </w:r>
      <w:r>
        <w:rPr>
          <w:rFonts w:ascii="Arial" w:cs="Arial" w:eastAsia="Arial" w:hAnsi="Arial"/>
          <w:b/>
          <w:bCs/>
          <w:color w:val="1A1F1B"/>
          <w:sz w:val="22"/>
          <w:szCs w:val="22"/>
        </w:rPr>
        <w:t xml:space="preserve">Open editor</w:t>
      </w:r>
      <w:r>
        <w:rPr>
          <w:rFonts w:ascii="Arial" w:cs="Arial" w:eastAsia="Arial" w:hAnsi="Arial"/>
          <w:color w:val="1A1F1B"/>
          <w:sz w:val="22"/>
          <w:szCs w:val="22"/>
        </w:rPr>
        <w:t xml:space="preserve"> on the case row. You are now on /project/{id}/case/{id}.</w:t>
      </w:r>
    </w:p>
    <w:p>
      <w:pPr>
        <w:spacing w:after="140"/>
      </w:pPr>
      <w:r>
        <w:rPr>
          <w:rFonts w:ascii="Arial" w:cs="Arial" w:eastAsia="Arial" w:hAnsi="Arial"/>
          <w:color w:val="1A1F1B"/>
          <w:sz w:val="22"/>
          <w:szCs w:val="22"/>
        </w:rPr>
        <w:t xml:space="preserve">Click </w:t>
      </w:r>
      <w:r>
        <w:rPr>
          <w:rFonts w:ascii="Arial" w:cs="Arial" w:eastAsia="Arial" w:hAnsi="Arial"/>
          <w:b/>
          <w:bCs/>
          <w:color w:val="1A1F1B"/>
          <w:sz w:val="22"/>
          <w:szCs w:val="22"/>
        </w:rPr>
        <w:t xml:space="preserve">+ Add Component</w:t>
      </w:r>
      <w:r>
        <w:rPr>
          <w:rFonts w:ascii="Arial" w:cs="Arial" w:eastAsia="Arial" w:hAnsi="Arial"/>
          <w:color w:val="1A1F1B"/>
          <w:sz w:val="22"/>
          <w:szCs w:val="22"/>
        </w:rPr>
        <w:t xml:space="preserve">, then tier dropdown, then </w:t>
      </w:r>
      <w:r>
        <w:rPr>
          <w:rFonts w:ascii="Arial" w:cs="Arial" w:eastAsia="Arial" w:hAnsi="Arial"/>
          <w:b/>
          <w:bCs/>
          <w:color w:val="1A1F1B"/>
          <w:sz w:val="22"/>
          <w:szCs w:val="22"/>
        </w:rPr>
        <w:t xml:space="preserve">Product</w:t>
      </w:r>
      <w:r>
        <w:rPr>
          <w:rFonts w:ascii="Arial" w:cs="Arial" w:eastAsia="Arial" w:hAnsi="Arial"/>
          <w:color w:val="1A1F1B"/>
          <w:sz w:val="22"/>
          <w:szCs w:val="22"/>
        </w:rPr>
        <w:t xml:space="preserve">:</w:t>
      </w:r>
    </w:p>
    <w:p>
      <w:pPr>
        <w:pStyle w:val="ListParagraph"/>
        <w:numPr>
          <w:ilvl w:val="0"/>
          <w:numId w:val="2"/>
        </w:numPr>
        <w:spacing w:after="80"/>
      </w:pPr>
      <w:r>
        <w:rPr>
          <w:rFonts w:ascii="Arial" w:cs="Arial" w:eastAsia="Arial" w:hAnsi="Arial"/>
          <w:color w:val="1A1F1B"/>
          <w:sz w:val="22"/>
          <w:szCs w:val="22"/>
        </w:rPr>
        <w:t xml:space="preserve">Name: Aluminum bookshelf bracket</w:t>
      </w:r>
    </w:p>
    <w:p>
      <w:pPr>
        <w:spacing w:after="140"/>
      </w:pPr>
      <w:r>
        <w:rPr>
          <w:rFonts w:ascii="Arial" w:cs="Arial" w:eastAsia="Arial" w:hAnsi="Arial"/>
          <w:color w:val="1A1F1B"/>
          <w:sz w:val="22"/>
          <w:szCs w:val="22"/>
        </w:rPr>
        <w:t xml:space="preserve">Add each next tier as a child of the one above (new components auto-attach to the correct parent; you can also use the node's + button):</w:t>
      </w:r>
    </w:p>
    <w:p>
      <w:pPr>
        <w:pStyle w:val="ListParagraph"/>
        <w:numPr>
          <w:ilvl w:val="0"/>
          <w:numId w:val="2"/>
        </w:numPr>
        <w:spacing w:after="80"/>
      </w:pPr>
      <w:r>
        <w:rPr>
          <w:rFonts w:ascii="Arial" w:cs="Arial" w:eastAsia="Arial" w:hAnsi="Arial"/>
          <w:color w:val="1A1F1B"/>
          <w:sz w:val="22"/>
          <w:szCs w:val="22"/>
        </w:rPr>
        <w:t xml:space="preserve">Machine/Line: Bracket forming line (child of the Product)</w:t>
      </w:r>
    </w:p>
    <w:p>
      <w:pPr>
        <w:pStyle w:val="ListParagraph"/>
        <w:numPr>
          <w:ilvl w:val="0"/>
          <w:numId w:val="2"/>
        </w:numPr>
        <w:spacing w:after="80"/>
      </w:pPr>
      <w:r>
        <w:rPr>
          <w:rFonts w:ascii="Arial" w:cs="Arial" w:eastAsia="Arial" w:hAnsi="Arial"/>
          <w:color w:val="1A1F1B"/>
          <w:sz w:val="22"/>
          <w:szCs w:val="22"/>
        </w:rPr>
        <w:t xml:space="preserve">Subprocess: Forming (child of the Machine/Line)</w:t>
      </w:r>
    </w:p>
    <w:p>
      <w:pPr>
        <w:pStyle w:val="ListParagraph"/>
        <w:numPr>
          <w:ilvl w:val="0"/>
          <w:numId w:val="2"/>
        </w:numPr>
        <w:spacing w:after="80"/>
      </w:pPr>
      <w:r>
        <w:rPr>
          <w:rFonts w:ascii="Arial" w:cs="Arial" w:eastAsia="Arial" w:hAnsi="Arial"/>
          <w:color w:val="1A1F1B"/>
          <w:sz w:val="22"/>
          <w:szCs w:val="22"/>
        </w:rPr>
        <w:t xml:space="preserve">Operation: Cut and bend (child of the Subprocess)</w:t>
      </w:r>
    </w:p>
    <w:p>
      <w:pPr>
        <w:pStyle w:val="ListParagraph"/>
        <w:numPr>
          <w:ilvl w:val="0"/>
          <w:numId w:val="2"/>
        </w:numPr>
        <w:spacing w:after="80"/>
      </w:pPr>
      <w:r>
        <w:rPr>
          <w:rFonts w:ascii="Arial" w:cs="Arial" w:eastAsia="Arial" w:hAnsi="Arial"/>
          <w:color w:val="1A1F1B"/>
          <w:sz w:val="22"/>
          <w:szCs w:val="22"/>
        </w:rPr>
        <w:t xml:space="preserve">Elemental Task: Stamping + cutting (child of the Operation, this is the leaf where flows go)</w:t>
      </w:r>
    </w:p>
    <w:p>
      <w:pPr>
        <w:spacing w:after="140"/>
      </w:pPr>
      <w:r>
        <w:rPr>
          <w:rFonts w:ascii="Arial" w:cs="Arial" w:eastAsia="Arial" w:hAnsi="Arial"/>
          <w:color w:val="1A1F1B"/>
          <w:sz w:val="22"/>
          <w:szCs w:val="22"/>
        </w:rPr>
        <w:t xml:space="preserve">Verify the tree reads top-to-bottom, all five tiers:</w:t>
      </w:r>
    </w:p>
    <w:p>
      <w:pPr>
        <w:shd w:fill="F0F4F1" w:color="auto" w:val="clear"/>
        <w:spacing w:after="0"/>
        <w:ind w:left="120"/>
      </w:pPr>
      <w:r>
        <w:rPr>
          <w:rFonts w:ascii="Consolas" w:cs="Consolas" w:eastAsia="Consolas" w:hAnsi="Consolas"/>
          <w:color w:val="1A1F1B"/>
          <w:sz w:val="20"/>
          <w:szCs w:val="20"/>
        </w:rPr>
        <w:t xml:space="preserve">Aluminum bookshelf bracket            (Product)</w:t>
      </w:r>
    </w:p>
    <w:p>
      <w:pPr>
        <w:shd w:fill="F0F4F1" w:color="auto" w:val="clear"/>
        <w:spacing w:after="0"/>
        <w:ind w:left="120"/>
      </w:pPr>
      <w:r>
        <w:rPr>
          <w:rFonts w:ascii="Consolas" w:cs="Consolas" w:eastAsia="Consolas" w:hAnsi="Consolas"/>
          <w:color w:val="1A1F1B"/>
          <w:sz w:val="20"/>
          <w:szCs w:val="20"/>
        </w:rPr>
        <w:t xml:space="preserve">  -- Bracket forming line             (Machine/Line)</w:t>
      </w:r>
    </w:p>
    <w:p>
      <w:pPr>
        <w:shd w:fill="F0F4F1" w:color="auto" w:val="clear"/>
        <w:spacing w:after="0"/>
        <w:ind w:left="120"/>
      </w:pPr>
      <w:r>
        <w:rPr>
          <w:rFonts w:ascii="Consolas" w:cs="Consolas" w:eastAsia="Consolas" w:hAnsi="Consolas"/>
          <w:color w:val="1A1F1B"/>
          <w:sz w:val="20"/>
          <w:szCs w:val="20"/>
        </w:rPr>
        <w:t xml:space="preserve">        -- Forming                    (Subprocess)</w:t>
      </w:r>
    </w:p>
    <w:p>
      <w:pPr>
        <w:shd w:fill="F0F4F1" w:color="auto" w:val="clear"/>
        <w:spacing w:after="0"/>
        <w:ind w:left="120"/>
      </w:pPr>
      <w:r>
        <w:rPr>
          <w:rFonts w:ascii="Consolas" w:cs="Consolas" w:eastAsia="Consolas" w:hAnsi="Consolas"/>
          <w:color w:val="1A1F1B"/>
          <w:sz w:val="20"/>
          <w:szCs w:val="20"/>
        </w:rPr>
        <w:t xml:space="preserve">              -- Cut and bend         (Operation)</w:t>
      </w:r>
    </w:p>
    <w:p>
      <w:pPr>
        <w:shd w:fill="F0F4F1" w:color="auto" w:val="clear"/>
        <w:spacing w:after="0"/>
        <w:ind w:left="120"/>
      </w:pPr>
      <w:r>
        <w:rPr>
          <w:rFonts w:ascii="Consolas" w:cs="Consolas" w:eastAsia="Consolas" w:hAnsi="Consolas"/>
          <w:color w:val="1A1F1B"/>
          <w:sz w:val="20"/>
          <w:szCs w:val="20"/>
        </w:rPr>
        <w:t xml:space="preserve">                    -- Stamping + cutting   (Elemental Task)  *flows*</w:t>
      </w:r>
    </w:p>
    <w:p>
      <w:pPr>
        <w:pStyle w:val="Heading3"/>
        <w:spacing w:after="100" w:before="200"/>
      </w:pPr>
      <w:r>
        <w:rPr>
          <w:rFonts w:ascii="Arial" w:cs="Arial" w:eastAsia="Arial" w:hAnsi="Arial"/>
          <w:b/>
          <w:bCs/>
          <w:color w:val="1A1F1B"/>
          <w:sz w:val="22"/>
          <w:szCs w:val="22"/>
        </w:rPr>
        <w:t xml:space="preserve">Step 6. Add the two flows</w:t>
      </w:r>
    </w:p>
    <w:p>
      <w:pPr>
        <w:spacing w:after="140"/>
      </w:pPr>
      <w:r>
        <w:rPr>
          <w:rFonts w:ascii="Arial" w:cs="Arial" w:eastAsia="Arial" w:hAnsi="Arial"/>
          <w:color w:val="1A1F1B"/>
          <w:sz w:val="22"/>
          <w:szCs w:val="22"/>
        </w:rPr>
        <w:t xml:space="preserve">Click the </w:t>
      </w:r>
      <w:r>
        <w:rPr>
          <w:rFonts w:ascii="Arial" w:cs="Arial" w:eastAsia="Arial" w:hAnsi="Arial"/>
          <w:b/>
          <w:bCs/>
          <w:color w:val="1A1F1B"/>
          <w:sz w:val="22"/>
          <w:szCs w:val="22"/>
        </w:rPr>
        <w:t xml:space="preserve">Stamping + cutting</w:t>
      </w:r>
      <w:r>
        <w:rPr>
          <w:rFonts w:ascii="Arial" w:cs="Arial" w:eastAsia="Arial" w:hAnsi="Arial"/>
          <w:color w:val="1A1F1B"/>
          <w:sz w:val="22"/>
          <w:szCs w:val="22"/>
        </w:rPr>
        <w:t xml:space="preserve"> leaf node. In the inspector panel:</w:t>
      </w:r>
    </w:p>
    <w:p>
      <w:pPr>
        <w:pStyle w:val="ListParagraph"/>
        <w:numPr>
          <w:ilvl w:val="0"/>
          <w:numId w:val="2"/>
        </w:numPr>
        <w:spacing w:after="80"/>
      </w:pPr>
      <w:r>
        <w:rPr>
          <w:rFonts w:ascii="Arial" w:cs="Arial" w:eastAsia="Arial" w:hAnsi="Arial"/>
          <w:color w:val="1A1F1B"/>
          <w:sz w:val="22"/>
          <w:szCs w:val="22"/>
        </w:rPr>
        <w:t xml:space="preserve">Click + Add Flow</w:t>
      </w:r>
    </w:p>
    <w:p>
      <w:pPr>
        <w:pStyle w:val="ListParagraph"/>
        <w:numPr>
          <w:ilvl w:val="0"/>
          <w:numId w:val="2"/>
        </w:numPr>
        <w:spacing w:after="80"/>
      </w:pPr>
      <w:r>
        <w:rPr>
          <w:rFonts w:ascii="Arial" w:cs="Arial" w:eastAsia="Arial" w:hAnsi="Arial"/>
          <w:color w:val="1A1F1B"/>
          <w:sz w:val="22"/>
          <w:szCs w:val="22"/>
        </w:rPr>
        <w:t xml:space="preserve">Substance: Aluminum, primary (search the dropdown)</w:t>
      </w:r>
    </w:p>
    <w:p>
      <w:pPr>
        <w:pStyle w:val="ListParagraph"/>
        <w:numPr>
          <w:ilvl w:val="0"/>
          <w:numId w:val="2"/>
        </w:numPr>
        <w:spacing w:after="80"/>
      </w:pPr>
      <w:r>
        <w:rPr>
          <w:rFonts w:ascii="Arial" w:cs="Arial" w:eastAsia="Arial" w:hAnsi="Arial"/>
          <w:color w:val="1A1F1B"/>
          <w:sz w:val="22"/>
          <w:szCs w:val="22"/>
        </w:rPr>
        <w:t xml:space="preserve">Direction: Input</w:t>
      </w:r>
    </w:p>
    <w:p>
      <w:pPr>
        <w:pStyle w:val="ListParagraph"/>
        <w:numPr>
          <w:ilvl w:val="0"/>
          <w:numId w:val="2"/>
        </w:numPr>
        <w:spacing w:after="80"/>
      </w:pPr>
      <w:r>
        <w:rPr>
          <w:rFonts w:ascii="Arial" w:cs="Arial" w:eastAsia="Arial" w:hAnsi="Arial"/>
          <w:color w:val="1A1F1B"/>
          <w:sz w:val="22"/>
          <w:szCs w:val="22"/>
        </w:rPr>
        <w:t xml:space="preserve">Quantity: 0.40</w:t>
      </w:r>
    </w:p>
    <w:p>
      <w:pPr>
        <w:pStyle w:val="ListParagraph"/>
        <w:numPr>
          <w:ilvl w:val="0"/>
          <w:numId w:val="2"/>
        </w:numPr>
        <w:spacing w:after="80"/>
      </w:pPr>
      <w:r>
        <w:rPr>
          <w:rFonts w:ascii="Arial" w:cs="Arial" w:eastAsia="Arial" w:hAnsi="Arial"/>
          <w:color w:val="1A1F1B"/>
          <w:sz w:val="22"/>
          <w:szCs w:val="22"/>
        </w:rPr>
        <w:t xml:space="preserve">Unit: kg</w:t>
      </w:r>
    </w:p>
    <w:p>
      <w:pPr>
        <w:pStyle w:val="ListParagraph"/>
        <w:numPr>
          <w:ilvl w:val="0"/>
          <w:numId w:val="2"/>
        </w:numPr>
        <w:spacing w:after="80"/>
      </w:pPr>
      <w:r>
        <w:rPr>
          <w:rFonts w:ascii="Arial" w:cs="Arial" w:eastAsia="Arial" w:hAnsi="Arial"/>
          <w:color w:val="1A1F1B"/>
          <w:sz w:val="22"/>
          <w:szCs w:val="22"/>
        </w:rPr>
        <w:t xml:space="preserve">Save.</w:t>
      </w:r>
    </w:p>
    <w:p>
      <w:pPr>
        <w:spacing w:after="140"/>
      </w:pPr>
      <w:r>
        <w:rPr>
          <w:rFonts w:ascii="Arial" w:cs="Arial" w:eastAsia="Arial" w:hAnsi="Arial"/>
          <w:color w:val="1A1F1B"/>
          <w:sz w:val="22"/>
          <w:szCs w:val="22"/>
        </w:rPr>
        <w:t xml:space="preserve">Repeat for the second flow:</w:t>
      </w:r>
    </w:p>
    <w:p>
      <w:pPr>
        <w:pStyle w:val="ListParagraph"/>
        <w:numPr>
          <w:ilvl w:val="0"/>
          <w:numId w:val="2"/>
        </w:numPr>
        <w:spacing w:after="80"/>
      </w:pPr>
      <w:r>
        <w:rPr>
          <w:rFonts w:ascii="Arial" w:cs="Arial" w:eastAsia="Arial" w:hAnsi="Arial"/>
          <w:color w:val="1A1F1B"/>
          <w:sz w:val="22"/>
          <w:szCs w:val="22"/>
        </w:rPr>
        <w:t xml:space="preserve">Substance: Electricity</w:t>
      </w:r>
    </w:p>
    <w:p>
      <w:pPr>
        <w:pStyle w:val="ListParagraph"/>
        <w:numPr>
          <w:ilvl w:val="0"/>
          <w:numId w:val="2"/>
        </w:numPr>
        <w:spacing w:after="80"/>
      </w:pPr>
      <w:r>
        <w:rPr>
          <w:rFonts w:ascii="Arial" w:cs="Arial" w:eastAsia="Arial" w:hAnsi="Arial"/>
          <w:color w:val="1A1F1B"/>
          <w:sz w:val="22"/>
          <w:szCs w:val="22"/>
        </w:rPr>
        <w:t xml:space="preserve">Direction: Input</w:t>
      </w:r>
    </w:p>
    <w:p>
      <w:pPr>
        <w:pStyle w:val="ListParagraph"/>
        <w:numPr>
          <w:ilvl w:val="0"/>
          <w:numId w:val="2"/>
        </w:numPr>
        <w:spacing w:after="80"/>
      </w:pPr>
      <w:r>
        <w:rPr>
          <w:rFonts w:ascii="Arial" w:cs="Arial" w:eastAsia="Arial" w:hAnsi="Arial"/>
          <w:color w:val="1A1F1B"/>
          <w:sz w:val="22"/>
          <w:szCs w:val="22"/>
        </w:rPr>
        <w:t xml:space="preserve">Quantity: 0.30</w:t>
      </w:r>
    </w:p>
    <w:p>
      <w:pPr>
        <w:pStyle w:val="ListParagraph"/>
        <w:numPr>
          <w:ilvl w:val="0"/>
          <w:numId w:val="2"/>
        </w:numPr>
        <w:spacing w:after="80"/>
      </w:pPr>
      <w:r>
        <w:rPr>
          <w:rFonts w:ascii="Arial" w:cs="Arial" w:eastAsia="Arial" w:hAnsi="Arial"/>
          <w:color w:val="1A1F1B"/>
          <w:sz w:val="22"/>
          <w:szCs w:val="22"/>
        </w:rPr>
        <w:t xml:space="preserve">Unit: kWh</w:t>
      </w:r>
    </w:p>
    <w:p>
      <w:pPr>
        <w:pStyle w:val="ListParagraph"/>
        <w:numPr>
          <w:ilvl w:val="0"/>
          <w:numId w:val="2"/>
        </w:numPr>
        <w:spacing w:after="80"/>
      </w:pPr>
      <w:r>
        <w:rPr>
          <w:rFonts w:ascii="Arial" w:cs="Arial" w:eastAsia="Arial" w:hAnsi="Arial"/>
          <w:color w:val="1A1F1B"/>
          <w:sz w:val="22"/>
          <w:szCs w:val="22"/>
        </w:rPr>
        <w:t xml:space="preserve">Save.</w:t>
      </w:r>
    </w:p>
    <w:p>
      <w:pPr>
        <w:pBdr>
          <w:left w:val="single" w:color="006A44" w:sz="18" w:space="4"/>
        </w:pBdr>
        <w:shd w:fill="EAF1ED" w:color="auto" w:val="clear"/>
        <w:spacing w:after="140" w:before="100"/>
        <w:ind w:left="120" w:right="120"/>
      </w:pPr>
      <w:r>
        <w:rPr>
          <w:rFonts w:ascii="Arial" w:cs="Arial" w:eastAsia="Arial" w:hAnsi="Arial"/>
          <w:i/>
          <w:iCs/>
          <w:color w:val="006A44"/>
          <w:sz w:val="20"/>
          <w:szCs w:val="20"/>
        </w:rPr>
        <w:t xml:space="preserve">If the substance Aluminum, primary is not in the dropdown, run the openLCA import once from /admin/integrations, openLCA card, Import CML 2001. This populates 48+ characterization factors and the substance list.</w:t>
      </w:r>
    </w:p>
    <w:p>
      <w:pPr>
        <w:pStyle w:val="Heading3"/>
        <w:spacing w:after="100" w:before="200"/>
      </w:pPr>
      <w:r>
        <w:rPr>
          <w:rFonts w:ascii="Arial" w:cs="Arial" w:eastAsia="Arial" w:hAnsi="Arial"/>
          <w:b/>
          <w:bCs/>
          <w:color w:val="1A1F1B"/>
          <w:sz w:val="22"/>
          <w:szCs w:val="22"/>
        </w:rPr>
        <w:t xml:space="preserve">Step 7. Run the assessment</w:t>
      </w:r>
    </w:p>
    <w:p>
      <w:pPr>
        <w:spacing w:after="140"/>
      </w:pPr>
      <w:r>
        <w:rPr>
          <w:rFonts w:ascii="Arial" w:cs="Arial" w:eastAsia="Arial" w:hAnsi="Arial"/>
          <w:color w:val="1A1F1B"/>
          <w:sz w:val="22"/>
          <w:szCs w:val="22"/>
        </w:rPr>
        <w:t xml:space="preserve">Click </w:t>
      </w:r>
      <w:r>
        <w:rPr>
          <w:rFonts w:ascii="Arial" w:cs="Arial" w:eastAsia="Arial" w:hAnsi="Arial"/>
          <w:b/>
          <w:bCs/>
          <w:color w:val="1A1F1B"/>
          <w:sz w:val="22"/>
          <w:szCs w:val="22"/>
        </w:rPr>
        <w:t xml:space="preserve">Run Assessment</w:t>
      </w:r>
      <w:r>
        <w:rPr>
          <w:rFonts w:ascii="Arial" w:cs="Arial" w:eastAsia="Arial" w:hAnsi="Arial"/>
          <w:color w:val="1A1F1B"/>
          <w:sz w:val="22"/>
          <w:szCs w:val="22"/>
        </w:rPr>
        <w:t xml:space="preserve"> (top right of the canvas).</w:t>
      </w:r>
    </w:p>
    <w:p>
      <w:pPr>
        <w:pStyle w:val="ListParagraph"/>
        <w:numPr>
          <w:ilvl w:val="0"/>
          <w:numId w:val="2"/>
        </w:numPr>
        <w:spacing w:after="80"/>
      </w:pPr>
      <w:r>
        <w:rPr>
          <w:rFonts w:ascii="Arial" w:cs="Arial" w:eastAsia="Arial" w:hAnsi="Arial"/>
          <w:color w:val="1A1F1B"/>
          <w:sz w:val="22"/>
          <w:szCs w:val="22"/>
        </w:rPr>
        <w:t xml:space="preserve">Methodology: CML 2001</w:t>
      </w:r>
    </w:p>
    <w:p>
      <w:pPr>
        <w:pStyle w:val="ListParagraph"/>
        <w:numPr>
          <w:ilvl w:val="0"/>
          <w:numId w:val="2"/>
        </w:numPr>
        <w:spacing w:after="80"/>
      </w:pPr>
      <w:r>
        <w:rPr>
          <w:rFonts w:ascii="Arial" w:cs="Arial" w:eastAsia="Arial" w:hAnsi="Arial"/>
          <w:color w:val="1A1F1B"/>
          <w:sz w:val="22"/>
          <w:szCs w:val="22"/>
        </w:rPr>
        <w:t xml:space="preserve">Region: NC (or leave blank)</w:t>
      </w:r>
    </w:p>
    <w:p>
      <w:pPr>
        <w:pStyle w:val="ListParagraph"/>
        <w:numPr>
          <w:ilvl w:val="0"/>
          <w:numId w:val="2"/>
        </w:numPr>
        <w:spacing w:after="80"/>
      </w:pPr>
      <w:r>
        <w:rPr>
          <w:rFonts w:ascii="Arial" w:cs="Arial" w:eastAsia="Arial" w:hAnsi="Arial"/>
          <w:color w:val="1A1F1B"/>
          <w:sz w:val="22"/>
          <w:szCs w:val="22"/>
        </w:rPr>
        <w:t xml:space="preserve">Confirm.</w:t>
      </w:r>
    </w:p>
    <w:p>
      <w:pPr>
        <w:spacing w:after="140"/>
      </w:pPr>
      <w:r>
        <w:rPr>
          <w:rFonts w:ascii="Arial" w:cs="Arial" w:eastAsia="Arial" w:hAnsi="Arial"/>
          <w:color w:val="1A1F1B"/>
          <w:sz w:val="22"/>
          <w:szCs w:val="22"/>
        </w:rPr>
        <w:t xml:space="preserve">The assessment runs. You are routed to the Results page.</w:t>
      </w:r>
    </w:p>
    <w:p>
      <w:pPr>
        <w:pBdr>
          <w:left w:val="single" w:color="006A44" w:sz="18" w:space="4"/>
        </w:pBdr>
        <w:shd w:fill="EAF1ED" w:color="auto" w:val="clear"/>
        <w:spacing w:after="140" w:before="100"/>
        <w:ind w:left="120" w:right="120"/>
      </w:pPr>
      <w:r>
        <w:rPr>
          <w:rFonts w:ascii="Arial" w:cs="Arial" w:eastAsia="Arial" w:hAnsi="Arial"/>
          <w:i/>
          <w:iCs/>
          <w:color w:val="006A44"/>
          <w:sz w:val="20"/>
          <w:szCs w:val="20"/>
        </w:rPr>
        <w:t xml:space="preserve">Expected Global Warming Potential: about 3.41 kg CO2-eq. If you see this number (within 5%), the engine is doing the math we expected.</w:t>
      </w:r>
    </w:p>
    <w:p>
      <w:pPr>
        <w:pStyle w:val="Heading3"/>
        <w:spacing w:after="100" w:before="200"/>
      </w:pPr>
      <w:r>
        <w:rPr>
          <w:rFonts w:ascii="Arial" w:cs="Arial" w:eastAsia="Arial" w:hAnsi="Arial"/>
          <w:b/>
          <w:bCs/>
          <w:color w:val="1A1F1B"/>
          <w:sz w:val="22"/>
          <w:szCs w:val="22"/>
        </w:rPr>
        <w:t xml:space="preserve">Step 8. Use Magic Insights</w:t>
      </w:r>
    </w:p>
    <w:p>
      <w:pPr>
        <w:spacing w:after="140"/>
      </w:pPr>
      <w:r>
        <w:rPr>
          <w:rFonts w:ascii="Arial" w:cs="Arial" w:eastAsia="Arial" w:hAnsi="Arial"/>
          <w:color w:val="1A1F1B"/>
          <w:sz w:val="22"/>
          <w:szCs w:val="22"/>
        </w:rPr>
        <w:t xml:space="preserve">Click </w:t>
      </w:r>
      <w:r>
        <w:rPr>
          <w:rFonts w:ascii="Arial" w:cs="Arial" w:eastAsia="Arial" w:hAnsi="Arial"/>
          <w:b/>
          <w:bCs/>
          <w:color w:val="1A1F1B"/>
          <w:sz w:val="22"/>
          <w:szCs w:val="22"/>
        </w:rPr>
        <w:t xml:space="preserve">Magic Insights</w:t>
      </w:r>
      <w:r>
        <w:rPr>
          <w:rFonts w:ascii="Arial" w:cs="Arial" w:eastAsia="Arial" w:hAnsi="Arial"/>
          <w:color w:val="1A1F1B"/>
          <w:sz w:val="22"/>
          <w:szCs w:val="22"/>
        </w:rPr>
        <w:t xml:space="preserve">. The modal streams a written summary. Try each of the 4 chips:</w:t>
      </w:r>
    </w:p>
    <w:p>
      <w:pPr>
        <w:pStyle w:val="ListParagraph"/>
        <w:numPr>
          <w:ilvl w:val="0"/>
          <w:numId w:val="2"/>
        </w:numPr>
        <w:spacing w:after="80"/>
      </w:pPr>
      <w:r>
        <w:rPr>
          <w:rFonts w:ascii="Arial" w:cs="Arial" w:eastAsia="Arial" w:hAnsi="Arial"/>
          <w:color w:val="1A1F1B"/>
          <w:sz w:val="22"/>
          <w:szCs w:val="22"/>
        </w:rPr>
        <w:t xml:space="preserve">Summary, narrative of the result</w:t>
      </w:r>
    </w:p>
    <w:p>
      <w:pPr>
        <w:pStyle w:val="ListParagraph"/>
        <w:numPr>
          <w:ilvl w:val="0"/>
          <w:numId w:val="2"/>
        </w:numPr>
        <w:spacing w:after="80"/>
      </w:pPr>
      <w:r>
        <w:rPr>
          <w:rFonts w:ascii="Arial" w:cs="Arial" w:eastAsia="Arial" w:hAnsi="Arial"/>
          <w:color w:val="1A1F1B"/>
          <w:sz w:val="22"/>
          <w:szCs w:val="22"/>
        </w:rPr>
        <w:t xml:space="preserve">How to reduce 20%? Concrete suggestions citing the top contributor</w:t>
      </w:r>
    </w:p>
    <w:p>
      <w:pPr>
        <w:pStyle w:val="ListParagraph"/>
        <w:numPr>
          <w:ilvl w:val="0"/>
          <w:numId w:val="2"/>
        </w:numPr>
        <w:spacing w:after="80"/>
      </w:pPr>
      <w:r>
        <w:rPr>
          <w:rFonts w:ascii="Arial" w:cs="Arial" w:eastAsia="Arial" w:hAnsi="Arial"/>
          <w:color w:val="1A1F1B"/>
          <w:sz w:val="22"/>
          <w:szCs w:val="22"/>
        </w:rPr>
        <w:t xml:space="preserve">Cost vs CO2 tradeoff, explains the dollar to CO2 relationship</w:t>
      </w:r>
    </w:p>
    <w:p>
      <w:pPr>
        <w:pStyle w:val="ListParagraph"/>
        <w:numPr>
          <w:ilvl w:val="0"/>
          <w:numId w:val="2"/>
        </w:numPr>
        <w:spacing w:after="80"/>
      </w:pPr>
      <w:r>
        <w:rPr>
          <w:rFonts w:ascii="Arial" w:cs="Arial" w:eastAsia="Arial" w:hAnsi="Arial"/>
          <w:color w:val="1A1F1B"/>
          <w:sz w:val="22"/>
          <w:szCs w:val="22"/>
        </w:rPr>
        <w:t xml:space="preserve">Compare to base, placeholder until you have a comparative case</w:t>
      </w:r>
    </w:p>
    <w:p>
      <w:pPr>
        <w:pStyle w:val="Heading3"/>
        <w:spacing w:after="100" w:before="200"/>
      </w:pPr>
      <w:r>
        <w:rPr>
          <w:rFonts w:ascii="Arial" w:cs="Arial" w:eastAsia="Arial" w:hAnsi="Arial"/>
          <w:b/>
          <w:bCs/>
          <w:color w:val="1A1F1B"/>
          <w:sz w:val="22"/>
          <w:szCs w:val="22"/>
        </w:rPr>
        <w:t xml:space="preserve">Step 9. Add the comparative case</w:t>
      </w:r>
    </w:p>
    <w:p>
      <w:pPr>
        <w:spacing w:after="140"/>
      </w:pPr>
      <w:r>
        <w:rPr>
          <w:rFonts w:ascii="Arial" w:cs="Arial" w:eastAsia="Arial" w:hAnsi="Arial"/>
          <w:color w:val="1A1F1B"/>
          <w:sz w:val="22"/>
          <w:szCs w:val="22"/>
        </w:rPr>
        <w:t xml:space="preserve">Back to the project page, click </w:t>
      </w:r>
      <w:r>
        <w:rPr>
          <w:rFonts w:ascii="Arial" w:cs="Arial" w:eastAsia="Arial" w:hAnsi="Arial"/>
          <w:b/>
          <w:bCs/>
          <w:color w:val="1A1F1B"/>
          <w:sz w:val="22"/>
          <w:szCs w:val="22"/>
        </w:rPr>
        <w:t xml:space="preserve">+ Add Case</w:t>
      </w:r>
      <w:r>
        <w:rPr>
          <w:rFonts w:ascii="Arial" w:cs="Arial" w:eastAsia="Arial" w:hAnsi="Arial"/>
          <w:color w:val="1A1F1B"/>
          <w:sz w:val="22"/>
          <w:szCs w:val="22"/>
        </w:rPr>
        <w:t xml:space="preserve">.</w:t>
      </w:r>
    </w:p>
    <w:p>
      <w:pPr>
        <w:pStyle w:val="ListParagraph"/>
        <w:numPr>
          <w:ilvl w:val="0"/>
          <w:numId w:val="2"/>
        </w:numPr>
        <w:spacing w:after="80"/>
      </w:pPr>
      <w:r>
        <w:rPr>
          <w:rFonts w:ascii="Arial" w:cs="Arial" w:eastAsia="Arial" w:hAnsi="Arial"/>
          <w:color w:val="1A1F1B"/>
          <w:sz w:val="22"/>
          <w:szCs w:val="22"/>
        </w:rPr>
        <w:t xml:space="preserve">Name: Steel bracket, comparative</w:t>
      </w:r>
    </w:p>
    <w:p>
      <w:pPr>
        <w:pStyle w:val="ListParagraph"/>
        <w:numPr>
          <w:ilvl w:val="0"/>
          <w:numId w:val="2"/>
        </w:numPr>
        <w:spacing w:after="80"/>
      </w:pPr>
      <w:r>
        <w:rPr>
          <w:rFonts w:ascii="Arial" w:cs="Arial" w:eastAsia="Arial" w:hAnsi="Arial"/>
          <w:color w:val="1A1F1B"/>
          <w:sz w:val="22"/>
          <w:szCs w:val="22"/>
        </w:rPr>
        <w:t xml:space="preserve">Type: Comparative</w:t>
      </w:r>
    </w:p>
    <w:p>
      <w:pPr>
        <w:pStyle w:val="ListParagraph"/>
        <w:numPr>
          <w:ilvl w:val="0"/>
          <w:numId w:val="2"/>
        </w:numPr>
        <w:spacing w:after="80"/>
      </w:pPr>
      <w:r>
        <w:rPr>
          <w:rFonts w:ascii="Arial" w:cs="Arial" w:eastAsia="Arial" w:hAnsi="Arial"/>
          <w:color w:val="1A1F1B"/>
          <w:sz w:val="22"/>
          <w:szCs w:val="22"/>
        </w:rPr>
        <w:t xml:space="preserve">Submit.</w:t>
      </w:r>
    </w:p>
    <w:p>
      <w:pPr>
        <w:spacing w:after="140"/>
      </w:pPr>
      <w:r>
        <w:rPr>
          <w:rFonts w:ascii="Arial" w:cs="Arial" w:eastAsia="Arial" w:hAnsi="Arial"/>
          <w:color w:val="1A1F1B"/>
          <w:sz w:val="22"/>
          <w:szCs w:val="22"/>
        </w:rPr>
        <w:t xml:space="preserve">Open it. The canvas shows the base hierarchy with a Synced from base, edit to diverge badge, the fallback behavior so empty comp cases still show something useful. Build the same hierarchy, then add the steel-version flows (1.0 kg steel + 0.5 kWh).</w:t>
      </w:r>
    </w:p>
    <w:p>
      <w:pPr>
        <w:spacing w:after="140"/>
      </w:pPr>
      <w:r>
        <w:rPr>
          <w:rFonts w:ascii="Arial" w:cs="Arial" w:eastAsia="Arial" w:hAnsi="Arial"/>
          <w:color w:val="1A1F1B"/>
          <w:sz w:val="22"/>
          <w:szCs w:val="22"/>
        </w:rPr>
        <w:t xml:space="preserve">Run an assessment on this case too. </w:t>
      </w:r>
      <w:r>
        <w:rPr>
          <w:rFonts w:ascii="Arial" w:cs="Arial" w:eastAsia="Arial" w:hAnsi="Arial"/>
          <w:b/>
          <w:bCs/>
          <w:color w:val="1A1F1B"/>
          <w:sz w:val="22"/>
          <w:szCs w:val="22"/>
        </w:rPr>
        <w:t xml:space="preserve">Expected: about 2.01 kg CO2-eq.</w:t>
      </w:r>
    </w:p>
    <w:p>
      <w:pPr>
        <w:pStyle w:val="Heading3"/>
        <w:spacing w:after="100" w:before="200"/>
      </w:pPr>
      <w:r>
        <w:rPr>
          <w:rFonts w:ascii="Arial" w:cs="Arial" w:eastAsia="Arial" w:hAnsi="Arial"/>
          <w:b/>
          <w:bCs/>
          <w:color w:val="1A1F1B"/>
          <w:sz w:val="22"/>
          <w:szCs w:val="22"/>
        </w:rPr>
        <w:t xml:space="preserve">Step 10. Compare the two cases</w:t>
      </w:r>
    </w:p>
    <w:p>
      <w:pPr>
        <w:spacing w:after="140"/>
      </w:pPr>
      <w:r>
        <w:rPr>
          <w:rFonts w:ascii="Arial" w:cs="Arial" w:eastAsia="Arial" w:hAnsi="Arial"/>
          <w:color w:val="1A1F1B"/>
          <w:sz w:val="22"/>
          <w:szCs w:val="22"/>
        </w:rPr>
        <w:t xml:space="preserve">Back to the project page, click </w:t>
      </w:r>
      <w:r>
        <w:rPr>
          <w:rFonts w:ascii="Arial" w:cs="Arial" w:eastAsia="Arial" w:hAnsi="Arial"/>
          <w:b/>
          <w:bCs/>
          <w:color w:val="1A1F1B"/>
          <w:sz w:val="22"/>
          <w:szCs w:val="22"/>
        </w:rPr>
        <w:t xml:space="preserve">Compare cases</w:t>
      </w:r>
      <w:r>
        <w:rPr>
          <w:rFonts w:ascii="Arial" w:cs="Arial" w:eastAsia="Arial" w:hAnsi="Arial"/>
          <w:color w:val="1A1F1B"/>
          <w:sz w:val="22"/>
          <w:szCs w:val="22"/>
        </w:rPr>
        <w:t xml:space="preserve">, then pick Aluminum as base and Steel as comparative.</w:t>
      </w:r>
    </w:p>
    <w:p>
      <w:pPr>
        <w:pStyle w:val="ListParagraph"/>
        <w:numPr>
          <w:ilvl w:val="0"/>
          <w:numId w:val="2"/>
        </w:numPr>
        <w:spacing w:after="80"/>
      </w:pPr>
      <w:r>
        <w:rPr>
          <w:rFonts w:ascii="Arial" w:cs="Arial" w:eastAsia="Arial" w:hAnsi="Arial"/>
          <w:color w:val="1A1F1B"/>
          <w:sz w:val="22"/>
          <w:szCs w:val="22"/>
        </w:rPr>
        <w:t xml:space="preserve">Side-by-side impact totals</w:t>
      </w:r>
    </w:p>
    <w:p>
      <w:pPr>
        <w:pStyle w:val="ListParagraph"/>
        <w:numPr>
          <w:ilvl w:val="0"/>
          <w:numId w:val="2"/>
        </w:numPr>
        <w:spacing w:after="80"/>
      </w:pPr>
      <w:r>
        <w:rPr>
          <w:rFonts w:ascii="Arial" w:cs="Arial" w:eastAsia="Arial" w:hAnsi="Arial"/>
          <w:color w:val="1A1F1B"/>
          <w:sz w:val="22"/>
          <w:szCs w:val="22"/>
        </w:rPr>
        <w:t xml:space="preserve">Delta per category</w:t>
      </w:r>
    </w:p>
    <w:p>
      <w:pPr>
        <w:pStyle w:val="ListParagraph"/>
        <w:numPr>
          <w:ilvl w:val="0"/>
          <w:numId w:val="2"/>
        </w:numPr>
        <w:spacing w:after="80"/>
      </w:pPr>
      <w:r>
        <w:rPr>
          <w:rFonts w:ascii="Arial" w:cs="Arial" w:eastAsia="Arial" w:hAnsi="Arial"/>
          <w:color w:val="1A1F1B"/>
          <w:sz w:val="22"/>
          <w:szCs w:val="22"/>
        </w:rPr>
        <w:t xml:space="preserve">Component-level differences</w:t>
      </w:r>
    </w:p>
    <w:p>
      <w:pPr>
        <w:pBdr>
          <w:left w:val="single" w:color="006A44" w:sz="18" w:space="4"/>
        </w:pBdr>
        <w:shd w:fill="EAF1ED" w:color="auto" w:val="clear"/>
        <w:spacing w:after="140" w:before="100"/>
        <w:ind w:left="120" w:right="120"/>
      </w:pPr>
      <w:r>
        <w:rPr>
          <w:rFonts w:ascii="Arial" w:cs="Arial" w:eastAsia="Arial" w:hAnsi="Arial"/>
          <w:i/>
          <w:iCs/>
          <w:color w:val="006A44"/>
          <w:sz w:val="20"/>
          <w:szCs w:val="20"/>
        </w:rPr>
        <w:t xml:space="preserve">Expected verdict: Aluminum -18% cost, +69% CO2 (or close).</w:t>
      </w:r>
    </w:p>
    <w:p>
      <w:pPr>
        <w:pStyle w:val="Heading3"/>
        <w:spacing w:after="100" w:before="200"/>
      </w:pPr>
      <w:r>
        <w:rPr>
          <w:rFonts w:ascii="Arial" w:cs="Arial" w:eastAsia="Arial" w:hAnsi="Arial"/>
          <w:b/>
          <w:bCs/>
          <w:color w:val="1A1F1B"/>
          <w:sz w:val="22"/>
          <w:szCs w:val="22"/>
        </w:rPr>
        <w:t xml:space="preserve">Step 11. Export the report</w:t>
      </w:r>
    </w:p>
    <w:p>
      <w:pPr>
        <w:spacing w:after="140"/>
      </w:pPr>
      <w:r>
        <w:rPr>
          <w:rFonts w:ascii="Arial" w:cs="Arial" w:eastAsia="Arial" w:hAnsi="Arial"/>
          <w:color w:val="1A1F1B"/>
          <w:sz w:val="22"/>
          <w:szCs w:val="22"/>
        </w:rPr>
        <w:t xml:space="preserve">On the Results page, click </w:t>
      </w:r>
      <w:r>
        <w:rPr>
          <w:rFonts w:ascii="Arial" w:cs="Arial" w:eastAsia="Arial" w:hAnsi="Arial"/>
          <w:b/>
          <w:bCs/>
          <w:color w:val="1A1F1B"/>
          <w:sz w:val="22"/>
          <w:szCs w:val="22"/>
        </w:rPr>
        <w:t xml:space="preserve">Export PDF</w:t>
      </w:r>
      <w:r>
        <w:rPr>
          <w:rFonts w:ascii="Arial" w:cs="Arial" w:eastAsia="Arial" w:hAnsi="Arial"/>
          <w:color w:val="1A1F1B"/>
          <w:sz w:val="22"/>
          <w:szCs w:val="22"/>
        </w:rPr>
        <w:t xml:space="preserve"> (top right). The browser print dialog opens with a CV-quality ISO 14040/14044 aligned report.</w:t>
      </w:r>
    </w:p>
    <w:p>
      <w:pPr>
        <w:pBdr>
          <w:bottom w:val="single" w:color="D5DCD7" w:sz="6" w:space="1"/>
        </w:pBdr>
        <w:spacing w:after="200" w:before="100"/>
      </w:pPr>
      <w:r>
        <w:t xml:space="preserve"/>
      </w:r>
    </w:p>
    <w:p>
      <w:pPr>
        <w:pStyle w:val="Heading2"/>
        <w:spacing w:after="140" w:before="240"/>
      </w:pPr>
      <w:r>
        <w:rPr>
          <w:rFonts w:ascii="Arial" w:cs="Arial" w:eastAsia="Arial" w:hAnsi="Arial"/>
          <w:b/>
          <w:bCs/>
          <w:color w:val="1A1F1B"/>
          <w:sz w:val="28"/>
          <w:szCs w:val="28"/>
        </w:rPr>
        <w:t xml:space="preserve">What you have verified by the end</w:t>
      </w:r>
    </w:p>
    <w:p>
      <w:pPr>
        <w:pStyle w:val="ListParagraph"/>
        <w:numPr>
          <w:ilvl w:val="0"/>
          <w:numId w:val="2"/>
        </w:numPr>
        <w:spacing w:after="80"/>
      </w:pPr>
      <w:r>
        <w:rPr>
          <w:rFonts w:ascii="Arial" w:cs="Arial" w:eastAsia="Arial" w:hAnsi="Arial"/>
          <w:color w:val="1A1F1B"/>
          <w:sz w:val="22"/>
          <w:szCs w:val="22"/>
        </w:rPr>
        <w:t xml:space="preserve">Auth + session works</w:t>
      </w:r>
    </w:p>
    <w:p>
      <w:pPr>
        <w:pStyle w:val="ListParagraph"/>
        <w:numPr>
          <w:ilvl w:val="0"/>
          <w:numId w:val="2"/>
        </w:numPr>
        <w:spacing w:after="80"/>
      </w:pPr>
      <w:r>
        <w:rPr>
          <w:rFonts w:ascii="Arial" w:cs="Arial" w:eastAsia="Arial" w:hAnsi="Arial"/>
          <w:color w:val="1A1F1B"/>
          <w:sz w:val="22"/>
          <w:szCs w:val="22"/>
        </w:rPr>
        <w:t xml:space="preserve">Project + case CRUD</w:t>
      </w:r>
    </w:p>
    <w:p>
      <w:pPr>
        <w:pStyle w:val="ListParagraph"/>
        <w:numPr>
          <w:ilvl w:val="0"/>
          <w:numId w:val="2"/>
        </w:numPr>
        <w:spacing w:after="80"/>
      </w:pPr>
      <w:r>
        <w:rPr>
          <w:rFonts w:ascii="Arial" w:cs="Arial" w:eastAsia="Arial" w:hAnsi="Arial"/>
          <w:color w:val="1A1F1B"/>
          <w:sz w:val="22"/>
          <w:szCs w:val="22"/>
        </w:rPr>
        <w:t xml:space="preserve">Full 5-tier hierarchy</w:t>
      </w:r>
    </w:p>
    <w:p>
      <w:pPr>
        <w:pStyle w:val="ListParagraph"/>
        <w:numPr>
          <w:ilvl w:val="0"/>
          <w:numId w:val="2"/>
        </w:numPr>
        <w:spacing w:after="80"/>
      </w:pPr>
      <w:r>
        <w:rPr>
          <w:rFonts w:ascii="Arial" w:cs="Arial" w:eastAsia="Arial" w:hAnsi="Arial"/>
          <w:color w:val="1A1F1B"/>
          <w:sz w:val="22"/>
          <w:szCs w:val="22"/>
        </w:rPr>
        <w:t xml:space="preserve">Substance dropdown + flow creation</w:t>
      </w:r>
    </w:p>
    <w:p>
      <w:pPr>
        <w:pStyle w:val="ListParagraph"/>
        <w:numPr>
          <w:ilvl w:val="0"/>
          <w:numId w:val="2"/>
        </w:numPr>
        <w:spacing w:after="80"/>
      </w:pPr>
      <w:r>
        <w:rPr>
          <w:rFonts w:ascii="Arial" w:cs="Arial" w:eastAsia="Arial" w:hAnsi="Arial"/>
          <w:color w:val="1A1F1B"/>
          <w:sz w:val="22"/>
          <w:szCs w:val="22"/>
        </w:rPr>
        <w:t xml:space="preserve">openLCA factor pack import</w:t>
      </w:r>
    </w:p>
    <w:p>
      <w:pPr>
        <w:pStyle w:val="ListParagraph"/>
        <w:numPr>
          <w:ilvl w:val="0"/>
          <w:numId w:val="2"/>
        </w:numPr>
        <w:spacing w:after="80"/>
      </w:pPr>
      <w:r>
        <w:rPr>
          <w:rFonts w:ascii="Arial" w:cs="Arial" w:eastAsia="Arial" w:hAnsi="Arial"/>
          <w:color w:val="1A1F1B"/>
          <w:sz w:val="22"/>
          <w:szCs w:val="22"/>
        </w:rPr>
        <w:t xml:space="preserve">Assessment engine produces a value matching the hand calculation</w:t>
      </w:r>
    </w:p>
    <w:p>
      <w:pPr>
        <w:pStyle w:val="ListParagraph"/>
        <w:numPr>
          <w:ilvl w:val="0"/>
          <w:numId w:val="2"/>
        </w:numPr>
        <w:spacing w:after="80"/>
      </w:pPr>
      <w:r>
        <w:rPr>
          <w:rFonts w:ascii="Arial" w:cs="Arial" w:eastAsia="Arial" w:hAnsi="Arial"/>
          <w:color w:val="1A1F1B"/>
          <w:sz w:val="22"/>
          <w:szCs w:val="22"/>
        </w:rPr>
        <w:t xml:space="preserve">Comparison engine surfaces the trade-off</w:t>
      </w:r>
    </w:p>
    <w:p>
      <w:pPr>
        <w:pStyle w:val="ListParagraph"/>
        <w:numPr>
          <w:ilvl w:val="0"/>
          <w:numId w:val="2"/>
        </w:numPr>
        <w:spacing w:after="80"/>
      </w:pPr>
      <w:r>
        <w:rPr>
          <w:rFonts w:ascii="Arial" w:cs="Arial" w:eastAsia="Arial" w:hAnsi="Arial"/>
          <w:color w:val="1A1F1B"/>
          <w:sz w:val="22"/>
          <w:szCs w:val="22"/>
        </w:rPr>
        <w:t xml:space="preserve">Magic Insights generates a written summary</w:t>
      </w:r>
    </w:p>
    <w:p>
      <w:pPr>
        <w:pStyle w:val="ListParagraph"/>
        <w:numPr>
          <w:ilvl w:val="0"/>
          <w:numId w:val="2"/>
        </w:numPr>
        <w:spacing w:after="80"/>
      </w:pPr>
      <w:r>
        <w:rPr>
          <w:rFonts w:ascii="Arial" w:cs="Arial" w:eastAsia="Arial" w:hAnsi="Arial"/>
          <w:color w:val="1A1F1B"/>
          <w:sz w:val="22"/>
          <w:szCs w:val="22"/>
        </w:rPr>
        <w:t xml:space="preserve">PDF export</w:t>
      </w:r>
    </w:p>
    <w:p>
      <w:pPr>
        <w:pStyle w:val="Heading2"/>
        <w:spacing w:after="140" w:before="240"/>
      </w:pPr>
      <w:r>
        <w:rPr>
          <w:rFonts w:ascii="Arial" w:cs="Arial" w:eastAsia="Arial" w:hAnsi="Arial"/>
          <w:b/>
          <w:bCs/>
          <w:color w:val="1A1F1B"/>
          <w:sz w:val="28"/>
          <w:szCs w:val="28"/>
        </w:rPr>
        <w:t xml:space="preserve">Public API integrations</w:t>
      </w:r>
    </w:p>
    <w:p>
      <w:pPr>
        <w:spacing w:after="140"/>
      </w:pPr>
      <w:r>
        <w:rPr>
          <w:rFonts w:ascii="Arial" w:cs="Arial" w:eastAsia="Arial" w:hAnsi="Arial"/>
          <w:color w:val="1A1F1B"/>
          <w:sz w:val="22"/>
          <w:szCs w:val="22"/>
        </w:rPr>
        <w:t xml:space="preserve">These power the Suggest costs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260"/>
        <w:gridCol w:w="2000"/>
      </w:tblGrid>
      <w:tr>
        <w:trPr>
          <w:tblHeader/>
        </w:trPr>
        <w:tc>
          <w:tcPr>
            <w:tcW w:type="dxa" w:w="21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API</w:t>
            </w:r>
          </w:p>
        </w:tc>
        <w:tc>
          <w:tcPr>
            <w:tcW w:type="dxa" w:w="52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What Suggest does for the user</w:t>
            </w:r>
          </w:p>
        </w:tc>
        <w:tc>
          <w:tcPr>
            <w:tcW w:type="dxa" w:w="20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Status</w:t>
            </w:r>
          </w:p>
        </w:tc>
      </w:tr>
      <w:tr>
        <w:tc>
          <w:tcPr>
            <w:tcW w:type="dxa" w:w="21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BLS</w:t>
            </w:r>
          </w:p>
        </w:tc>
        <w:tc>
          <w:tcPr>
            <w:tcW w:type="dxa" w:w="52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US labor cost based on welder occupation x state region</w:t>
            </w:r>
          </w:p>
        </w:tc>
        <w:tc>
          <w:tcPr>
            <w:tcW w:type="dxa" w:w="2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Wired, free, works</w:t>
            </w:r>
          </w:p>
        </w:tc>
      </w:tr>
      <w:tr>
        <w:tc>
          <w:tcPr>
            <w:tcW w:type="dxa" w:w="21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EIA</w:t>
            </w:r>
          </w:p>
        </w:tc>
        <w:tc>
          <w:tcPr>
            <w:tcW w:type="dxa" w:w="52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Electricity or gas rate for the chosen state</w:t>
            </w:r>
          </w:p>
        </w:tc>
        <w:tc>
          <w:tcPr>
            <w:tcW w:type="dxa" w:w="2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Wired, needs EIA_API_KEY on Vercel</w:t>
            </w:r>
          </w:p>
        </w:tc>
      </w:tr>
      <w:tr>
        <w:tc>
          <w:tcPr>
            <w:tcW w:type="dxa" w:w="21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Metals-API</w:t>
            </w:r>
          </w:p>
        </w:tc>
        <w:tc>
          <w:tcPr>
            <w:tcW w:type="dxa" w:w="52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Commodity material cost (steel, aluminum, etc.)</w:t>
            </w:r>
          </w:p>
        </w:tc>
        <w:tc>
          <w:tcPr>
            <w:tcW w:type="dxa" w:w="2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Wired, needs METALS_API_KEY</w:t>
            </w:r>
          </w:p>
        </w:tc>
      </w:tr>
      <w:tr>
        <w:tc>
          <w:tcPr>
            <w:tcW w:type="dxa" w:w="21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openLCA</w:t>
            </w:r>
          </w:p>
        </w:tc>
        <w:tc>
          <w:tcPr>
            <w:tcW w:type="dxa" w:w="52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Bulk-import CML / ReCiPe / TRACI factor packs</w:t>
            </w:r>
          </w:p>
        </w:tc>
        <w:tc>
          <w:tcPr>
            <w:tcW w:type="dxa" w:w="2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Runs, idempotent, bundled data</w:t>
            </w:r>
          </w:p>
        </w:tc>
      </w:tr>
      <w:tr>
        <w:tc>
          <w:tcPr>
            <w:tcW w:type="dxa" w:w="21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PubChem</w:t>
            </w:r>
          </w:p>
        </w:tc>
        <w:tc>
          <w:tcPr>
            <w:tcW w:type="dxa" w:w="52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Auto-enrich substance records with CAS / formula / hazard</w:t>
            </w:r>
          </w:p>
        </w:tc>
        <w:tc>
          <w:tcPr>
            <w:tcW w:type="dxa" w:w="2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Free, works</w:t>
            </w:r>
          </w:p>
        </w:tc>
      </w:tr>
      <w:tr>
        <w:tc>
          <w:tcPr>
            <w:tcW w:type="dxa" w:w="21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Electricity Maps</w:t>
            </w:r>
          </w:p>
        </w:tc>
        <w:tc>
          <w:tcPr>
            <w:tcW w:type="dxa" w:w="52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Live grid carbon intensity by zone</w:t>
            </w:r>
          </w:p>
        </w:tc>
        <w:tc>
          <w:tcPr>
            <w:tcW w:type="dxa" w:w="2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Wired, needs ELECTRICITY_MAPS_API_KEY + UI surface</w:t>
            </w:r>
          </w:p>
        </w:tc>
      </w:tr>
    </w:tbl>
    <w:p>
      <w:pPr>
        <w:pStyle w:val="Heading3"/>
        <w:spacing w:after="100" w:before="200"/>
      </w:pPr>
      <w:r>
        <w:rPr>
          <w:rFonts w:ascii="Arial" w:cs="Arial" w:eastAsia="Arial" w:hAnsi="Arial"/>
          <w:b/>
          <w:bCs/>
          <w:color w:val="1A1F1B"/>
          <w:sz w:val="22"/>
          <w:szCs w:val="22"/>
        </w:rPr>
        <w:t xml:space="preserve">To switch on Suggest costs end-to-end</w:t>
      </w:r>
    </w:p>
    <w:p>
      <w:pPr>
        <w:pStyle w:val="ListParagraph"/>
        <w:numPr>
          <w:ilvl w:val="0"/>
          <w:numId w:val="2"/>
        </w:numPr>
        <w:spacing w:after="80"/>
      </w:pPr>
      <w:r>
        <w:rPr>
          <w:rFonts w:ascii="Arial" w:cs="Arial" w:eastAsia="Arial" w:hAnsi="Arial"/>
          <w:color w:val="1A1F1B"/>
          <w:sz w:val="22"/>
          <w:szCs w:val="22"/>
        </w:rPr>
        <w:t xml:space="preserve">Sign up at https://api.eia.gov/register and copy the key into EIA_API_KEY on Vercel.</w:t>
      </w:r>
    </w:p>
    <w:p>
      <w:pPr>
        <w:pStyle w:val="ListParagraph"/>
        <w:numPr>
          <w:ilvl w:val="0"/>
          <w:numId w:val="2"/>
        </w:numPr>
        <w:spacing w:after="80"/>
      </w:pPr>
      <w:r>
        <w:rPr>
          <w:rFonts w:ascii="Arial" w:cs="Arial" w:eastAsia="Arial" w:hAnsi="Arial"/>
          <w:color w:val="1A1F1B"/>
          <w:sz w:val="22"/>
          <w:szCs w:val="22"/>
        </w:rPr>
        <w:t xml:space="preserve">Sign up at https://metals-api.com (free tier) and copy the key into METALS_API_KEY.</w:t>
      </w:r>
    </w:p>
    <w:p>
      <w:pPr>
        <w:pStyle w:val="ListParagraph"/>
        <w:numPr>
          <w:ilvl w:val="0"/>
          <w:numId w:val="2"/>
        </w:numPr>
        <w:spacing w:after="80"/>
      </w:pPr>
      <w:r>
        <w:rPr>
          <w:rFonts w:ascii="Arial" w:cs="Arial" w:eastAsia="Arial" w:hAnsi="Arial"/>
          <w:color w:val="1A1F1B"/>
          <w:sz w:val="22"/>
          <w:szCs w:val="22"/>
        </w:rPr>
        <w:t xml:space="preserve">(Optional) Sign up at https://www.electricitymaps.com/free-tier-api and add ELECTRICITY_MAPS_API_KEY.</w:t>
      </w:r>
    </w:p>
    <w:p>
      <w:pPr>
        <w:pStyle w:val="ListParagraph"/>
        <w:numPr>
          <w:ilvl w:val="0"/>
          <w:numId w:val="2"/>
        </w:numPr>
        <w:spacing w:after="80"/>
      </w:pPr>
      <w:r>
        <w:rPr>
          <w:rFonts w:ascii="Arial" w:cs="Arial" w:eastAsia="Arial" w:hAnsi="Arial"/>
          <w:color w:val="1A1F1B"/>
          <w:sz w:val="22"/>
          <w:szCs w:val="22"/>
        </w:rPr>
        <w:t xml:space="preserve">Redeploy. The Suggest button now fills BLS + EIA + Metals values into the cost form for the user-selected region.</w:t>
      </w:r>
    </w:p>
    <w:p>
      <w:pPr>
        <w:pStyle w:val="Heading2"/>
        <w:spacing w:after="140" w:before="240"/>
      </w:pPr>
      <w:r>
        <w:rPr>
          <w:rFonts w:ascii="Arial" w:cs="Arial" w:eastAsia="Arial" w:hAnsi="Arial"/>
          <w:b/>
          <w:bCs/>
          <w:color w:val="1A1F1B"/>
          <w:sz w:val="28"/>
          <w:szCs w:val="28"/>
        </w:rPr>
        <w:t xml:space="preserve">Known issues to expect during your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760"/>
      </w:tblGrid>
      <w:tr>
        <w:trPr>
          <w:tblHeader/>
        </w:trPr>
        <w:tc>
          <w:tcPr>
            <w:tcW w:type="dxa" w:w="11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w:t>
            </w:r>
          </w:p>
        </w:tc>
        <w:tc>
          <w:tcPr>
            <w:tcW w:type="dxa" w:w="35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What you may see</w:t>
            </w:r>
          </w:p>
        </w:tc>
        <w:tc>
          <w:tcPr>
            <w:tcW w:type="dxa" w:w="47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Why</w:t>
            </w:r>
          </w:p>
        </w:tc>
      </w:tr>
      <w:tr>
        <w:tc>
          <w:tcPr>
            <w:tcW w:type="dxa" w:w="11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9</w:t>
            </w:r>
          </w:p>
        </w:tc>
        <w:tc>
          <w:tcPr>
            <w:tcW w:type="dxa" w:w="35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Assessment result is 0 even after adding flows</w:t>
            </w:r>
          </w:p>
        </w:tc>
        <w:tc>
          <w:tcPr>
            <w:tcW w:type="dxa" w:w="47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Flow-processing engine does not yet aggregate flows from leaf components, under investigation.</w:t>
            </w:r>
          </w:p>
        </w:tc>
      </w:tr>
      <w:tr>
        <w:tc>
          <w:tcPr>
            <w:tcW w:type="dxa" w:w="11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API keys missing</w:t>
            </w:r>
          </w:p>
        </w:tc>
        <w:tc>
          <w:tcPr>
            <w:tcW w:type="dxa" w:w="35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Suggest costs does not fill anything</w:t>
            </w:r>
          </w:p>
        </w:tc>
        <w:tc>
          <w:tcPr>
            <w:tcW w:type="dxa" w:w="47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val="false"/>
                <w:bCs w:val="false"/>
                <w:color w:val="1A1F1B"/>
                <w:sz w:val="20"/>
                <w:szCs w:val="20"/>
              </w:rPr>
              <w:t xml:space="preserve">EIA / Metals keys are not on Vercel yet.</w:t>
            </w:r>
          </w:p>
        </w:tc>
      </w:tr>
      <w:tr>
        <w:tc>
          <w:tcPr>
            <w:tcW w:type="dxa" w:w="11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OAuth fallback</w:t>
            </w:r>
          </w:p>
        </w:tc>
        <w:tc>
          <w:tcPr>
            <w:tcW w:type="dxa" w:w="35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Google sign-in shows soon badge</w:t>
            </w:r>
          </w:p>
        </w:tc>
        <w:tc>
          <w:tcPr>
            <w:tcW w:type="dxa" w:w="47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val="false"/>
                <w:bCs w:val="false"/>
                <w:color w:val="1A1F1B"/>
                <w:sz w:val="20"/>
                <w:szCs w:val="20"/>
              </w:rPr>
              <w:t xml:space="preserve">Google Cloud Console redirect URI whitelist pending. Use email and password for now.</w:t>
            </w:r>
          </w:p>
        </w:tc>
      </w:tr>
    </w:tbl>
    <w:p>
      <w:pPr>
        <w:spacing w:after="140"/>
      </w:pPr>
      <w:r>
        <w:rPr>
          <w:rFonts w:ascii="Arial" w:cs="Arial" w:eastAsia="Arial" w:hAnsi="Arial"/>
          <w:color w:val="1A1F1B"/>
          <w:sz w:val="22"/>
          <w:szCs w:val="22"/>
        </w:rPr>
        <w:t xml:space="preserve">Everything else should work as described.</w:t>
      </w:r>
    </w:p>
    <w:p>
      <w:pPr>
        <w:pBdr>
          <w:bottom w:val="single" w:color="D5DCD7" w:sz="6" w:space="1"/>
        </w:pBdr>
        <w:spacing w:after="200" w:before="100"/>
      </w:pPr>
      <w:r>
        <w:t xml:space="preserve"/>
      </w:r>
    </w:p>
    <w:p>
      <w:pPr>
        <w:pBdr>
          <w:left w:val="single" w:color="006A44" w:sz="18" w:space="4"/>
        </w:pBdr>
        <w:shd w:fill="EAF1ED" w:color="auto" w:val="clear"/>
        <w:spacing w:after="140" w:before="100"/>
        <w:ind w:left="120" w:right="120"/>
      </w:pPr>
      <w:r>
        <w:rPr>
          <w:rFonts w:ascii="Arial" w:cs="Arial" w:eastAsia="Arial" w:hAnsi="Arial"/>
          <w:i/>
          <w:iCs/>
          <w:color w:val="006A44"/>
          <w:sz w:val="20"/>
          <w:szCs w:val="20"/>
        </w:rPr>
        <w:t xml:space="preserve">File this doc with your QA process. Print or PDF this page. Walk through each step with a fresh browser session. Tick off each Expected line as you go. Any deviation is a bug. Use the sample data and hand-calculated math as your acceptance criteria.</w:t>
      </w:r>
    </w:p>
    <w:p>
      <w:pPr>
        <w:spacing w:before="240"/>
        <w:jc w:val="center"/>
      </w:pPr>
      <w:r>
        <w:rPr>
          <w:rFonts w:ascii="Arial" w:cs="Arial" w:eastAsia="Arial" w:hAnsi="Arial"/>
          <w:b/>
          <w:bCs/>
          <w:i/>
          <w:iCs/>
          <w:color w:val="006A44"/>
          <w:sz w:val="28"/>
          <w:szCs w:val="28"/>
        </w:rPr>
        <w:t xml:space="preserve">Welcome to LCAPIX.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38F"/>
        <w:sz w:val="16"/>
        <w:szCs w:val="16"/>
      </w:rPr>
      <w:t xml:space="preserve">Page </w:t>
    </w:r>
    <w:r>
      <w:rPr>
        <w:rFonts w:ascii="Arial" w:cs="Arial" w:eastAsia="Arial" w:hAnsi="Arial"/>
        <w:color w:val="8A938F"/>
        <w:sz w:val="16"/>
        <w:szCs w:val="16"/>
      </w:rPr>
      <w:fldChar w:fldCharType="begin"/>
      <w:instrText xml:space="preserve">PAGE</w:instrText>
      <w:fldChar w:fldCharType="separate"/>
      <w:fldChar w:fldCharType="end"/>
    </w:r>
    <w:r>
      <w:rPr>
        <w:rFonts w:ascii="Arial" w:cs="Arial" w:eastAsia="Arial" w:hAnsi="Arial"/>
        <w:color w:val="8A938F"/>
        <w:sz w:val="16"/>
        <w:szCs w:val="16"/>
      </w:rPr>
      <w:t xml:space="preserve"> of </w:t>
    </w:r>
    <w:r>
      <w:rPr>
        <w:rFonts w:ascii="Arial" w:cs="Arial" w:eastAsia="Arial" w:hAnsi="Arial"/>
        <w:color w:val="8A938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38F"/>
        <w:sz w:val="16"/>
        <w:szCs w:val="16"/>
      </w:rPr>
      <w:t xml:space="preserve">LCAPIX, Customer zero-to-one journey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A1F1B"/>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A1F1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F1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2026-06-03T03:29:13.276Z</dcterms:created>
  <dcterms:modified xsi:type="dcterms:W3CDTF">2026-06-03T03:29:13.277Z</dcterms:modified>
</cp:coreProperties>
</file>

<file path=docProps/custom.xml><?xml version="1.0" encoding="utf-8"?>
<Properties xmlns="http://schemas.openxmlformats.org/officeDocument/2006/custom-properties" xmlns:vt="http://schemas.openxmlformats.org/officeDocument/2006/docPropsVTypes"/>
</file>