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Ex1</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Prove the Hellmann-Feynman theorem</w:t>
      </w:r>
    </w:p>
    <w:p>
      <w:pPr>
        <w:pStyle w:val="BodyText"/>
      </w:pPr>
      <w:r>
        <w:t xml:space="preserve">Your answer here</w:t>
      </w:r>
    </w:p>
    <w:p>
      <w:pPr>
        <w:pStyle w:val="BodyText"/>
      </w:pPr>
      <w:r>
        <w:rPr>
          <w:bCs/>
          <w:b/>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Cs/>
          <w:b/>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Cs/>
          <w:b/>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Cs/>
          <w:b/>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Cs/>
          <w:b/>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Cs/>
          <w:b/>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Cs/>
          <w:i/>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2024-03-19T10:53:24Z</dcterms:created>
  <dcterms:modified xsi:type="dcterms:W3CDTF">2024-03-19T10:53:24Z</dcterms:modified>
</cp:coreProperties>
</file>

<file path=docProps/custom.xml><?xml version="1.0" encoding="utf-8"?>
<Properties xmlns="http://schemas.openxmlformats.org/officeDocument/2006/custom-properties" xmlns:vt="http://schemas.openxmlformats.org/officeDocument/2006/docPropsVTypes"/>
</file>