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Ex1</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Prove the Hellmann-Feynman theorem</w:t>
      </w:r>
    </w:p>
    <w:p>
      <w:pPr>
        <w:pStyle w:val="BodyText"/>
      </w:pPr>
      <w:r>
        <w:t xml:space="preserve">Your answer here</w:t>
      </w:r>
    </w:p>
    <w:p>
      <w:pPr>
        <w:pStyle w:val="BodyText"/>
      </w:pPr>
      <w:r>
        <w:rPr>
          <w:b/>
          <w:bCs/>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
          <w:bCs/>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
          <w:bCs/>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
          <w:bCs/>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
          <w:bCs/>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
          <w:bCs/>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
          <w:iCs/>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2025-04-28T09:32:47Z</dcterms:created>
  <dcterms:modified xsi:type="dcterms:W3CDTF">2025-04-28T09:32:47Z</dcterms:modified>
</cp:coreProperties>
</file>

<file path=docProps/custom.xml><?xml version="1.0" encoding="utf-8"?>
<Properties xmlns="http://schemas.openxmlformats.org/officeDocument/2006/custom-properties" xmlns:vt="http://schemas.openxmlformats.org/officeDocument/2006/docPropsVTypes"/>
</file>