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Ex2</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A quantum harmonic oscillator has energy levels:</w:t>
      </w:r>
      <w:r>
        <w:t xml:space="preserve"> </w:t>
      </w:r>
      <m:oMath>
        <m:sSub>
          <m:e>
            <m:r>
              <m:t>E</m:t>
            </m:r>
          </m:e>
          <m:sub>
            <m:r>
              <m:t>n</m:t>
            </m:r>
          </m:sub>
        </m:sSub>
        <m:r>
          <m:rPr>
            <m:sty m:val="p"/>
          </m:rPr>
          <m:t>=</m:t>
        </m:r>
        <m:d>
          <m:dPr>
            <m:begChr m:val="("/>
            <m:endChr m:val=")"/>
            <m:sepChr m:val=""/>
            <m:grow/>
          </m:dPr>
          <m:e>
            <m:r>
              <m:t>n</m:t>
            </m:r>
            <m:r>
              <m:rPr>
                <m:sty m:val="p"/>
              </m:rPr>
              <m:t>+</m:t>
            </m:r>
            <m:f>
              <m:fPr>
                <m:type m:val="bar"/>
              </m:fPr>
              <m:num>
                <m:r>
                  <m:t>1</m:t>
                </m:r>
              </m:num>
              <m:den>
                <m:r>
                  <m:t>2</m:t>
                </m:r>
              </m:den>
            </m:f>
          </m:e>
        </m:d>
        <m:r>
          <m:rPr>
            <m:sty m:val="p"/>
          </m:rPr>
          <m:t>ℏ</m:t>
        </m:r>
        <m:r>
          <m:t>ω</m:t>
        </m:r>
      </m:oMath>
      <w:r>
        <w:t xml:space="preserve">.</w:t>
      </w:r>
    </w:p>
    <w:p>
      <w:pPr>
        <w:pStyle w:val="BodyText"/>
      </w:pPr>
      <w:r>
        <w:t xml:space="preserve">Write down the corresponding canonical partition function</w:t>
      </w:r>
      <w:r>
        <w:t xml:space="preserve"> </w:t>
      </w:r>
      <m:oMath>
        <m:r>
          <m:t>Z</m:t>
        </m:r>
        <m:d>
          <m:dPr>
            <m:begChr m:val="("/>
            <m:endChr m:val=")"/>
            <m:sepChr m:val=""/>
            <m:grow/>
          </m:dPr>
          <m:e>
            <m:r>
              <m:t>N</m:t>
            </m:r>
            <m:r>
              <m:rPr>
                <m:sty m:val="p"/>
              </m:rPr>
              <m:t>,</m:t>
            </m:r>
            <m:r>
              <m:t>V</m:t>
            </m:r>
            <m:r>
              <m:rPr>
                <m:sty m:val="p"/>
              </m:rPr>
              <m:t>,</m:t>
            </m:r>
            <m:r>
              <m:t>T</m:t>
            </m:r>
          </m:e>
        </m:d>
      </m:oMath>
      <w:r>
        <w:t xml:space="preserve">. Note that in this case, the partition function forms an</w:t>
      </w:r>
      <w:r>
        <w:t xml:space="preserve"> </w:t>
      </w:r>
      <w:r>
        <w:t xml:space="preserve">infinite geometric series, and can be rewritten in terms of the</w:t>
      </w:r>
      <w:r>
        <w:t xml:space="preserve"> </w:t>
      </w:r>
      <m:oMath>
        <m:r>
          <m:t>n</m:t>
        </m:r>
        <m:r>
          <m:rPr>
            <m:sty m:val="p"/>
          </m:rPr>
          <m:t>→</m:t>
        </m:r>
        <m:r>
          <m:rPr>
            <m:sty m:val="p"/>
          </m:rPr>
          <m:t>∞</m:t>
        </m:r>
      </m:oMath>
      <w:r>
        <w:t xml:space="preserve"> </w:t>
      </w:r>
      <w:r>
        <w:t xml:space="preserve">limit of the series.</w:t>
      </w:r>
      <w:r>
        <w:t xml:space="preserve"> </w:t>
      </w:r>
      <w:r>
        <w:t xml:space="preserve">From the result you obtain, derive the expectation value of the energy.</w:t>
      </w:r>
      <w:r>
        <w:t xml:space="preserve"> </w:t>
      </w:r>
      <w:r>
        <w:t xml:space="preserve">Use the limit of the geometric series for</w:t>
      </w:r>
      <w:r>
        <w:t xml:space="preserve"> </w:t>
      </w:r>
      <m:oMath>
        <m:r>
          <m:t>Z</m:t>
        </m:r>
      </m:oMath>
      <w:r>
        <w:t xml:space="preserve">, rather than the sum-based form.</w:t>
      </w:r>
    </w:p>
    <w:p>
      <w:pPr>
        <w:pStyle w:val="BodyText"/>
      </w:pPr>
      <w:r>
        <w:t xml:space="preserve">Your answer here</w:t>
      </w:r>
    </w:p>
    <w:p>
      <w:pPr>
        <w:pStyle w:val="BodyText"/>
      </w:pPr>
      <w:r>
        <w:rPr>
          <w:bCs/>
          <w:b/>
        </w:rPr>
        <w:t xml:space="preserve">Exercise 2- Bonus</w:t>
      </w:r>
      <w:r>
        <w:br/>
      </w:r>
      <w:r>
        <w:t xml:space="preserve">Show that, based on (</w:t>
      </w:r>
      <w:hyperlink w:anchor="thermodynamic_properties">
        <w:r>
          <w:rPr>
            <w:rStyle w:val="Hyperlink"/>
          </w:rPr>
          <w:t xml:space="preserve">[thermodynamic_properties]</w:t>
        </w:r>
      </w:hyperlink>
      <w:r>
        <w:t xml:space="preserve">), the canonical partition function (</w:t>
      </w:r>
      <w:hyperlink w:anchor="classical_probability">
        <w:r>
          <w:rPr>
            <w:rStyle w:val="Hyperlink"/>
          </w:rPr>
          <w:t xml:space="preserve">[classical_probability]</w:t>
        </w:r>
      </w:hyperlink>
      <w:r>
        <w:t xml:space="preserve">) is obtained from (</w:t>
      </w:r>
      <w:hyperlink w:anchor="canonical_density_matrix">
        <w:r>
          <w:rPr>
            <w:rStyle w:val="Hyperlink"/>
          </w:rPr>
          <w:t xml:space="preserve">[canonical_density_matrix]</w:t>
        </w:r>
      </w:hyperlink>
      <w:r>
        <w:t xml:space="preserve">) if the Hamiltonian admits an orthonormal eigenbasis</w:t>
      </w:r>
      <w:r>
        <w:t xml:space="preserve"> </w:t>
      </w:r>
      <w:r>
        <w:t xml:space="preserve">$\left\{\ket{\Psi_i}\right\}$</w:t>
      </w:r>
      <w:r>
        <w:t xml:space="preserve"> </w:t>
      </w:r>
      <w:r>
        <w:t xml:space="preserve">and the commutator</w:t>
      </w:r>
      <w:r>
        <w:t xml:space="preserve"> </w:t>
      </w:r>
      <m:oMath>
        <m:d>
          <m:dPr>
            <m:begChr m:val="["/>
            <m:endChr m:val="]"/>
            <m:sepChr m:val=""/>
            <m:grow/>
          </m:dPr>
          <m:e>
            <m:acc>
              <m:accPr>
                <m:chr m:val="̂"/>
              </m:accPr>
              <m:e>
                <m:r>
                  <m:rPr>
                    <m:sty m:val="p"/>
                  </m:rPr>
                  <m:t>H</m:t>
                </m:r>
              </m:e>
            </m:acc>
            <m:r>
              <m:rPr>
                <m:sty m:val="p"/>
              </m:rPr>
              <m:t>,</m:t>
            </m:r>
            <m:acc>
              <m:accPr>
                <m:chr m:val="̂"/>
              </m:accPr>
              <m:e>
                <m:r>
                  <m:rPr>
                    <m:sty m:val="p"/>
                  </m:rPr>
                  <m:t>O</m:t>
                </m:r>
              </m:e>
            </m:acc>
          </m:e>
        </m:d>
      </m:oMath>
      <w:r>
        <w:t xml:space="preserve"> </w:t>
      </w:r>
      <w:r>
        <w:t xml:space="preserve">vanishes. (There is no need to use the commutator itself, applying conditions that follow from vanishing commutators is sufficient.)</w:t>
      </w:r>
    </w:p>
    <w:p>
      <w:pPr>
        <w:pStyle w:val="BodyText"/>
      </w:pPr>
      <w:r>
        <w:t xml:space="preserve">Your answer here</w:t>
      </w:r>
    </w:p>
    <w:p>
      <w:pPr>
        <w:pStyle w:val="BodyText"/>
      </w:pPr>
      <w:r>
        <w:rPr>
          <w:bCs/>
          <w:b/>
        </w:rPr>
        <w:t xml:space="preserve">Exercise 3 - Bonus</w:t>
      </w:r>
      <w:r>
        <w:br/>
      </w:r>
      <w:r>
        <w:t xml:space="preserve">Show from (</w:t>
      </w:r>
      <w:hyperlink w:anchor="density_operator">
        <w:r>
          <w:rPr>
            <w:rStyle w:val="Hyperlink"/>
          </w:rPr>
          <w:t xml:space="preserve">[density_operator]</w:t>
        </w:r>
      </w:hyperlink>
      <w:r>
        <w:t xml:space="preserve">) and (</w:t>
      </w:r>
      <w:hyperlink w:anchor="canonical_density_matrix">
        <w:r>
          <w:rPr>
            <w:rStyle w:val="Hyperlink"/>
          </w:rPr>
          <w:t xml:space="preserve">[canonical_density_matrix]</w:t>
        </w:r>
      </w:hyperlink>
      <w:r>
        <w:t xml:space="preserve">) that the</w:t>
      </w:r>
      <w:r>
        <w:t xml:space="preserve"> </w:t>
      </w:r>
      <m:oMath>
        <m:sSub>
          <m:e>
            <m:r>
              <m:t>p</m:t>
            </m:r>
          </m:e>
          <m:sub>
            <m:r>
              <m:t>i</m:t>
            </m:r>
          </m:sub>
        </m:sSub>
      </m:oMath>
      <w:r>
        <w:t xml:space="preserve"> </w:t>
      </w:r>
      <w:r>
        <w:t xml:space="preserve">are indeed equal to</w:t>
      </w:r>
      <w:r>
        <w:t xml:space="preserve"> </w:t>
      </w:r>
      <m:oMath>
        <m:f>
          <m:fPr>
            <m:type m:val="bar"/>
          </m:fPr>
          <m:num>
            <m:r>
              <m:t>1</m:t>
            </m:r>
          </m:num>
          <m:den>
            <m:r>
              <m:t>Z</m:t>
            </m:r>
          </m:den>
        </m:f>
        <m:sSup>
          <m:e>
            <m:r>
              <m:t>e</m:t>
            </m:r>
          </m:e>
          <m:sup>
            <m:r>
              <m:rPr>
                <m:sty m:val="p"/>
              </m:rPr>
              <m:t>−</m:t>
            </m:r>
            <m:r>
              <m:t>β</m:t>
            </m:r>
            <m:sSub>
              <m:e>
                <m:r>
                  <m:t>E</m:t>
                </m:r>
              </m:e>
              <m:sub>
                <m:r>
                  <m:t>i</m:t>
                </m:r>
              </m:sub>
            </m:sSub>
          </m:sup>
        </m:sSup>
      </m:oMath>
      <w:r>
        <w:t xml:space="preserve"> </w:t>
      </w:r>
      <w:r>
        <w:t xml:space="preserve">for pure states, given that there exists a common eigenbasis</w:t>
      </w:r>
      <w:r>
        <w:t xml:space="preserve"> </w:t>
      </w:r>
      <w:r>
        <w:t xml:space="preserve">$\left\{\ket{\Psi_i}\right\}$</w:t>
      </w:r>
      <w:r>
        <w:t xml:space="preserve"> </w:t>
      </w:r>
      <w:r>
        <w:t xml:space="preserve">to the total Hamiltonian and explain the origin of this restriction.</w:t>
      </w:r>
      <w:r>
        <w:t xml:space="preserve"> </w:t>
      </w:r>
      <w:r>
        <w:t xml:space="preserve">Explain why the density operator and the expression for the expectation value of an observable assume a general form ((</w:t>
      </w:r>
      <w:hyperlink w:anchor="canonical_density_matrix">
        <w:r>
          <w:rPr>
            <w:rStyle w:val="Hyperlink"/>
          </w:rPr>
          <w:t xml:space="preserve">[canonical_density_matrix]</w:t>
        </w:r>
      </w:hyperlink>
      <w:r>
        <w:t xml:space="preserve">) and (</w:t>
      </w:r>
      <w:hyperlink w:anchor="thermodynamic_properties">
        <w:r>
          <w:rPr>
            <w:rStyle w:val="Hyperlink"/>
          </w:rPr>
          <w:t xml:space="preserve">[thermodynamic_properties]</w:t>
        </w:r>
      </w:hyperlink>
      <w:r>
        <w:t xml:space="preserve">)), rather than being defined directly in terms of (</w:t>
      </w:r>
      <w:hyperlink w:anchor="canonical_density_matrix_recast">
        <w:r>
          <w:rPr>
            <w:rStyle w:val="Hyperlink"/>
          </w:rPr>
          <w:t xml:space="preserve">[canonical_density_matrix_recast]</w:t>
        </w:r>
      </w:hyperlink>
      <w:r>
        <w:t xml:space="preserve">) and (</w:t>
      </w:r>
      <w:hyperlink w:anchor="classical_probability">
        <w:r>
          <w:rPr>
            <w:rStyle w:val="Hyperlink"/>
          </w:rPr>
          <w:t xml:space="preserve">[classical_probability]</w:t>
        </w:r>
      </w:hyperlink>
      <w:r>
        <w:t xml:space="preserve">).</w:t>
      </w:r>
      <w:r>
        <w:t xml:space="preserve"> </w:t>
      </w:r>
      <w:r>
        <w:t xml:space="preserve">(You may link your answer to the assumptions made in the previous question).</w:t>
      </w:r>
    </w:p>
    <w:p>
      <w:pPr>
        <w:pStyle w:val="BodyText"/>
      </w:pPr>
      <w:r>
        <w:t xml:space="preserve">Your answer here</w:t>
      </w:r>
    </w:p>
    <w:p>
      <w:pPr>
        <w:pStyle w:val="BodyText"/>
      </w:pPr>
      <w:r>
        <w:rPr>
          <w:bCs/>
          <w:b/>
        </w:rPr>
        <w:t xml:space="preserve">Exercise 4</w:t>
      </w:r>
      <w:r>
        <w:br/>
      </w:r>
      <w:r>
        <w:t xml:space="preserve">Derive the Boltzmann distribution, (</w:t>
      </w:r>
      <w:hyperlink w:anchor="boltzmann">
        <w:r>
          <w:rPr>
            <w:rStyle w:val="Hyperlink"/>
          </w:rPr>
          <w:t xml:space="preserve">[boltzmann]</w:t>
        </w:r>
      </w:hyperlink>
      <w:r>
        <w:t xml:space="preserve">), from (</w:t>
      </w:r>
      <w:hyperlink w:anchor="recast_expectation_value">
        <w:r>
          <w:rPr>
            <w:rStyle w:val="Hyperlink"/>
          </w:rPr>
          <w:t xml:space="preserve">[recast_expectation_value]</w:t>
        </w:r>
      </w:hyperlink>
      <w:r>
        <w:t xml:space="preserve">), using the expectation value of the particle number in state</w:t>
      </w:r>
      <w:r>
        <w:t xml:space="preserve"> </w:t>
      </w:r>
      <m:oMath>
        <m:r>
          <m:t>s</m:t>
        </m:r>
      </m:oMath>
      <w:r>
        <w:t xml:space="preserve">,</w:t>
      </w:r>
      <w:r>
        <w:t xml:space="preserve"> </w:t>
      </w:r>
      <m:oMath>
        <m:sSub>
          <m:e>
            <m:r>
              <m:t>N</m:t>
            </m:r>
          </m:e>
          <m:sub>
            <m:r>
              <m:t>s</m:t>
            </m:r>
          </m:sub>
        </m:sSub>
      </m:oMath>
      <w:r>
        <w:t xml:space="preserve">, as observable.</w:t>
      </w:r>
      <w:r>
        <w:t xml:space="preserve"> </w:t>
      </w:r>
      <w:r>
        <w:rPr>
          <w:iCs/>
          <w:i/>
        </w:rPr>
        <w:t xml:space="preserve">Hint</w:t>
      </w:r>
      <w:r>
        <w:t xml:space="preserve">: It may be useful to remember that the ensamble average in (</w:t>
      </w:r>
      <w:hyperlink w:anchor="recast_expectation_value">
        <w:r>
          <w:rPr>
            <w:rStyle w:val="Hyperlink"/>
          </w:rPr>
          <w:t xml:space="preserve">[recast_expectation_value]</w:t>
        </w:r>
      </w:hyperlink>
      <w:r>
        <w:t xml:space="preserve">) can be always expressed also as the probability of being in that state, times their value:</w:t>
      </w:r>
      <w:r>
        <w:t xml:space="preserve"> </w:t>
      </w:r>
      <m:oMath>
        <m:d>
          <m:dPr>
            <m:begChr m:val="⟨"/>
            <m:endChr m:val="⟩"/>
            <m:sepChr m:val=""/>
            <m:grow/>
          </m:dPr>
          <m:e>
            <m:sSub>
              <m:e>
                <m:r>
                  <m:t>O</m:t>
                </m:r>
              </m:e>
              <m:sub>
                <m:r>
                  <m:t>s</m:t>
                </m:r>
              </m:sub>
            </m:sSub>
          </m:e>
        </m:d>
        <m:r>
          <m:rPr>
            <m:sty m:val="p"/>
          </m:rPr>
          <m:t>=</m:t>
        </m:r>
        <m:sSub>
          <m:e>
            <m:r>
              <m:t>p</m:t>
            </m:r>
          </m:e>
          <m:sub>
            <m:r>
              <m:t>s</m:t>
            </m:r>
          </m:sub>
        </m:sSub>
        <m:sSub>
          <m:e>
            <m:r>
              <m:t>O</m:t>
            </m:r>
          </m:e>
          <m:sub>
            <m:r>
              <m:t>s</m:t>
            </m:r>
          </m:sub>
        </m:sSub>
      </m:oMath>
      <w:r>
        <w:t xml:space="preserve">.</w:t>
      </w:r>
    </w:p>
    <w:p>
      <w:pPr>
        <w:pStyle w:val="BodyText"/>
      </w:pPr>
      <w:r>
        <w:t xml:space="preserve">Your answer here</w:t>
      </w:r>
    </w:p>
    <w:p>
      <w:pPr>
        <w:pStyle w:val="BodyText"/>
      </w:pPr>
      <w:r>
        <w:rPr>
          <w:bCs/>
          <w:b/>
        </w:rPr>
        <w:t xml:space="preserve">Exercise 5</w:t>
      </w:r>
      <w:r>
        <w:br/>
      </w:r>
      <w:r>
        <w:t xml:space="preserve">Modify the code below to calculate the occupancy of each state within the harmonic oscillator system.</w:t>
      </w:r>
      <w:r>
        <w:t xml:space="preserve"> </w:t>
      </w:r>
      <w:r>
        <w:t xml:space="preserve">Present the entire code file within your report and comment upon the main features using</w:t>
      </w:r>
      <w:r>
        <w:t xml:space="preserve"> </w:t>
      </w:r>
      <w:r>
        <w:rPr>
          <w:rStyle w:val="VerbatimChar"/>
        </w:rPr>
        <w:t xml:space="preserve">#</w:t>
      </w:r>
      <w:r>
        <w:t xml:space="preserve">.</w:t>
      </w:r>
      <w:r>
        <w:t xml:space="preserve"> </w:t>
      </w:r>
      <w:r>
        <w:t xml:space="preserve">Consider different (</w:t>
      </w:r>
      <w:r>
        <w:rPr>
          <w:bCs/>
          <w:b/>
        </w:rPr>
        <w:t xml:space="preserve">reduced</w:t>
      </w:r>
      <w:r>
        <w:t xml:space="preserve">) temperatures, 0.5, 1, 2 and 3, and energy levels set up to 10 (recall</w:t>
      </w:r>
      <w:r>
        <w:t xml:space="preserve"> </w:t>
      </w:r>
      <m:oMath>
        <m:r>
          <m:t>ϵ</m:t>
        </m:r>
        <m:r>
          <m:rPr>
            <m:sty m:val="p"/>
          </m:rPr>
          <m:t>=</m:t>
        </m:r>
      </m:oMath>
      <w:r>
        <w:t xml:space="preserve"> </w:t>
      </w:r>
      <w:r>
        <w:t xml:space="preserve">integer values ).</w:t>
      </w:r>
      <w:r>
        <w:t xml:space="preserve"> </w:t>
      </w:r>
      <w:r>
        <w:t xml:space="preserve">You will implement different</w:t>
      </w:r>
      <w:r>
        <w:t xml:space="preserve"> </w:t>
      </w:r>
      <w:r>
        <w:rPr>
          <w:rStyle w:val="VerbatimChar"/>
        </w:rPr>
        <w:t xml:space="preserve">StateOccupancy()</w:t>
      </w:r>
      <w:r>
        <w:t xml:space="preserve"> </w:t>
      </w:r>
      <w:r>
        <w:t xml:space="preserve">functions, correspondng to different degeneracies. Note that in the degeneracy cases like</w:t>
      </w:r>
      <w:r>
        <w:t xml:space="preserve"> </w:t>
      </w:r>
      <m:oMath>
        <m:r>
          <m:t>s</m:t>
        </m:r>
        <m:r>
          <m:rPr>
            <m:sty m:val="p"/>
          </m:rPr>
          <m:t>+</m:t>
        </m:r>
        <m:r>
          <m:t>1</m:t>
        </m:r>
      </m:oMath>
      <w:r>
        <w:t xml:space="preserve">,</w:t>
      </w:r>
      <w:r>
        <w:t xml:space="preserve"> </w:t>
      </w:r>
      <m:oMath>
        <m:r>
          <m:t>s</m:t>
        </m:r>
      </m:oMath>
      <w:r>
        <w:t xml:space="preserve"> </w:t>
      </w:r>
      <w:r>
        <w:t xml:space="preserve">is</w:t>
      </w:r>
      <w:r>
        <w:t xml:space="preserve"> </w:t>
      </w:r>
      <w:r>
        <w:t xml:space="preserve">the index of the energy level, and its degeneracy is</w:t>
      </w:r>
      <w:r>
        <w:t xml:space="preserve"> </w:t>
      </w:r>
      <m:oMath>
        <m:d>
          <m:dPr>
            <m:begChr m:val="("/>
            <m:endChr m:val=")"/>
            <m:sepChr m:val=""/>
            <m:grow/>
          </m:dPr>
          <m:e>
            <m:r>
              <m:t>s</m:t>
            </m:r>
            <m:r>
              <m:rPr>
                <m:sty m:val="p"/>
              </m:rPr>
              <m:t>+</m:t>
            </m:r>
            <m:r>
              <m:t>X</m:t>
            </m:r>
          </m:e>
        </m:d>
      </m:oMath>
      <w:r>
        <w:t xml:space="preserve">, where</w:t>
      </w:r>
      <w:r>
        <w:t xml:space="preserve"> </w:t>
      </w:r>
      <m:oMath>
        <m:r>
          <m:t>X</m:t>
        </m:r>
      </m:oMath>
      <w:r>
        <w:t xml:space="preserve"> </w:t>
      </w:r>
      <w:r>
        <w:t xml:space="preserve">assumes given values in this Exercise.</w:t>
      </w:r>
    </w:p>
    <w:p>
      <w:pPr>
        <w:pStyle w:val="BodyText"/>
      </w:pPr>
      <w:r>
        <w:t xml:space="preserve">Your answer here</w:t>
      </w:r>
    </w:p>
    <w:p>
      <w:pPr>
        <w:pStyle w:val="BodyText"/>
      </w:pPr>
      <w:r>
        <w:rPr>
          <w:bCs/>
          <w:b/>
        </w:rPr>
        <w:t xml:space="preserve">Exercise 6</w:t>
      </w:r>
      <w:r>
        <w:br/>
      </w:r>
      <w:r>
        <w:t xml:space="preserve">What do you note as the temperature is increased in terms of state occupancy? Does it make sense physically?</w:t>
      </w:r>
    </w:p>
    <w:p>
      <w:pPr>
        <w:pStyle w:val="BodyText"/>
      </w:pPr>
      <w:r>
        <w:t xml:space="preserve">Your answer here</w:t>
      </w:r>
    </w:p>
    <w:p>
      <w:pPr>
        <w:pStyle w:val="BodyText"/>
      </w:pPr>
      <w:r>
        <w:rPr>
          <w:bCs/>
          <w:b/>
        </w:rPr>
        <w:t xml:space="preserve">Exercise 7</w:t>
      </w:r>
      <w:r>
        <w:br/>
      </w:r>
      <w:r>
        <w:t xml:space="preserve">Compare different degeneracies (no degeneracy,</w:t>
      </w:r>
      <w:r>
        <w:t xml:space="preserve"> </w:t>
      </w:r>
      <m:oMath>
        <m:r>
          <m:t>s</m:t>
        </m:r>
        <m:r>
          <m:rPr>
            <m:sty m:val="p"/>
          </m:rPr>
          <m:t>+</m:t>
        </m:r>
        <m:r>
          <m:t>1</m:t>
        </m:r>
      </m:oMath>
      <w:r>
        <w:t xml:space="preserve">, and</w:t>
      </w:r>
      <w:r>
        <w:t xml:space="preserve"> </w:t>
      </w:r>
      <m:oMath>
        <m:r>
          <m:t>s</m:t>
        </m:r>
        <m:r>
          <m:rPr>
            <m:sty m:val="p"/>
          </m:rPr>
          <m:t>+</m:t>
        </m:r>
        <m:r>
          <m:t>2</m:t>
        </m:r>
      </m:oMath>
      <w:r>
        <w:t xml:space="preserve">) for different reduced temperatures. What can you infer?</w:t>
      </w:r>
    </w:p>
    <w:p>
      <w:pPr>
        <w:pStyle w:val="BodyText"/>
      </w:pPr>
      <w:r>
        <w:t xml:space="preserve">Your answer here</w:t>
      </w:r>
    </w:p>
    <w:p>
      <w:pPr>
        <w:pStyle w:val="BodyText"/>
      </w:pPr>
      <w:r>
        <w:rPr>
          <w:bCs/>
          <w:b/>
        </w:rPr>
        <w:t xml:space="preserve">Exercise 8</w:t>
      </w:r>
      <w:r>
        <w:br/>
      </w:r>
      <w:r>
        <w:t xml:space="preserve">Modify your program such that the state occupancy and partition</w:t>
      </w:r>
      <w:r>
        <w:t xml:space="preserve"> </w:t>
      </w:r>
      <w:r>
        <w:t xml:space="preserve">function are calculated for a linear rotor with moment of inertia</w:t>
      </w:r>
      <w:r>
        <w:t xml:space="preserve"> </w:t>
      </w:r>
      <m:oMath>
        <m:r>
          <m:t>I</m:t>
        </m:r>
      </m:oMath>
      <w:r>
        <w:t xml:space="preserve"> </w:t>
      </w:r>
      <w:r>
        <w:t xml:space="preserve">(copy your code in the cell below, and adapt it for the linear rotor case. Present also this code within your report). Compare your results at different temperatures with the approximate result (</w:t>
      </w:r>
      <w:hyperlink w:anchor="approximateresult">
        <w:r>
          <w:rPr>
            <w:rStyle w:val="Hyperlink"/>
          </w:rPr>
          <w:t xml:space="preserve">[approximateresult]</w:t>
        </w:r>
      </w:hyperlink>
      <w:r>
        <w:t xml:space="preserve">).</w:t>
      </w:r>
    </w:p>
    <w:p>
      <w:pPr>
        <w:pStyle w:val="BodyText"/>
      </w:pPr>
      <w:r>
        <w:rPr>
          <w:iCs/>
          <w:i/>
        </w:rPr>
        <w:t xml:space="preserve">Hint</w:t>
      </w:r>
      <w:r>
        <w:t xml:space="preserve">: considering more than four reduced temperatures can be a good idea, you can easily obtain evenly spaced numbers over a specified interval using the numpy function</w:t>
      </w:r>
      <w:r>
        <w:t xml:space="preserve"> </w:t>
      </w:r>
      <w:r>
        <w:rPr>
          <w:rStyle w:val="VerbatimChar"/>
        </w:rPr>
        <w:t xml:space="preserve">np.linspace(start, stop, number_of_points)</w:t>
      </w:r>
      <w:r>
        <w:t xml:space="preserve">.</w:t>
      </w:r>
      <w:r>
        <w:t xml:space="preserve"> </w:t>
      </w:r>
      <w:r>
        <w:t xml:space="preserve">Note that if the higher temperatures considered are far from the highest temperature which was considered so far, more energy levels may become accessible to the system, and you should keep them into account.</w:t>
      </w:r>
    </w:p>
    <w:p>
      <w:pPr>
        <w:pStyle w:val="BodyText"/>
      </w:pPr>
      <w:r>
        <w:t xml:space="preserve">Is this an approximated result for which temperature limit?</w:t>
      </w:r>
    </w:p>
    <w:p>
      <w:pPr>
        <w:pStyle w:val="BodyText"/>
      </w:pPr>
      <m:oMathPara>
        <m:oMathParaPr>
          <m:jc m:val="center"/>
        </m:oMathParaPr>
        <m:oMath>
          <m:r>
            <m:t>Z</m:t>
          </m:r>
          <m:r>
            <m:rPr>
              <m:sty m:val="p"/>
            </m:rPr>
            <m:t>=</m:t>
          </m:r>
          <m:f>
            <m:fPr>
              <m:type m:val="bar"/>
            </m:fPr>
            <m:num>
              <m:r>
                <m:t>2</m:t>
              </m:r>
              <m:r>
                <m:t>I</m:t>
              </m:r>
            </m:num>
            <m:den>
              <m:r>
                <m:t>β</m:t>
              </m:r>
              <m:sSup>
                <m:e>
                  <m:r>
                    <m:rPr>
                      <m:sty m:val="p"/>
                    </m:rPr>
                    <m:t>ℏ</m:t>
                  </m:r>
                </m:e>
                <m:sup>
                  <m:r>
                    <m:t>2</m:t>
                  </m:r>
                </m:sup>
              </m:sSup>
            </m:den>
          </m:f>
        </m:oMath>
      </m:oMathPara>
    </w:p>
    <w:p>
      <w:pPr>
        <w:pStyle w:val="FirstParagraph"/>
      </w:pPr>
      <w:r>
        <w:t xml:space="preserve">using</w:t>
      </w:r>
    </w:p>
    <w:p>
      <w:pPr>
        <w:pStyle w:val="BodyText"/>
      </w:pPr>
      <m:oMathPara>
        <m:oMathParaPr>
          <m:jc m:val="center"/>
        </m:oMathParaPr>
        <m:oMath>
          <m:f>
            <m:fPr>
              <m:type m:val="bar"/>
            </m:fPr>
            <m:num>
              <m:r>
                <m:t>I</m:t>
              </m:r>
            </m:num>
            <m:den>
              <m:sSup>
                <m:e>
                  <m:r>
                    <m:rPr>
                      <m:sty m:val="p"/>
                    </m:rPr>
                    <m:t>ℏ</m:t>
                  </m:r>
                </m:e>
                <m:sup>
                  <m:r>
                    <m:t>2</m:t>
                  </m:r>
                </m:sup>
              </m:sSup>
            </m:den>
          </m:f>
          <m:r>
            <m:rPr>
              <m:sty m:val="p"/>
            </m:rPr>
            <m:t>=</m:t>
          </m:r>
          <m:r>
            <m:t>1</m:t>
          </m:r>
          <m:r>
            <m:rPr>
              <m:sty m:val="p"/>
            </m:rPr>
            <m:t>.</m:t>
          </m:r>
        </m:oMath>
      </m:oMathPara>
    </w:p>
    <w:p>
      <w:pPr>
        <w:pStyle w:val="FirstParagraph"/>
      </w:pPr>
      <w:r>
        <w:t xml:space="preserve">Note that the energy levels of a linear rotor are:</w:t>
      </w:r>
    </w:p>
    <w:p>
      <w:pPr>
        <w:pStyle w:val="BodyText"/>
      </w:pPr>
      <m:oMathPara>
        <m:oMathParaPr>
          <m:jc m:val="center"/>
        </m:oMathParaPr>
        <m:oMath>
          <m:r>
            <m:t>U</m:t>
          </m:r>
          <m:r>
            <m:rPr>
              <m:sty m:val="p"/>
            </m:rPr>
            <m:t>=</m:t>
          </m:r>
          <m:r>
            <m:t>J</m:t>
          </m:r>
          <m:d>
            <m:dPr>
              <m:begChr m:val="("/>
              <m:endChr m:val=")"/>
              <m:sepChr m:val=""/>
              <m:grow/>
            </m:dPr>
            <m:e>
              <m:r>
                <m:t>J</m:t>
              </m:r>
              <m:r>
                <m:rPr>
                  <m:sty m:val="p"/>
                </m:rPr>
                <m:t>+</m:t>
              </m:r>
              <m:r>
                <m:t>1</m:t>
              </m:r>
            </m:e>
          </m:d>
          <m:f>
            <m:fPr>
              <m:type m:val="bar"/>
            </m:fPr>
            <m:num>
              <m:sSup>
                <m:e>
                  <m:r>
                    <m:rPr>
                      <m:sty m:val="p"/>
                    </m:rPr>
                    <m:t>ℏ</m:t>
                  </m:r>
                </m:e>
                <m:sup>
                  <m:r>
                    <m:t>2</m:t>
                  </m:r>
                </m:sup>
              </m:sSup>
            </m:num>
            <m:den>
              <m:r>
                <m:t>2</m:t>
              </m:r>
              <m:r>
                <m:t>I</m:t>
              </m:r>
            </m:den>
          </m:f>
        </m:oMath>
      </m:oMathPara>
    </w:p>
    <w:p>
      <w:pPr>
        <w:pStyle w:val="FirstParagraph"/>
      </w:pPr>
      <w:r>
        <w:t xml:space="preserve">with</w:t>
      </w:r>
      <w:r>
        <w:t xml:space="preserve"> </w:t>
      </w:r>
      <m:oMath>
        <m:r>
          <m:t>J</m:t>
        </m:r>
        <m:r>
          <m:rPr>
            <m:sty m:val="p"/>
          </m:rPr>
          <m:t>=</m:t>
        </m:r>
        <m:r>
          <m:t>0</m:t>
        </m:r>
        <m:r>
          <m:rPr>
            <m:sty m:val="p"/>
          </m:rPr>
          <m:t>,</m:t>
        </m:r>
        <m:r>
          <m:t>1</m:t>
        </m:r>
        <m:r>
          <m:rPr>
            <m:sty m:val="p"/>
          </m:rPr>
          <m:t>,</m:t>
        </m:r>
        <m:r>
          <m:t>2</m:t>
        </m:r>
        <m:r>
          <m:rPr>
            <m:sty m:val="p"/>
          </m:rPr>
          <m:t>,</m:t>
        </m:r>
        <m:r>
          <m:rPr>
            <m:sty m:val="p"/>
          </m:rPr>
          <m:t>…</m:t>
        </m:r>
        <m:r>
          <m:rPr>
            <m:sty m:val="p"/>
          </m:rPr>
          <m:t>,</m:t>
        </m:r>
        <m:r>
          <m:rPr>
            <m:sty m:val="p"/>
          </m:rPr>
          <m:t>∞</m:t>
        </m:r>
      </m:oMath>
      <w:r>
        <w:t xml:space="preserve"> </w:t>
      </w:r>
      <w:r>
        <w:t xml:space="preserve">and the degeneracy of level J is</w:t>
      </w:r>
      <w:r>
        <w:t xml:space="preserve"> </w:t>
      </w:r>
      <m:oMath>
        <m:r>
          <m:t>2</m:t>
        </m:r>
        <m:r>
          <m:t>J</m:t>
        </m:r>
        <m:r>
          <m:rPr>
            <m:sty m:val="p"/>
          </m:rPr>
          <m:t>+</m:t>
        </m:r>
        <m:r>
          <m:t>1</m:t>
        </m:r>
      </m:oMath>
      <w:r>
        <w:t xml:space="preserve">.</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2024-05-13T17:01:06Z</dcterms:created>
  <dcterms:modified xsi:type="dcterms:W3CDTF">2024-05-13T17:01:06Z</dcterms:modified>
</cp:coreProperties>
</file>

<file path=docProps/custom.xml><?xml version="1.0" encoding="utf-8"?>
<Properties xmlns="http://schemas.openxmlformats.org/officeDocument/2006/custom-properties" xmlns:vt="http://schemas.openxmlformats.org/officeDocument/2006/docPropsVTypes"/>
</file>