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962" w:tblpY="2733"/>
        <w:tblOverlap w:val="never"/>
        <w:tblW w:w="82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4215"/>
        <w:gridCol w:w="2563"/>
        <w:gridCol w:w="878"/>
      </w:tblGrid>
      <w:tr w:rsidR="00AD1752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序号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规程文件目录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规程编号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页码</w:t>
            </w:r>
          </w:p>
        </w:tc>
      </w:tr>
      <w:tr w:rsidR="00AD1752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药品收货与验收操作规程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QP-001-2016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DD7384" w:rsidP="00DD738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42</w:t>
            </w:r>
            <w:r w:rsidR="005E12B8">
              <w:rPr>
                <w:rFonts w:ascii="宋体" w:hAnsi="宋体" w:hint="eastAsia"/>
                <w:b/>
                <w:bCs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sz w:val="24"/>
              </w:rPr>
              <w:t>45</w:t>
            </w:r>
          </w:p>
        </w:tc>
      </w:tr>
      <w:tr w:rsidR="00AD1752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药品销售操作规程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QP-002-2016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DD738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46-48</w:t>
            </w:r>
          </w:p>
        </w:tc>
      </w:tr>
      <w:tr w:rsidR="00AD1752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3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处方审核调配核对操作规程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QP-003-2016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DD738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49-50</w:t>
            </w:r>
          </w:p>
        </w:tc>
      </w:tr>
      <w:tr w:rsidR="00AD1752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4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85045"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 w:rsidRPr="00325648">
              <w:rPr>
                <w:rFonts w:ascii="宋体" w:hAnsi="宋体" w:cs="宋体" w:hint="eastAsia"/>
                <w:b/>
                <w:bCs/>
                <w:sz w:val="24"/>
              </w:rPr>
              <w:t>中药饮片</w:t>
            </w:r>
            <w:r w:rsidRPr="00325648">
              <w:rPr>
                <w:rFonts w:ascii="宋体" w:hAnsi="宋体" w:cs="宋体"/>
                <w:b/>
                <w:bCs/>
                <w:sz w:val="24"/>
              </w:rPr>
              <w:t>处方审核、调配、核对操作规程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5E12B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QP-004-2016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752" w:rsidRDefault="00DD7384" w:rsidP="00DD7384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51-52</w:t>
            </w: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药品拆零销售操作规程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QP-005-2016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DD7384" w:rsidP="0058504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53-54</w:t>
            </w: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6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国家有专门管理要求的药品的销售操作规程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QP-006-2016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DD7384" w:rsidP="0058504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55-56</w:t>
            </w: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7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营业场所药品陈列及检查操作规程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QP-007-2016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DD7384" w:rsidP="00585045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57-58</w:t>
            </w: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8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计算机系统操作和管理规程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B2050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QP-008-2016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DD7384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59-62</w:t>
            </w: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</w:tr>
      <w:tr w:rsidR="00585045">
        <w:trPr>
          <w:trHeight w:hRule="exact" w:val="594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045" w:rsidRDefault="00585045" w:rsidP="0058504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</w:tr>
    </w:tbl>
    <w:p w:rsidR="00AD1752" w:rsidRDefault="005E12B8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质量管理规程目录</w:t>
      </w:r>
      <w:bookmarkStart w:id="0" w:name="_GoBack"/>
      <w:bookmarkEnd w:id="0"/>
    </w:p>
    <w:p w:rsidR="00AD1752" w:rsidRDefault="00AD1752" w:rsidP="00AD1752">
      <w:pPr>
        <w:spacing w:afterLines="50" w:after="156"/>
        <w:jc w:val="center"/>
        <w:rPr>
          <w:rFonts w:ascii="迷你简长宋" w:eastAsia="迷你简长宋" w:hAnsi="华文中宋"/>
          <w:spacing w:val="20"/>
          <w:sz w:val="48"/>
          <w:szCs w:val="48"/>
        </w:rPr>
      </w:pPr>
    </w:p>
    <w:sectPr w:rsidR="00AD1752" w:rsidSect="00AD1752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198" w:rsidRDefault="001A7198" w:rsidP="00AD1752">
      <w:r>
        <w:separator/>
      </w:r>
    </w:p>
  </w:endnote>
  <w:endnote w:type="continuationSeparator" w:id="0">
    <w:p w:rsidR="001A7198" w:rsidRDefault="001A7198" w:rsidP="00AD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迷你简长宋">
    <w:altName w:val="宋体"/>
    <w:charset w:val="86"/>
    <w:family w:val="auto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198" w:rsidRDefault="001A7198" w:rsidP="00AD1752">
      <w:r>
        <w:separator/>
      </w:r>
    </w:p>
  </w:footnote>
  <w:footnote w:type="continuationSeparator" w:id="0">
    <w:p w:rsidR="001A7198" w:rsidRDefault="001A7198" w:rsidP="00AD1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752" w:rsidRDefault="005E12B8" w:rsidP="00B20502">
    <w:r>
      <w:rPr>
        <w:rFonts w:hint="eastAsia"/>
        <w:sz w:val="18"/>
        <w:szCs w:val="18"/>
        <w:u w:val="single"/>
      </w:rPr>
      <w:t xml:space="preserve">         </w:t>
    </w:r>
    <w:r w:rsidR="00B20502">
      <w:rPr>
        <w:sz w:val="18"/>
        <w:szCs w:val="18"/>
        <w:u w:val="single"/>
      </w:rPr>
      <w:t xml:space="preserve">                              </w:t>
    </w:r>
    <w:r>
      <w:rPr>
        <w:rFonts w:hint="eastAsia"/>
        <w:sz w:val="18"/>
        <w:szCs w:val="18"/>
        <w:u w:val="single"/>
      </w:rPr>
      <w:t xml:space="preserve">                                   </w:t>
    </w:r>
    <w:r>
      <w:rPr>
        <w:rFonts w:hint="eastAsia"/>
        <w:sz w:val="18"/>
        <w:szCs w:val="18"/>
        <w:u w:val="single"/>
      </w:rPr>
      <w:t>质量体系文件</w:t>
    </w:r>
    <w:r>
      <w:rPr>
        <w:rFonts w:hint="eastAsia"/>
        <w:sz w:val="18"/>
        <w:szCs w:val="18"/>
        <w:u w:val="single"/>
      </w:rPr>
      <w:t>(</w:t>
    </w:r>
    <w:r>
      <w:rPr>
        <w:rFonts w:hint="eastAsia"/>
        <w:sz w:val="18"/>
        <w:szCs w:val="18"/>
        <w:u w:val="single"/>
      </w:rPr>
      <w:t>门店</w:t>
    </w:r>
    <w:r>
      <w:rPr>
        <w:rFonts w:hint="eastAsia"/>
        <w:sz w:val="18"/>
        <w:szCs w:val="18"/>
        <w:u w:val="single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725"/>
    <w:rsid w:val="00007FEE"/>
    <w:rsid w:val="001A7198"/>
    <w:rsid w:val="001F2725"/>
    <w:rsid w:val="0022189A"/>
    <w:rsid w:val="00224676"/>
    <w:rsid w:val="0029068F"/>
    <w:rsid w:val="003267ED"/>
    <w:rsid w:val="00366F22"/>
    <w:rsid w:val="003B503F"/>
    <w:rsid w:val="00470439"/>
    <w:rsid w:val="00491A31"/>
    <w:rsid w:val="00585045"/>
    <w:rsid w:val="005E12B8"/>
    <w:rsid w:val="006129B0"/>
    <w:rsid w:val="00687A1F"/>
    <w:rsid w:val="00AD1752"/>
    <w:rsid w:val="00B02DFC"/>
    <w:rsid w:val="00B20502"/>
    <w:rsid w:val="00BF777F"/>
    <w:rsid w:val="00CD00B7"/>
    <w:rsid w:val="00D00598"/>
    <w:rsid w:val="00D02353"/>
    <w:rsid w:val="00DD7384"/>
    <w:rsid w:val="00F432BB"/>
    <w:rsid w:val="0CB278E4"/>
    <w:rsid w:val="0E084EEA"/>
    <w:rsid w:val="0F565B36"/>
    <w:rsid w:val="0FA86FF8"/>
    <w:rsid w:val="1AA40C68"/>
    <w:rsid w:val="2BA83EA0"/>
    <w:rsid w:val="30791B5B"/>
    <w:rsid w:val="33851068"/>
    <w:rsid w:val="354748F9"/>
    <w:rsid w:val="45633226"/>
    <w:rsid w:val="57EE4032"/>
    <w:rsid w:val="582677D5"/>
    <w:rsid w:val="68572550"/>
    <w:rsid w:val="78EC5072"/>
    <w:rsid w:val="7EF9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6A12BD8"/>
  <w15:docId w15:val="{13E07BAC-2059-453A-BD78-8143F71C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D175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AD1752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D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rsid w:val="00AD1752"/>
    <w:rPr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rsid w:val="00AD1752"/>
    <w:rPr>
      <w:sz w:val="18"/>
      <w:szCs w:val="18"/>
    </w:rPr>
  </w:style>
  <w:style w:type="character" w:customStyle="1" w:styleId="font11">
    <w:name w:val="font11"/>
    <w:qFormat/>
    <w:rsid w:val="00AD1752"/>
    <w:rPr>
      <w:rFonts w:ascii="宋体" w:eastAsia="宋体" w:hAnsi="宋体" w:cs="宋体" w:hint="eastAsia"/>
      <w:color w:val="000000"/>
      <w:sz w:val="24"/>
      <w:szCs w:val="24"/>
    </w:rPr>
  </w:style>
  <w:style w:type="character" w:customStyle="1" w:styleId="font01">
    <w:name w:val="font01"/>
    <w:qFormat/>
    <w:rsid w:val="00AD1752"/>
    <w:rPr>
      <w:rFonts w:ascii="宋体" w:eastAsia="宋体" w:hAnsi="宋体" w:cs="宋体" w:hint="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>微软中国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规程编号</dc:title>
  <dc:creator>微软用户</dc:creator>
  <cp:lastModifiedBy>wei li</cp:lastModifiedBy>
  <cp:revision>5</cp:revision>
  <dcterms:created xsi:type="dcterms:W3CDTF">2016-01-12T03:09:00Z</dcterms:created>
  <dcterms:modified xsi:type="dcterms:W3CDTF">2016-08-18T08:03:00Z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