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360"/>
        <w:jc w:val="center"/>
      </w:pPr>
      <w:r>
        <w:rPr>
          <w:rFonts w:ascii="Calibri" w:hAnsi="Calibri" w:eastAsia="Calibri"/>
          <w:b/>
          <w:color w:val="B8862B"/>
          <w:sz w:val="21"/>
        </w:rPr>
        <w:t>TECHNICAL RESEARCH NOTE</w:t>
      </w:r>
    </w:p>
    <w:p>
      <w:pPr>
        <w:spacing w:after="200"/>
        <w:jc w:val="center"/>
      </w:pPr>
      <w:r>
        <w:rPr>
          <w:rFonts w:ascii="Calibri" w:hAnsi="Calibri" w:eastAsia="Calibri"/>
          <w:b/>
          <w:color w:val="203748"/>
          <w:sz w:val="60"/>
        </w:rPr>
        <w:t>From Singular Loss Geometry</w:t>
        <w:br/>
        <w:t>to Smaller Transformers</w:t>
      </w:r>
    </w:p>
    <w:p>
      <w:pPr>
        <w:spacing w:after="600"/>
        <w:jc w:val="center"/>
      </w:pPr>
      <w:r>
        <w:rPr>
          <w:rFonts w:ascii="Calibri" w:hAnsi="Calibri" w:eastAsia="Calibri"/>
          <w:i/>
          <w:color w:val="3D6D8C"/>
          <w:sz w:val="29"/>
        </w:rPr>
        <w:t>A numerical architecture-compilation proposal for non-Gaussian loss landscapes</w:t>
      </w:r>
    </w:p>
    <w:p>
      <w:pPr>
        <w:spacing w:after="1520"/>
        <w:jc w:val="center"/>
      </w:pPr>
      <w:r>
        <w:rPr>
          <w:rFonts w:ascii="Calibri" w:hAnsi="Calibri" w:eastAsia="Calibri"/>
          <w:color w:val="5F6770"/>
          <w:sz w:val="22"/>
        </w:rPr>
        <w:t>Compression, Hessians, local learning coefficients, higher-order nullspaces,</w:t>
        <w:br/>
        <w:t>and deployable Transformer surgery</w:t>
      </w:r>
    </w:p>
    <w:tbl>
      <w:tblPr>
        <w:tblW w:type="dxa" w:w="9360"/>
        <w:jc w:val="left"/>
        <w:tblLayout w:type="fixed"/>
        <w:tblLook w:firstColumn="1" w:firstRow="1" w:lastColumn="0" w:lastRow="0" w:noHBand="0" w:noVBand="1" w:val="04A0"/>
        <w:tblInd w:w="120" w:type="dxa"/>
        <w:tblBorders>
          <w:top w:val="single" w:sz="2" w:color="FBF5E8"/>
          <w:left w:val="single" w:sz="2" w:color="FBF5E8"/>
          <w:bottom w:val="single" w:sz="2" w:color="FBF5E8"/>
          <w:right w:val="single" w:sz="2" w:color="FBF5E8"/>
          <w:insideH w:val="single" w:sz="2" w:color="FBF5E8"/>
          <w:insideV w:val="single" w:sz="2" w:color="FBF5E8"/>
        </w:tblBorders>
      </w:tblPr>
      <w:tblGrid>
        <w:gridCol w:w="9360"/>
      </w:tblGrid>
      <w:tr>
        <w:tc>
          <w:tcPr>
            <w:tcW w:type="dxa" w:w="9360"/>
            <w:tcMar>
              <w:top w:w="80" w:type="dxa"/>
              <w:start w:w="120" w:type="dxa"/>
              <w:bottom w:w="80" w:type="dxa"/>
              <w:end w:w="120" w:type="dxa"/>
            </w:tcMar>
            <w:vAlign w:val="center"/>
            <w:shd w:fill="FBF5E8"/>
          </w:tcPr>
          <w:p>
            <w:pPr>
              <w:spacing w:before="40" w:after="40" w:line="269" w:lineRule="auto"/>
            </w:pPr>
            <w:r>
              <w:rPr>
                <w:rFonts w:ascii="Calibri" w:hAnsi="Calibri" w:eastAsia="Calibri"/>
                <w:b/>
                <w:color w:val="B8862B"/>
                <w:sz w:val="18"/>
              </w:rPr>
              <w:t xml:space="preserve">STATUS  </w:t>
            </w:r>
            <w:r>
              <w:rPr>
                <w:rFonts w:ascii="Calibri" w:hAnsi="Calibri" w:eastAsia="Calibri"/>
                <w:color w:val="203748"/>
                <w:sz w:val="21"/>
              </w:rPr>
              <w:t>This document separates established results from a proposed research program. The central compiler is not yet a validated compression algorithm; it is a concrete way to turn singular geometry into a smaller, standard Transformer.</w:t>
            </w:r>
          </w:p>
        </w:tc>
      </w:tr>
    </w:tbl>
    <w:p/>
    <w:p>
      <w:pPr>
        <w:spacing w:before="400"/>
        <w:jc w:val="center"/>
      </w:pPr>
      <w:r>
        <w:rPr>
          <w:rFonts w:ascii="Calibri" w:hAnsi="Calibri" w:eastAsia="Calibri"/>
          <w:color w:val="5F6770"/>
          <w:sz w:val="19"/>
        </w:rPr>
        <w:t>Prepared 17 August 2026</w:t>
      </w:r>
    </w:p>
    <w:p>
      <w:r>
        <w:br w:type="page"/>
      </w:r>
    </w:p>
    <w:p>
      <w:pPr>
        <w:pStyle w:val="Heading1"/>
      </w:pPr>
      <w:r>
        <w:t>Executive summary</w:t>
      </w:r>
    </w:p>
    <w:tbl>
      <w:tblPr>
        <w:tblW w:type="dxa" w:w="9360"/>
        <w:jc w:val="left"/>
        <w:tblLayout w:type="fixed"/>
        <w:tblLook w:firstColumn="1" w:firstRow="1" w:lastColumn="0" w:lastRow="0" w:noHBand="0" w:noVBand="1" w:val="04A0"/>
        <w:tblInd w:w="120" w:type="dxa"/>
        <w:tblBorders>
          <w:top w:val="single" w:sz="2" w:color="EAF1F6"/>
          <w:left w:val="single" w:sz="2" w:color="EAF1F6"/>
          <w:bottom w:val="single" w:sz="2" w:color="EAF1F6"/>
          <w:right w:val="single" w:sz="2" w:color="EAF1F6"/>
          <w:insideH w:val="single" w:sz="2" w:color="EAF1F6"/>
          <w:insideV w:val="single" w:sz="2" w:color="EAF1F6"/>
        </w:tblBorders>
      </w:tblPr>
      <w:tblGrid>
        <w:gridCol w:w="9360"/>
      </w:tblGrid>
      <w:tr>
        <w:tc>
          <w:tcPr>
            <w:tcW w:type="dxa" w:w="9360"/>
            <w:tcMar>
              <w:top w:w="80" w:type="dxa"/>
              <w:start w:w="120" w:type="dxa"/>
              <w:bottom w:w="80" w:type="dxa"/>
              <w:end w:w="120" w:type="dxa"/>
            </w:tcMar>
            <w:vAlign w:val="center"/>
            <w:shd w:fill="EAF1F6"/>
          </w:tcPr>
          <w:p>
            <w:pPr>
              <w:spacing w:before="40" w:after="40" w:line="269" w:lineRule="auto"/>
            </w:pPr>
            <w:r>
              <w:rPr>
                <w:rFonts w:ascii="Calibri" w:hAnsi="Calibri" w:eastAsia="Calibri"/>
                <w:b/>
                <w:color w:val="2E74B5"/>
                <w:sz w:val="18"/>
              </w:rPr>
              <w:t xml:space="preserve">THE SHORT ANSWER  </w:t>
            </w:r>
            <w:r>
              <w:rPr>
                <w:rFonts w:ascii="Calibri" w:hAnsi="Calibri" w:eastAsia="Calibri"/>
                <w:color w:val="203748"/>
                <w:sz w:val="21"/>
              </w:rPr>
              <w:t>A scalar LLC can predict how compressible a checkpoint is, but it cannot by itself say which head, neuron, rank or layer to remove. To obtain a new compressor, use numerical singular geometry to infer relations among functional components, then compile those relations into a restricted vocabulary of hardware-friendly architectural changes.</w:t>
            </w:r>
          </w:p>
        </w:tc>
      </w:tr>
    </w:tbl>
    <w:p/>
    <w:p>
      <w:pPr>
        <w:keepNext w:val="0"/>
      </w:pPr>
      <w:r>
        <w:rPr>
          <w:rFonts w:ascii="Calibri" w:hAnsi="Calibri" w:eastAsia="Calibri"/>
          <w:i w:val="0"/>
          <w:color w:val="202428"/>
        </w:rPr>
        <w:t>Conventional curvature-aware compression assumes a locally quadratic loss. It spends more accuracy budget in directions with small Hessian curvature and protects large-curvature directions. This is the logic behind second-order quantization and pruning methods such as GPTQ and SparseGPT [5,6]. It works well when the calibration loss is adequately represented by a quadratic form over the perturbations actually made.</w:t>
      </w:r>
    </w:p>
    <w:p>
      <w:pPr>
        <w:keepNext w:val="0"/>
      </w:pPr>
      <w:r>
        <w:rPr>
          <w:rFonts w:ascii="Calibri" w:hAnsi="Calibri" w:eastAsia="Calibri"/>
          <w:i w:val="0"/>
          <w:color w:val="202428"/>
        </w:rPr>
        <w:t>Singular learning theory (SLT) addresses a different situation: many parameters can describe the same or nearly the same function, and the low-loss set can contain intersections, branches, product singularities and higher-order valleys. Its local learning coefficient (LLC) measures how the volume of an ε-sublevel set scales. Recent work led by Daniel Murfet connects this coefficient to minimum description length and finds strong empirical correlations with compression thresholds in Pythia checkpoints [1–4]. That work establishes a predictor of compressibility; it does not yet produce an LLC-guided architecture compiler.</w:t>
      </w:r>
    </w:p>
    <w:p>
      <w:pPr>
        <w:keepNext w:val="0"/>
      </w:pPr>
      <w:r>
        <w:rPr>
          <w:rFonts w:ascii="Calibri" w:hAnsi="Calibri" w:eastAsia="Calibri"/>
          <w:i w:val="0"/>
          <w:color w:val="202428"/>
        </w:rPr>
        <w:t>The proposed method fills that gap. It first measures the Hessian nullspace and blockwise/refined LLCs, then performs structured higher-order probes inside the nullspace. It fits an approximate local normal form over architectural variables—head gates, MLP groups, factor ranks, layer gates and shared subspaces. Factored terms reveal candidate branches and relational redundancies. A constrained compiler chooses a low-parameter branch and emits ordinary dense matrices with fewer heads, narrower MLPs, smaller internal attention ranks, shared layers, or eventually a narrower residual stream. Short recovery training repairs approximation error.</w:t>
      </w:r>
    </w:p>
    <w:p>
      <w:pPr>
        <w:pStyle w:val="ListBullet"/>
      </w:pPr>
      <w:r>
        <w:rPr>
          <w:rFonts w:ascii="Calibri" w:hAnsi="Calibri" w:eastAsia="Calibri"/>
          <w:color w:val="202428"/>
        </w:rPr>
        <w:t>What is established: Hessian-aware quantization/pruning; structured pruning; low-rank factorization; LLC estimation with localized Gibbs sampling; an SLT–MDL relationship; empirical LLC–compressibility correlations.</w:t>
      </w:r>
    </w:p>
    <w:p>
      <w:pPr>
        <w:pStyle w:val="ListBullet"/>
      </w:pPr>
      <w:r>
        <w:rPr>
          <w:rFonts w:ascii="Calibri" w:hAnsi="Calibri" w:eastAsia="Calibri"/>
          <w:color w:val="202428"/>
        </w:rPr>
        <w:t>What is proposed: use higher-order, component-aligned numerical geometry to infer discrete architectural constraints and compile them into a standard smaller Transformer.</w:t>
      </w:r>
    </w:p>
    <w:p>
      <w:pPr>
        <w:pStyle w:val="ListBullet"/>
      </w:pPr>
      <w:r>
        <w:rPr>
          <w:rFonts w:ascii="Calibri" w:hAnsi="Calibri" w:eastAsia="Calibri"/>
          <w:color w:val="202428"/>
        </w:rPr>
        <w:t>What would count as success: lower validation loss or better task performance than GPTQ/SparseGPT/SVD-LLM/structured-pruning baselines at matched parameter count, bits, FLOPs, recovery compute and calibration data.</w:t>
      </w:r>
    </w:p>
    <w:p>
      <w:pPr>
        <w:pStyle w:val="Heading2"/>
      </w:pPr>
      <w:r>
        <w:t>Reader’s map</w:t>
      </w:r>
    </w:p>
    <w:p>
      <w:pPr>
        <w:pStyle w:val="ListNumber"/>
      </w:pPr>
      <w:r>
        <w:rPr>
          <w:rFonts w:ascii="Calibri" w:hAnsi="Calibri" w:eastAsia="Calibri"/>
          <w:color w:val="202428"/>
        </w:rPr>
        <w:t>Sections 1–3 review ordinary compression and the Hessian baseline.</w:t>
      </w:r>
    </w:p>
    <w:p>
      <w:pPr>
        <w:pStyle w:val="ListNumber"/>
      </w:pPr>
      <w:r>
        <w:rPr>
          <w:rFonts w:ascii="Calibri" w:hAnsi="Calibri" w:eastAsia="Calibri"/>
          <w:color w:val="202428"/>
        </w:rPr>
        <w:t>Sections 4–6 explain singular geometry, LLC measurement, and what the Murfet-related compression paper already does.</w:t>
      </w:r>
    </w:p>
    <w:p>
      <w:pPr>
        <w:pStyle w:val="ListNumber"/>
      </w:pPr>
      <w:r>
        <w:rPr>
          <w:rFonts w:ascii="Calibri" w:hAnsi="Calibri" w:eastAsia="Calibri"/>
          <w:color w:val="202428"/>
        </w:rPr>
        <w:t>Sections 7–10 specify the proposed compiler, its architectural outputs, and several extensions.</w:t>
      </w:r>
    </w:p>
    <w:p>
      <w:pPr>
        <w:pStyle w:val="ListNumber"/>
      </w:pPr>
      <w:r>
        <w:rPr>
          <w:rFonts w:ascii="Calibri" w:hAnsi="Calibri" w:eastAsia="Calibri"/>
          <w:color w:val="202428"/>
        </w:rPr>
        <w:t>Sections 11–13 give an experimental protocol, limitations, and a compact implementation recipe.</w:t>
      </w:r>
    </w:p>
    <w:p>
      <w:pPr>
        <w:pStyle w:val="Heading1"/>
      </w:pPr>
      <w:r>
        <w:t>1. Scope, objective and assumptions</w:t>
      </w:r>
    </w:p>
    <w:p>
      <w:pPr>
        <w:keepNext w:val="0"/>
      </w:pPr>
      <w:r>
        <w:rPr>
          <w:rFonts w:ascii="Calibri" w:hAnsi="Calibri" w:eastAsia="Calibri"/>
          <w:i w:val="0"/>
          <w:color w:val="202428"/>
        </w:rPr>
        <w:t>The objective is model compression in the deployment sense: produce a model with fewer stored parameters and, ideally, lower dense inference cost. Weight-only quantization reduces bits but usually not parameter count; unstructured pruning reduces nonzero weights but may not accelerate dense hardware; a thin Transformer changes tensor shapes and directly reduces parameters and FLOPs. These are different outputs and should be evaluated separately.</w:t>
      </w:r>
    </w:p>
    <w:p>
      <w:pPr>
        <w:keepNext w:val="0"/>
      </w:pPr>
      <w:r>
        <w:rPr>
          <w:rFonts w:ascii="Calibri" w:hAnsi="Calibri" w:eastAsia="Calibri"/>
          <w:i w:val="0"/>
          <w:color w:val="202428"/>
        </w:rPr>
        <w:t>The proposed target is a decoder-only Transformer checkpoint w* and a calibration distribution representative of deployment. The method is post-training in spirit but allows a limited recovery phase. It is not teacher–student distillation, although distillation losses can be added during recovery.</w:t>
      </w:r>
    </w:p>
    <w:p>
      <w:pPr>
        <w:pStyle w:val="Heading2"/>
      </w:pPr>
      <w:r>
        <w:t>Working assumptions</w:t>
      </w:r>
    </w:p>
    <w:p>
      <w:pPr>
        <w:pStyle w:val="ListBullet"/>
      </w:pPr>
      <w:r>
        <w:rPr>
          <w:rFonts w:ascii="Calibri" w:hAnsi="Calibri" w:eastAsia="Calibri"/>
          <w:color w:val="202428"/>
        </w:rPr>
        <w:t>(A1) The calibration distribution is sufficiently representative that local loss geometry predicts deployment behavior.</w:t>
      </w:r>
    </w:p>
    <w:p>
      <w:pPr>
        <w:pStyle w:val="ListBullet"/>
      </w:pPr>
      <w:r>
        <w:rPr>
          <w:rFonts w:ascii="Calibri" w:hAnsi="Calibri" w:eastAsia="Calibri"/>
          <w:color w:val="202428"/>
        </w:rPr>
        <w:t>(A2) Important redundancies intersect a restricted architecture grammar: delete, merge, tie, factor, narrow or share.</w:t>
      </w:r>
    </w:p>
    <w:p>
      <w:pPr>
        <w:pStyle w:val="ListBullet"/>
      </w:pPr>
      <w:r>
        <w:rPr>
          <w:rFonts w:ascii="Calibri" w:hAnsi="Calibri" w:eastAsia="Calibri"/>
          <w:color w:val="202428"/>
        </w:rPr>
        <w:t>(A3) Higher-order behavior can be estimated reliably from finite-radius loss evaluations or directional derivatives despite minibatch noise.</w:t>
      </w:r>
    </w:p>
    <w:p>
      <w:pPr>
        <w:pStyle w:val="ListBullet"/>
      </w:pPr>
      <w:r>
        <w:rPr>
          <w:rFonts w:ascii="Calibri" w:hAnsi="Calibri" w:eastAsia="Calibri"/>
          <w:color w:val="202428"/>
        </w:rPr>
        <w:t>(A4) A short recovery phase is allowed after structural compilation.</w:t>
      </w:r>
    </w:p>
    <w:p>
      <w:pPr>
        <w:pStyle w:val="ListBullet"/>
      </w:pPr>
      <w:r>
        <w:rPr>
          <w:rFonts w:ascii="Calibri" w:hAnsi="Calibri" w:eastAsia="Calibri"/>
          <w:color w:val="202428"/>
        </w:rPr>
        <w:t>(A5) The deployment objective values real parameter/FLOP reduction, rather than only entropy coding of an unchanged dense graph.</w:t>
      </w:r>
    </w:p>
    <w:p>
      <w:pPr>
        <w:keepNext w:val="0"/>
      </w:pPr>
      <w:r>
        <w:rPr>
          <w:rFonts w:ascii="Calibri" w:hAnsi="Calibri" w:eastAsia="Calibri"/>
          <w:i w:val="0"/>
          <w:color w:val="202428"/>
        </w:rPr>
        <w:t>The main claim depends on (A2) and (A3). If the singular geometry does not align with the architecture grammar, the method may diagnose redundancy without producing a useful smaller network. If (A1) fails, any calibration-based compressor—including Hessian methods—can overfit its probe data.</w:t>
      </w:r>
    </w:p>
    <w:p>
      <w:pPr>
        <w:pStyle w:val="Heading1"/>
      </w:pPr>
      <w:r>
        <w:t>2. Compression mechanisms without a teacher</w:t>
      </w:r>
    </w:p>
    <w:p>
      <w:pPr>
        <w:keepNext w:val="0"/>
      </w:pPr>
      <w:r>
        <w:rPr>
          <w:rFonts w:ascii="Calibri" w:hAnsi="Calibri" w:eastAsia="Calibri"/>
          <w:i w:val="0"/>
          <w:color w:val="202428"/>
        </w:rPr>
        <w:t>Knowledge distillation trains a smaller student to match a larger teacher’s logits, hidden states, attention relations or generated data. It is the normal teacher–student mechanism, but it is only one compression family. The table below distinguishes the principal alternatives and their physical output.</w:t>
      </w:r>
    </w:p>
    <w:tbl>
      <w:tblPr>
        <w:tblStyle w:val="TableGrid"/>
        <w:tblW w:type="dxa" w:w="9360"/>
        <w:jc w:val="left"/>
        <w:tblLayout w:type="fixed"/>
        <w:tblLook w:firstColumn="1" w:firstRow="1" w:lastColumn="0" w:lastRow="0" w:noHBand="0" w:noVBand="1" w:val="04A0"/>
        <w:tblInd w:w="120" w:type="dxa"/>
        <w:tblBorders>
          <w:top w:val="single" w:sz="6" w:color="D9DEE3"/>
          <w:left w:val="single" w:sz="6" w:color="D9DEE3"/>
          <w:bottom w:val="single" w:sz="6" w:color="D9DEE3"/>
          <w:right w:val="single" w:sz="6" w:color="D9DEE3"/>
          <w:insideH w:val="single" w:sz="6" w:color="D9DEE3"/>
          <w:insideV w:val="single" w:sz="6" w:color="D9DEE3"/>
        </w:tblBorders>
      </w:tblPr>
      <w:tblGrid>
        <w:gridCol w:w="1450"/>
        <w:gridCol w:w="2500"/>
        <w:gridCol w:w="2460"/>
        <w:gridCol w:w="2950"/>
      </w:tblGrid>
      <w:tr>
        <w:trPr>
          <w:tblHeader w:val="true"/>
        </w:trPr>
        <w:tc>
          <w:tcPr>
            <w:tcW w:type="dxa" w:w="145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Family</w:t>
            </w:r>
          </w:p>
        </w:tc>
        <w:tc>
          <w:tcPr>
            <w:tcW w:type="dxa" w:w="250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Optimization signal</w:t>
            </w:r>
          </w:p>
        </w:tc>
        <w:tc>
          <w:tcPr>
            <w:tcW w:type="dxa" w:w="246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Physical output</w:t>
            </w:r>
          </w:p>
        </w:tc>
        <w:tc>
          <w:tcPr>
            <w:tcW w:type="dxa" w:w="295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Typical limitation</w:t>
            </w:r>
          </w:p>
        </w:tc>
      </w:tr>
      <w:tr>
        <w:tc>
          <w:tcPr>
            <w:tcW w:type="dxa" w:w="14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Quantization</w:t>
            </w:r>
          </w:p>
        </w:tc>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Weight/activation reconstruction, often calibration aware</w:t>
            </w:r>
          </w:p>
        </w:tc>
        <w:tc>
          <w:tcPr>
            <w:tcW w:type="dxa" w:w="246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Same tensor shapes; fewer bits per value</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Usually little parameter/FLOP reduction without special kernels</w:t>
            </w:r>
          </w:p>
        </w:tc>
      </w:tr>
      <w:tr>
        <w:tc>
          <w:tcPr>
            <w:tcW w:type="dxa" w:w="14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Unstructured pruning</w:t>
            </w:r>
          </w:p>
        </w:tc>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Magnitude, gradients, Fisher or Hessian saliency</w:t>
            </w:r>
          </w:p>
        </w:tc>
        <w:tc>
          <w:tcPr>
            <w:tcW w:type="dxa" w:w="246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Sparse matrices</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Sparse speedups are hardware- and sparsity-pattern dependent</w:t>
            </w:r>
          </w:p>
        </w:tc>
      </w:tr>
      <w:tr>
        <w:tc>
          <w:tcPr>
            <w:tcW w:type="dxa" w:w="14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Structured pruning</w:t>
            </w:r>
          </w:p>
        </w:tc>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Group saliency, gates, end-to-end retraining</w:t>
            </w:r>
          </w:p>
        </w:tc>
        <w:tc>
          <w:tcPr>
            <w:tcW w:type="dxa" w:w="246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Fewer heads, neurons, channels or layers</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Coarse removals interact strongly across modules</w:t>
            </w:r>
          </w:p>
        </w:tc>
      </w:tr>
      <w:tr>
        <w:tc>
          <w:tcPr>
            <w:tcW w:type="dxa" w:w="14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Low-rank factorization</w:t>
            </w:r>
          </w:p>
        </w:tc>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Matrix or activation reconstruction; truncation-aware variants</w:t>
            </w:r>
          </w:p>
        </w:tc>
        <w:tc>
          <w:tcPr>
            <w:tcW w:type="dxa" w:w="246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Products of thin dense matrices</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Weight rank need not equal functional rank</w:t>
            </w:r>
          </w:p>
        </w:tc>
      </w:tr>
      <w:tr>
        <w:tc>
          <w:tcPr>
            <w:tcW w:type="dxa" w:w="14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Codebooks / vector quantization</w:t>
            </w:r>
          </w:p>
        </w:tc>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Joint code assignment and codebook fitting</w:t>
            </w:r>
          </w:p>
        </w:tc>
        <w:tc>
          <w:tcPr>
            <w:tcW w:type="dxa" w:w="246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Indices plus shared codebooks</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Storage improves; graph shape often unchanged</w:t>
            </w:r>
          </w:p>
        </w:tc>
      </w:tr>
      <w:tr>
        <w:tc>
          <w:tcPr>
            <w:tcW w:type="dxa" w:w="14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Parameter sharing</w:t>
            </w:r>
          </w:p>
        </w:tc>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Tie or cluster repeated blocks/components</w:t>
            </w:r>
          </w:p>
        </w:tc>
        <w:tc>
          <w:tcPr>
            <w:tcW w:type="dxa" w:w="246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Fewer distinct parameters</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May not reduce FLOPs; requires genuine functional similarity</w:t>
            </w:r>
          </w:p>
        </w:tc>
      </w:tr>
      <w:tr>
        <w:tc>
          <w:tcPr>
            <w:tcW w:type="dxa" w:w="14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Architecture surgery</w:t>
            </w:r>
          </w:p>
        </w:tc>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Gated training or constrained search</w:t>
            </w:r>
          </w:p>
        </w:tc>
        <w:tc>
          <w:tcPr>
            <w:tcW w:type="dxa" w:w="246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A smaller dense Transformer</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Search and recovery can be expensive</w:t>
            </w:r>
          </w:p>
        </w:tc>
      </w:tr>
    </w:tbl>
    <w:p>
      <w:pPr>
        <w:spacing w:after="20"/>
      </w:pPr>
    </w:p>
    <w:p>
      <w:pPr>
        <w:pStyle w:val="Caption"/>
        <w:keepNext w:val="0"/>
        <w:jc w:val="center"/>
      </w:pPr>
      <w:r>
        <w:rPr>
          <w:rFonts w:ascii="Calibri" w:hAnsi="Calibri" w:eastAsia="Calibri"/>
          <w:i/>
          <w:color w:val="5F6770"/>
          <w:sz w:val="18"/>
        </w:rPr>
        <w:t>Table 1. Compression families that do not require a teacher–student pair.</w:t>
      </w:r>
    </w:p>
    <w:p>
      <w:pPr>
        <w:keepNext w:val="0"/>
      </w:pPr>
      <w:r>
        <w:rPr>
          <w:rFonts w:ascii="Calibri" w:hAnsi="Calibri" w:eastAsia="Calibri"/>
          <w:i w:val="0"/>
          <w:color w:val="202428"/>
        </w:rPr>
        <w:t>Examples include GPTQ for approximate second-order post-training quantization [5], SparseGPT for one-shot pruning [6], AWQ for activation-aware channel scaling [7], AQLM for additive codebooks [8], SVD-LLM for truncation-aware low-rank factorization [9], and Sheared LLaMA or TransAct for dense structural changes [10,11]. These methods already cover much of the practical compression space. A singular-geometry method must therefore beat strong members of the relevant output class, not merely naive rounding or random pruning.</w:t>
      </w:r>
    </w:p>
    <w:p>
      <w:pPr>
        <w:pStyle w:val="Heading1"/>
      </w:pPr>
      <w:r>
        <w:t>3. What the Hessian contributes—and what it misses</w:t>
      </w:r>
    </w:p>
    <w:p>
      <w:pPr>
        <w:pStyle w:val="Heading2"/>
      </w:pPr>
      <w:r>
        <w:t>3.1 The quadratic model</w:t>
      </w:r>
    </w:p>
    <w:p>
      <w:pPr>
        <w:keepNext w:val="0"/>
      </w:pPr>
      <w:r>
        <w:rPr>
          <w:rFonts w:ascii="Calibri" w:hAnsi="Calibri" w:eastAsia="Calibri"/>
          <w:i w:val="0"/>
          <w:color w:val="202428"/>
        </w:rPr>
        <w:t>Near a trained point w*, write δw = w − w*. If the gradient is negligible and the loss is twice differentiable, the usual local approximation is</w:t>
      </w:r>
    </w:p>
    <w:p>
      <w:pPr>
        <w:keepLines/>
        <w:spacing w:before="100" w:after="140"/>
        <w:jc w:val="center"/>
      </w:pPr>
      <w:r>
        <w:rPr>
          <w:rFonts w:ascii="Cambria Math" w:hAnsi="Cambria Math" w:eastAsia="Cambria Math"/>
          <w:color w:val="203748"/>
          <w:sz w:val="23"/>
        </w:rPr>
        <w:t>L(w* + δw) − L(w*) ≈ ½ δw</w:t>
      </w:r>
      <w:r>
        <w:rPr>
          <w:rFonts w:ascii="Cambria Math" w:hAnsi="Cambria Math" w:eastAsia="Cambria Math"/>
          <w:color w:val="203748"/>
          <w:sz w:val="19"/>
          <w:vertAlign w:val="superscript"/>
        </w:rPr>
        <w:t>T</w:t>
      </w:r>
      <w:r>
        <w:rPr>
          <w:rFonts w:ascii="Cambria Math" w:hAnsi="Cambria Math" w:eastAsia="Cambria Math"/>
          <w:color w:val="203748"/>
          <w:sz w:val="23"/>
        </w:rPr>
        <w:t xml:space="preserve"> H δw,      H = ∇</w:t>
      </w:r>
      <w:r>
        <w:rPr>
          <w:rFonts w:ascii="Cambria Math" w:hAnsi="Cambria Math" w:eastAsia="Cambria Math"/>
          <w:color w:val="203748"/>
          <w:sz w:val="19"/>
          <w:vertAlign w:val="superscript"/>
        </w:rPr>
        <w:t>2</w:t>
      </w:r>
      <w:r>
        <w:rPr>
          <w:rFonts w:ascii="Cambria Math" w:hAnsi="Cambria Math" w:eastAsia="Cambria Math"/>
          <w:color w:val="203748"/>
          <w:sz w:val="23"/>
        </w:rPr>
        <w:t>L(w*).</w:t>
      </w:r>
      <w:r>
        <w:rPr>
          <w:rFonts w:ascii="Cambria Math" w:hAnsi="Cambria Math" w:eastAsia="Cambria Math"/>
          <w:color w:val="203748"/>
          <w:sz w:val="23"/>
        </w:rPr>
        <w:t xml:space="preserve">    (1)</w:t>
      </w:r>
    </w:p>
    <w:p>
      <w:pPr>
        <w:keepNext w:val="0"/>
      </w:pPr>
      <w:r>
        <w:rPr>
          <w:rFonts w:ascii="Calibri" w:hAnsi="Calibri" w:eastAsia="Calibri"/>
          <w:i w:val="0"/>
          <w:color w:val="202428"/>
        </w:rPr>
        <w:t>For an eigenpair Hvi = hi vi, small hi means a perturbation along vi is cheap in this approximation; large hi means it is expensive. Compression then becomes an error-allocation problem: quantize or prune in low-curvature directions and compensate changes using the inverse or a damped inverse of the Hessian. Optimal Brain Surgeon is the classical template; GPTQ and SparseGPT adapt related second-order logic to large linear layers [5,6,13].</w:t>
      </w:r>
    </w:p>
    <w:p>
      <w:pPr>
        <w:keepNext w:val="0"/>
      </w:pPr>
      <w:r>
        <w:rPr>
          <w:rFonts w:ascii="Calibri" w:hAnsi="Calibri" w:eastAsia="Calibri"/>
          <w:i w:val="0"/>
          <w:color w:val="202428"/>
        </w:rPr>
        <w:t>For a linear layer Y = WX with calibration activations X, a common layerwise proxy is HX = XXᵀ. Replacing W by Ŵ gives</w:t>
      </w:r>
    </w:p>
    <w:p>
      <w:pPr>
        <w:keepLines/>
        <w:spacing w:before="100" w:after="140"/>
        <w:jc w:val="center"/>
      </w:pPr>
      <w:r>
        <w:rPr>
          <w:rFonts w:ascii="Cambria Math" w:hAnsi="Cambria Math" w:eastAsia="Cambria Math"/>
          <w:color w:val="203748"/>
          <w:sz w:val="23"/>
        </w:rPr>
        <w:t>‖WX − ŴX‖</w:t>
      </w:r>
      <w:r>
        <w:rPr>
          <w:rFonts w:ascii="Cambria Math" w:hAnsi="Cambria Math" w:eastAsia="Cambria Math"/>
          <w:color w:val="203748"/>
          <w:sz w:val="19"/>
          <w:vertAlign w:val="subscript"/>
        </w:rPr>
        <w:t>F</w:t>
      </w:r>
      <w:r>
        <w:rPr>
          <w:rFonts w:ascii="Cambria Math" w:hAnsi="Cambria Math" w:eastAsia="Cambria Math"/>
          <w:color w:val="203748"/>
          <w:sz w:val="19"/>
          <w:vertAlign w:val="superscript"/>
        </w:rPr>
        <w:t>2</w:t>
      </w:r>
      <w:r>
        <w:rPr>
          <w:rFonts w:ascii="Cambria Math" w:hAnsi="Cambria Math" w:eastAsia="Cambria Math"/>
          <w:color w:val="203748"/>
          <w:sz w:val="23"/>
        </w:rPr>
        <w:t xml:space="preserve"> = Tr[(W − Ŵ) H</w:t>
      </w:r>
      <w:r>
        <w:rPr>
          <w:rFonts w:ascii="Cambria Math" w:hAnsi="Cambria Math" w:eastAsia="Cambria Math"/>
          <w:color w:val="203748"/>
          <w:sz w:val="19"/>
          <w:vertAlign w:val="subscript"/>
        </w:rPr>
        <w:t>X</w:t>
      </w:r>
      <w:r>
        <w:rPr>
          <w:rFonts w:ascii="Cambria Math" w:hAnsi="Cambria Math" w:eastAsia="Cambria Math"/>
          <w:color w:val="203748"/>
          <w:sz w:val="23"/>
        </w:rPr>
        <w:t xml:space="preserve"> (W − Ŵ)</w:t>
      </w:r>
      <w:r>
        <w:rPr>
          <w:rFonts w:ascii="Cambria Math" w:hAnsi="Cambria Math" w:eastAsia="Cambria Math"/>
          <w:color w:val="203748"/>
          <w:sz w:val="19"/>
          <w:vertAlign w:val="superscript"/>
        </w:rPr>
        <w:t>T</w:t>
      </w:r>
      <w:r>
        <w:rPr>
          <w:rFonts w:ascii="Cambria Math" w:hAnsi="Cambria Math" w:eastAsia="Cambria Math"/>
          <w:color w:val="203748"/>
          <w:sz w:val="23"/>
        </w:rPr>
        <w:t>].</w:t>
      </w:r>
      <w:r>
        <w:rPr>
          <w:rFonts w:ascii="Cambria Math" w:hAnsi="Cambria Math" w:eastAsia="Cambria Math"/>
          <w:color w:val="203748"/>
          <w:sz w:val="23"/>
        </w:rPr>
        <w:t xml:space="preserve">    (2)</w:t>
      </w:r>
    </w:p>
    <w:p>
      <w:pPr>
        <w:keepNext w:val="0"/>
      </w:pPr>
      <w:r>
        <w:rPr>
          <w:rFonts w:ascii="Calibri" w:hAnsi="Calibri" w:eastAsia="Calibri"/>
          <w:i w:val="0"/>
          <w:color w:val="202428"/>
        </w:rPr>
        <w:t>This is often called Hessian-aware because HX is the exact curvature of the layer reconstruction objective. It is not necessarily the full end-to-end loss Hessian. That distinction matters when downstream compensation, nonlinearities and cross-layer interactions dominate.</w:t>
      </w:r>
    </w:p>
    <w:p>
      <w:pPr>
        <w:pStyle w:val="Heading2"/>
      </w:pPr>
      <w:r>
        <w:t>3.2 Hessian eigenvalues are not weight singular values</w:t>
      </w:r>
    </w:p>
    <w:p>
      <w:pPr>
        <w:keepNext w:val="0"/>
      </w:pPr>
      <w:r>
        <w:rPr>
          <w:rFonts w:ascii="Calibri" w:hAnsi="Calibri" w:eastAsia="Calibri"/>
          <w:i w:val="0"/>
          <w:color w:val="202428"/>
        </w:rPr>
        <w:t>There are two spectra in common compression discussions. Eigenvalues of H describe local loss sensitivity in parameter space. Singular values of a weight or activation-weighted matrix describe algebraic or data-weighted rank. Truncated SVD removes small singular directions of a matrix; it is not automatically removing flat directions of the end-to-end loss. SVD-LLM explicitly whitens with calibration data so truncation is better aligned with output error [9].</w:t>
      </w:r>
    </w:p>
    <w:p>
      <w:pPr>
        <w:pStyle w:val="Heading2"/>
      </w:pPr>
      <w:r>
        <w:t>3.3 Why damping does not recover singular geometry</w:t>
      </w:r>
    </w:p>
    <w:p>
      <w:pPr>
        <w:keepNext w:val="0"/>
      </w:pPr>
      <w:r>
        <w:rPr>
          <w:rFonts w:ascii="Calibri" w:hAnsi="Calibri" w:eastAsia="Calibri"/>
          <w:i w:val="0"/>
          <w:color w:val="202428"/>
        </w:rPr>
        <w:t>Replacing H by H + ηI makes inversion stable and turns exactly flat directions into weakly curved directions. This is computationally useful, but η is imposed curvature. It does not reveal whether the true loss starts at cubic, quartic or product order, nor whether the low-loss set has several branches. A damped quadratic proxy remains a quadratic proxy.</w:t>
      </w:r>
    </w:p>
    <w:tbl>
      <w:tblPr>
        <w:tblW w:type="dxa" w:w="9360"/>
        <w:jc w:val="left"/>
        <w:tblLayout w:type="fixed"/>
        <w:tblLook w:firstColumn="1" w:firstRow="1" w:lastColumn="0" w:lastRow="0" w:noHBand="0" w:noVBand="1" w:val="04A0"/>
        <w:tblInd w:w="120" w:type="dxa"/>
        <w:tblBorders>
          <w:top w:val="single" w:sz="2" w:color="EAF1F6"/>
          <w:left w:val="single" w:sz="2" w:color="EAF1F6"/>
          <w:bottom w:val="single" w:sz="2" w:color="EAF1F6"/>
          <w:right w:val="single" w:sz="2" w:color="EAF1F6"/>
          <w:insideH w:val="single" w:sz="2" w:color="EAF1F6"/>
          <w:insideV w:val="single" w:sz="2" w:color="EAF1F6"/>
        </w:tblBorders>
      </w:tblPr>
      <w:tblGrid>
        <w:gridCol w:w="9360"/>
      </w:tblGrid>
      <w:tr>
        <w:tc>
          <w:tcPr>
            <w:tcW w:type="dxa" w:w="9360"/>
            <w:tcMar>
              <w:top w:w="80" w:type="dxa"/>
              <w:start w:w="120" w:type="dxa"/>
              <w:bottom w:w="80" w:type="dxa"/>
              <w:end w:w="120" w:type="dxa"/>
            </w:tcMar>
            <w:vAlign w:val="center"/>
            <w:shd w:fill="EAF1F6"/>
          </w:tcPr>
          <w:p>
            <w:pPr>
              <w:spacing w:before="40" w:after="40" w:line="269" w:lineRule="auto"/>
            </w:pPr>
            <w:r>
              <w:rPr>
                <w:rFonts w:ascii="Calibri" w:hAnsi="Calibri" w:eastAsia="Calibri"/>
                <w:b/>
                <w:color w:val="2E74B5"/>
                <w:sz w:val="18"/>
              </w:rPr>
              <w:t xml:space="preserve">CRITICAL DISTINCTION  </w:t>
            </w:r>
            <w:r>
              <w:rPr>
                <w:rFonts w:ascii="Calibri" w:hAnsi="Calibri" w:eastAsia="Calibri"/>
                <w:color w:val="203748"/>
                <w:sz w:val="21"/>
              </w:rPr>
              <w:t>A flat Hessian direction is a candidate for compression, not proof of removable structure. It may be an exact gauge direction, a high-order but important direction, a finite-data artifact, or a coordinate direction whose removal is only safe jointly with another component.</w:t>
            </w:r>
          </w:p>
        </w:tc>
      </w:tr>
    </w:tbl>
    <w:p/>
    <w:p>
      <w:pPr>
        <w:pStyle w:val="Heading1"/>
      </w:pPr>
      <w:r>
        <w:t>4. Singular and non-Gaussian loss geometry</w:t>
      </w:r>
    </w:p>
    <w:p>
      <w:pPr>
        <w:keepNext w:val="0"/>
      </w:pPr>
      <w:r>
        <w:rPr>
          <w:rFonts w:ascii="Calibri" w:hAnsi="Calibri" w:eastAsia="Calibri"/>
          <w:i w:val="0"/>
          <w:color w:val="202428"/>
        </w:rPr>
        <w:t>Neural networks are singular statistical models: distinct parameter values can represent the same function, and the set of optimal parameters need not be a smooth isolated point. Consequently, Laplace approximations and formulas that divide by det H can be ill-defined or misleading [1,14]. The useful object is the volume and topology of low-loss parameter sets, not only their quadratic tangent.</w:t>
      </w:r>
    </w:p>
    <w:p>
      <w:pPr>
        <w:jc w:val="center"/>
      </w:pPr>
      <w:r>
        <w:drawing>
          <wp:inline xmlns:a="http://schemas.openxmlformats.org/drawingml/2006/main" xmlns:pic="http://schemas.openxmlformats.org/drawingml/2006/picture">
            <wp:extent cx="5897880" cy="2129790"/>
            <wp:docPr id="1" name="Picture 1" title="Three local loss geometries" descr="Three panels compare a regular quadratic basin, a free or gauge direction, and a product singularity with intersecting zero-loss branches."/>
            <wp:cNvGraphicFramePr>
              <a:graphicFrameLocks noChangeAspect="1"/>
            </wp:cNvGraphicFramePr>
            <a:graphic>
              <a:graphicData uri="http://schemas.openxmlformats.org/drawingml/2006/picture">
                <pic:pic>
                  <pic:nvPicPr>
                    <pic:cNvPr id="0" name="singular_geometries.png"/>
                    <pic:cNvPicPr/>
                  </pic:nvPicPr>
                  <pic:blipFill>
                    <a:blip r:embed="rId11"/>
                    <a:stretch>
                      <a:fillRect/>
                    </a:stretch>
                  </pic:blipFill>
                  <pic:spPr>
                    <a:xfrm>
                      <a:off x="0" y="0"/>
                      <a:ext cx="5897880" cy="2129790"/>
                    </a:xfrm>
                    <a:prstGeom prst="rect"/>
                  </pic:spPr>
                </pic:pic>
              </a:graphicData>
            </a:graphic>
          </wp:inline>
        </w:drawing>
      </w:r>
    </w:p>
    <w:p>
      <w:pPr>
        <w:pStyle w:val="Caption"/>
        <w:keepNext w:val="0"/>
        <w:jc w:val="center"/>
      </w:pPr>
      <w:r>
        <w:rPr>
          <w:rFonts w:ascii="Calibri" w:hAnsi="Calibri" w:eastAsia="Calibri"/>
          <w:i/>
          <w:color w:val="5F6770"/>
          <w:sz w:val="18"/>
        </w:rPr>
        <w:t>Figure 1. A zero Hessian can mean either a genuinely free coordinate or a higher-order/product constraint; the compression actions are different.</w:t>
      </w:r>
    </w:p>
    <w:p>
      <w:pPr>
        <w:keepNext w:val="0"/>
      </w:pPr>
      <w:r>
        <w:rPr>
          <w:rFonts w:ascii="Calibri" w:hAnsi="Calibri" w:eastAsia="Calibri"/>
          <w:i w:val="0"/>
          <w:color w:val="202428"/>
        </w:rPr>
        <w:t>Two toy examples are diagnostic. For K(u,v) = u² + v⁴, the Hessian rank at the origin is one, so rank(H)/2 = 1/2, but the sublevel volume scales as ε³⁄⁴; the quartic direction is not free. For K(u,v) = u²v⁴, the zero set is a union of branches and the local learning coefficient is 1/4. The Hessian at the origin is zero and cannot distinguish this product constraint from a completely flat loss.</w:t>
      </w:r>
    </w:p>
    <w:p>
      <w:pPr>
        <w:keepNext w:val="0"/>
      </w:pPr>
      <w:r>
        <w:rPr>
          <w:rFonts w:ascii="Calibri" w:hAnsi="Calibri" w:eastAsia="Calibri"/>
          <w:i w:val="0"/>
          <w:color w:val="202428"/>
        </w:rPr>
        <w:t>The numerical question is therefore not merely ‘which eigenvalues are small?’ It is ‘what is the first nonzero, structurally aligned dependence of loss on the Hessian-null coordinates, and what branches or invariants does that dependence imply?’</w:t>
      </w:r>
    </w:p>
    <w:p>
      <w:pPr>
        <w:pStyle w:val="Heading1"/>
      </w:pPr>
      <w:r>
        <w:t>5. The local learning coefficient</w:t>
      </w:r>
    </w:p>
    <w:p>
      <w:pPr>
        <w:pStyle w:val="Heading2"/>
      </w:pPr>
      <w:r>
        <w:t>5.1 Definition and coding meaning</w:t>
      </w:r>
    </w:p>
    <w:p>
      <w:pPr>
        <w:keepNext w:val="0"/>
      </w:pPr>
      <w:r>
        <w:rPr>
          <w:rFonts w:ascii="Calibri" w:hAnsi="Calibri" w:eastAsia="Calibri"/>
          <w:i w:val="0"/>
          <w:color w:val="202428"/>
        </w:rPr>
        <w:t>Let K(w) be the population excess loss or a suitable empirical surrogate, with K(w*) = 0. Define the local ε-sublevel volume</w:t>
      </w:r>
    </w:p>
    <w:p>
      <w:pPr>
        <w:keepLines/>
        <w:spacing w:before="100" w:after="140"/>
        <w:jc w:val="center"/>
      </w:pPr>
      <w:r>
        <w:rPr>
          <w:rFonts w:ascii="Cambria Math" w:hAnsi="Cambria Math" w:eastAsia="Cambria Math"/>
          <w:color w:val="203748"/>
          <w:sz w:val="23"/>
        </w:rPr>
        <w:t>V(ε) = Vol{w : K(w) ≤ ε}  ~  C ε</w:t>
      </w:r>
      <w:r>
        <w:rPr>
          <w:rFonts w:ascii="Cambria Math" w:hAnsi="Cambria Math" w:eastAsia="Cambria Math"/>
          <w:color w:val="203748"/>
          <w:sz w:val="19"/>
          <w:vertAlign w:val="superscript"/>
        </w:rPr>
        <w:t>λ</w:t>
      </w:r>
      <w:r>
        <w:rPr>
          <w:rFonts w:ascii="Cambria Math" w:hAnsi="Cambria Math" w:eastAsia="Cambria Math"/>
          <w:color w:val="203748"/>
          <w:sz w:val="23"/>
        </w:rPr>
        <w:t xml:space="preserve"> [log(1/ε)]</w:t>
      </w:r>
      <w:r>
        <w:rPr>
          <w:rFonts w:ascii="Cambria Math" w:hAnsi="Cambria Math" w:eastAsia="Cambria Math"/>
          <w:color w:val="203748"/>
          <w:sz w:val="19"/>
          <w:vertAlign w:val="superscript"/>
        </w:rPr>
        <w:t>m−1</w:t>
      </w:r>
      <w:r>
        <w:rPr>
          <w:rFonts w:ascii="Cambria Math" w:hAnsi="Cambria Math" w:eastAsia="Cambria Math"/>
          <w:color w:val="203748"/>
          <w:sz w:val="23"/>
        </w:rPr>
        <w:t>.</w:t>
      </w:r>
      <w:r>
        <w:rPr>
          <w:rFonts w:ascii="Cambria Math" w:hAnsi="Cambria Math" w:eastAsia="Cambria Math"/>
          <w:color w:val="203748"/>
          <w:sz w:val="23"/>
        </w:rPr>
        <w:t xml:space="preserve">    (3)</w:t>
      </w:r>
    </w:p>
    <w:p>
      <w:pPr>
        <w:keepNext w:val="0"/>
      </w:pPr>
      <w:r>
        <w:rPr>
          <w:rFonts w:ascii="Calibri" w:hAnsi="Calibri" w:eastAsia="Calibri"/>
          <w:i w:val="0"/>
          <w:color w:val="202428"/>
        </w:rPr>
        <w:t>The exponent λ is the real log canonical threshold, called the learning coefficient or LLC in this local neural-network setting; m is its multiplicity. A regular d-dimensional quadratic model has λ = d/2 and m = 1. Singular models can have λ &lt; d/2 because more parameter volume represents nearly the same distribution [2,3].</w:t>
      </w:r>
    </w:p>
    <w:p>
      <w:pPr>
        <w:keepNext w:val="0"/>
      </w:pPr>
      <w:r>
        <w:rPr>
          <w:rFonts w:ascii="Calibri" w:hAnsi="Calibri" w:eastAsia="Calibri"/>
          <w:i w:val="0"/>
          <w:color w:val="202428"/>
        </w:rPr>
        <w:t>The singular MDL result gives an asymptotic model-description redundancy</w:t>
      </w:r>
    </w:p>
    <w:p>
      <w:pPr>
        <w:keepLines/>
        <w:spacing w:before="100" w:after="140"/>
        <w:jc w:val="center"/>
      </w:pPr>
      <w:r>
        <w:rPr>
          <w:rFonts w:ascii="Cambria Math" w:hAnsi="Cambria Math" w:eastAsia="Cambria Math"/>
          <w:color w:val="203748"/>
          <w:sz w:val="23"/>
        </w:rPr>
        <w:t>R</w:t>
      </w:r>
      <w:r>
        <w:rPr>
          <w:rFonts w:ascii="Cambria Math" w:hAnsi="Cambria Math" w:eastAsia="Cambria Math"/>
          <w:color w:val="203748"/>
          <w:sz w:val="19"/>
          <w:vertAlign w:val="subscript"/>
        </w:rPr>
        <w:t>n</w:t>
      </w:r>
      <w:r>
        <w:rPr>
          <w:rFonts w:ascii="Cambria Math" w:hAnsi="Cambria Math" w:eastAsia="Cambria Math"/>
          <w:color w:val="203748"/>
          <w:sz w:val="23"/>
        </w:rPr>
        <w:t xml:space="preserve"> = λ log n − (m − 1) log log n + O</w:t>
      </w:r>
      <w:r>
        <w:rPr>
          <w:rFonts w:ascii="Cambria Math" w:hAnsi="Cambria Math" w:eastAsia="Cambria Math"/>
          <w:color w:val="203748"/>
          <w:sz w:val="19"/>
          <w:vertAlign w:val="subscript"/>
        </w:rPr>
        <w:t>p</w:t>
      </w:r>
      <w:r>
        <w:rPr>
          <w:rFonts w:ascii="Cambria Math" w:hAnsi="Cambria Math" w:eastAsia="Cambria Math"/>
          <w:color w:val="203748"/>
          <w:sz w:val="23"/>
        </w:rPr>
        <w:t>(1),</w:t>
      </w:r>
      <w:r>
        <w:rPr>
          <w:rFonts w:ascii="Cambria Math" w:hAnsi="Cambria Math" w:eastAsia="Cambria Math"/>
          <w:color w:val="203748"/>
          <w:sz w:val="23"/>
        </w:rPr>
        <w:t xml:space="preserve">    (4)</w:t>
      </w:r>
    </w:p>
    <w:p>
      <w:pPr>
        <w:keepNext w:val="0"/>
      </w:pPr>
      <w:r>
        <w:rPr>
          <w:rFonts w:ascii="Calibri" w:hAnsi="Calibri" w:eastAsia="Calibri"/>
          <w:i w:val="0"/>
          <w:color w:val="202428"/>
        </w:rPr>
        <w:t>and, for a simple uniform grid at tolerance ε, a leading critical bit budget per coordinate</w:t>
      </w:r>
    </w:p>
    <w:p>
      <w:pPr>
        <w:keepLines/>
        <w:spacing w:before="100" w:after="140"/>
        <w:jc w:val="center"/>
      </w:pPr>
      <w:r>
        <w:rPr>
          <w:rFonts w:ascii="Cambria Math" w:hAnsi="Cambria Math" w:eastAsia="Cambria Math"/>
          <w:color w:val="203748"/>
          <w:sz w:val="23"/>
        </w:rPr>
        <w:t>b</w:t>
      </w:r>
      <w:r>
        <w:rPr>
          <w:rFonts w:ascii="Cambria Math" w:hAnsi="Cambria Math" w:eastAsia="Cambria Math"/>
          <w:color w:val="203748"/>
          <w:sz w:val="19"/>
          <w:vertAlign w:val="superscript"/>
        </w:rPr>
        <w:t>*</w:t>
      </w:r>
      <w:r>
        <w:rPr>
          <w:rFonts w:ascii="Cambria Math" w:hAnsi="Cambria Math" w:eastAsia="Cambria Math"/>
          <w:color w:val="203748"/>
          <w:sz w:val="23"/>
        </w:rPr>
        <w:t>(ε) ≈ (λ/d) log</w:t>
      </w:r>
      <w:r>
        <w:rPr>
          <w:rFonts w:ascii="Cambria Math" w:hAnsi="Cambria Math" w:eastAsia="Cambria Math"/>
          <w:color w:val="203748"/>
          <w:sz w:val="19"/>
          <w:vertAlign w:val="subscript"/>
        </w:rPr>
        <w:t>2</w:t>
      </w:r>
      <w:r>
        <w:rPr>
          <w:rFonts w:ascii="Cambria Math" w:hAnsi="Cambria Math" w:eastAsia="Cambria Math"/>
          <w:color w:val="203748"/>
          <w:sz w:val="23"/>
        </w:rPr>
        <w:t>(1/ε),</w:t>
      </w:r>
      <w:r>
        <w:rPr>
          <w:rFonts w:ascii="Cambria Math" w:hAnsi="Cambria Math" w:eastAsia="Cambria Math"/>
          <w:color w:val="203748"/>
          <w:sz w:val="23"/>
        </w:rPr>
        <w:t xml:space="preserve">    (5)</w:t>
      </w:r>
    </w:p>
    <w:p>
      <w:pPr>
        <w:keepNext w:val="0"/>
      </w:pPr>
      <w:r>
        <w:rPr>
          <w:rFonts w:ascii="Calibri" w:hAnsi="Calibri" w:eastAsia="Calibri"/>
          <w:i w:val="0"/>
          <w:color w:val="202428"/>
        </w:rPr>
        <w:t>up to logarithmic corrections and assumptions made in the code construction [3]. This explains why LLC can predict compressibility. It does not identify a basis, a branch or an architectural edit: λ is a scalar volume exponent.</w:t>
      </w:r>
    </w:p>
    <w:p>
      <w:pPr>
        <w:pStyle w:val="Heading2"/>
      </w:pPr>
      <w:r>
        <w:t>5.2 How LLC is measured</w:t>
      </w:r>
    </w:p>
    <w:p>
      <w:pPr>
        <w:keepNext w:val="0"/>
      </w:pPr>
      <w:r>
        <w:rPr>
          <w:rFonts w:ascii="Calibri" w:hAnsi="Calibri" w:eastAsia="Calibri"/>
          <w:i w:val="0"/>
          <w:color w:val="202428"/>
        </w:rPr>
        <w:t>The scalable estimator of Lau et al. uses a localized Gibbs distribution around w* [2]. One common convention is</w:t>
      </w:r>
    </w:p>
    <w:p>
      <w:pPr>
        <w:keepLines/>
        <w:spacing w:before="100" w:after="140"/>
        <w:jc w:val="center"/>
      </w:pPr>
      <w:r>
        <w:rPr>
          <w:rFonts w:ascii="Cambria Math" w:hAnsi="Cambria Math" w:eastAsia="Cambria Math"/>
          <w:color w:val="203748"/>
          <w:sz w:val="23"/>
        </w:rPr>
        <w:t>π(w|w*,β,γ) ∝ exp{−nβ L</w:t>
      </w:r>
      <w:r>
        <w:rPr>
          <w:rFonts w:ascii="Cambria Math" w:hAnsi="Cambria Math" w:eastAsia="Cambria Math"/>
          <w:color w:val="203748"/>
          <w:sz w:val="19"/>
          <w:vertAlign w:val="subscript"/>
        </w:rPr>
        <w:t>n</w:t>
      </w:r>
      <w:r>
        <w:rPr>
          <w:rFonts w:ascii="Cambria Math" w:hAnsi="Cambria Math" w:eastAsia="Cambria Math"/>
          <w:color w:val="203748"/>
          <w:sz w:val="23"/>
        </w:rPr>
        <w:t>(w) − (γ/2)‖w − w*‖</w:t>
      </w:r>
      <w:r>
        <w:rPr>
          <w:rFonts w:ascii="Cambria Math" w:hAnsi="Cambria Math" w:eastAsia="Cambria Math"/>
          <w:color w:val="203748"/>
          <w:sz w:val="19"/>
          <w:vertAlign w:val="superscript"/>
        </w:rPr>
        <w:t>2</w:t>
      </w:r>
      <w:r>
        <w:rPr>
          <w:rFonts w:ascii="Cambria Math" w:hAnsi="Cambria Math" w:eastAsia="Cambria Math"/>
          <w:color w:val="203748"/>
          <w:sz w:val="23"/>
        </w:rPr>
        <w:t>},</w:t>
      </w:r>
      <w:r>
        <w:rPr>
          <w:rFonts w:ascii="Cambria Math" w:hAnsi="Cambria Math" w:eastAsia="Cambria Math"/>
          <w:color w:val="203748"/>
          <w:sz w:val="23"/>
        </w:rPr>
        <w:t xml:space="preserve">    (6)</w:t>
      </w:r>
    </w:p>
    <w:p>
      <w:pPr>
        <w:keepLines/>
        <w:spacing w:before="100" w:after="140"/>
        <w:jc w:val="center"/>
      </w:pPr>
      <w:r>
        <w:rPr>
          <w:rFonts w:ascii="Cambria Math" w:hAnsi="Cambria Math" w:eastAsia="Cambria Math"/>
          <w:color w:val="203748"/>
          <w:sz w:val="23"/>
        </w:rPr>
        <w:t>λ̂ = nβ [E</w:t>
      </w:r>
      <w:r>
        <w:rPr>
          <w:rFonts w:ascii="Cambria Math" w:hAnsi="Cambria Math" w:eastAsia="Cambria Math"/>
          <w:color w:val="203748"/>
          <w:sz w:val="19"/>
          <w:vertAlign w:val="subscript"/>
        </w:rPr>
        <w:t>π</w:t>
      </w:r>
      <w:r>
        <w:rPr>
          <w:rFonts w:ascii="Cambria Math" w:hAnsi="Cambria Math" w:eastAsia="Cambria Math"/>
          <w:color w:val="203748"/>
          <w:sz w:val="23"/>
        </w:rPr>
        <w:t xml:space="preserve"> L</w:t>
      </w:r>
      <w:r>
        <w:rPr>
          <w:rFonts w:ascii="Cambria Math" w:hAnsi="Cambria Math" w:eastAsia="Cambria Math"/>
          <w:color w:val="203748"/>
          <w:sz w:val="19"/>
          <w:vertAlign w:val="subscript"/>
        </w:rPr>
        <w:t>n</w:t>
      </w:r>
      <w:r>
        <w:rPr>
          <w:rFonts w:ascii="Cambria Math" w:hAnsi="Cambria Math" w:eastAsia="Cambria Math"/>
          <w:color w:val="203748"/>
          <w:sz w:val="23"/>
        </w:rPr>
        <w:t>(w) − L</w:t>
      </w:r>
      <w:r>
        <w:rPr>
          <w:rFonts w:ascii="Cambria Math" w:hAnsi="Cambria Math" w:eastAsia="Cambria Math"/>
          <w:color w:val="203748"/>
          <w:sz w:val="19"/>
          <w:vertAlign w:val="subscript"/>
        </w:rPr>
        <w:t>n</w:t>
      </w:r>
      <w:r>
        <w:rPr>
          <w:rFonts w:ascii="Cambria Math" w:hAnsi="Cambria Math" w:eastAsia="Cambria Math"/>
          <w:color w:val="203748"/>
          <w:sz w:val="23"/>
        </w:rPr>
        <w:t>(w*)].</w:t>
      </w:r>
      <w:r>
        <w:rPr>
          <w:rFonts w:ascii="Cambria Math" w:hAnsi="Cambria Math" w:eastAsia="Cambria Math"/>
          <w:color w:val="203748"/>
          <w:sz w:val="23"/>
        </w:rPr>
        <w:t xml:space="preserve">    (7)</w:t>
      </w:r>
    </w:p>
    <w:p>
      <w:pPr>
        <w:keepNext w:val="0"/>
      </w:pPr>
      <w:r>
        <w:rPr>
          <w:rFonts w:ascii="Calibri" w:hAnsi="Calibri" w:eastAsia="Calibri"/>
          <w:i w:val="0"/>
          <w:color w:val="202428"/>
        </w:rPr>
        <w:t>Stochastic-gradient Langevin dynamics (SGLD), often preconditioned, is the practical sampler at neural-network scale. It is not the definition of LLC and not the only possible estimator. On smaller models one can use MALA, HMC/NUTS, thermodynamic integration, nested sampling or direct sublevel-volume estimation. In large models the alternatives usually lose on memory, accept/reject cost or gradient count. The quadratic localization term γ‖w−w*‖²/2 confines the sampler; it does not replace the nonlinear loss.</w:t>
      </w:r>
    </w:p>
    <w:p>
      <w:pPr>
        <w:pStyle w:val="Heading2"/>
      </w:pPr>
      <w:r>
        <w:t>5.3 The Hessian proxy for LLC</w:t>
      </w:r>
    </w:p>
    <w:p>
      <w:pPr>
        <w:keepNext w:val="0"/>
      </w:pPr>
      <w:r>
        <w:rPr>
          <w:rFonts w:ascii="Calibri" w:hAnsi="Calibri" w:eastAsia="Calibri"/>
          <w:i w:val="0"/>
          <w:color w:val="202428"/>
        </w:rPr>
        <w:t>If the actual loss in (6) is replaced by its quadratic approximation, the localized posterior is Gaussian and the estimator reduces to a soft effective rank:</w:t>
      </w:r>
    </w:p>
    <w:p>
      <w:pPr>
        <w:keepLines/>
        <w:spacing w:before="100" w:after="140"/>
        <w:jc w:val="center"/>
      </w:pPr>
      <w:r>
        <w:rPr>
          <w:rFonts w:ascii="Cambria Math" w:hAnsi="Cambria Math" w:eastAsia="Cambria Math"/>
          <w:color w:val="203748"/>
          <w:sz w:val="23"/>
        </w:rPr>
        <w:t>λ̂</w:t>
      </w:r>
      <w:r>
        <w:rPr>
          <w:rFonts w:ascii="Cambria Math" w:hAnsi="Cambria Math" w:eastAsia="Cambria Math"/>
          <w:color w:val="203748"/>
          <w:sz w:val="19"/>
          <w:vertAlign w:val="subscript"/>
        </w:rPr>
        <w:t>quad</w:t>
      </w:r>
      <w:r>
        <w:rPr>
          <w:rFonts w:ascii="Cambria Math" w:hAnsi="Cambria Math" w:eastAsia="Cambria Math"/>
          <w:color w:val="203748"/>
          <w:sz w:val="23"/>
        </w:rPr>
        <w:t xml:space="preserve"> = ½ Tr[nβH(nβH + γI)</w:t>
      </w:r>
      <w:r>
        <w:rPr>
          <w:rFonts w:ascii="Cambria Math" w:hAnsi="Cambria Math" w:eastAsia="Cambria Math"/>
          <w:color w:val="203748"/>
          <w:sz w:val="19"/>
          <w:vertAlign w:val="superscript"/>
        </w:rPr>
        <w:t>−1</w:t>
      </w:r>
      <w:r>
        <w:rPr>
          <w:rFonts w:ascii="Cambria Math" w:hAnsi="Cambria Math" w:eastAsia="Cambria Math"/>
          <w:color w:val="203748"/>
          <w:sz w:val="23"/>
        </w:rPr>
        <w:t>] = ½ Σ</w:t>
      </w:r>
      <w:r>
        <w:rPr>
          <w:rFonts w:ascii="Cambria Math" w:hAnsi="Cambria Math" w:eastAsia="Cambria Math"/>
          <w:color w:val="203748"/>
          <w:sz w:val="19"/>
          <w:vertAlign w:val="subscript"/>
        </w:rPr>
        <w:t>i</w:t>
      </w:r>
      <w:r>
        <w:rPr>
          <w:rFonts w:ascii="Cambria Math" w:hAnsi="Cambria Math" w:eastAsia="Cambria Math"/>
          <w:color w:val="203748"/>
          <w:sz w:val="23"/>
        </w:rPr>
        <w:t xml:space="preserve"> nβh</w:t>
      </w:r>
      <w:r>
        <w:rPr>
          <w:rFonts w:ascii="Cambria Math" w:hAnsi="Cambria Math" w:eastAsia="Cambria Math"/>
          <w:color w:val="203748"/>
          <w:sz w:val="19"/>
          <w:vertAlign w:val="subscript"/>
        </w:rPr>
        <w:t>i</w:t>
      </w:r>
      <w:r>
        <w:rPr>
          <w:rFonts w:ascii="Cambria Math" w:hAnsi="Cambria Math" w:eastAsia="Cambria Math"/>
          <w:color w:val="203748"/>
          <w:sz w:val="23"/>
        </w:rPr>
        <w:t>/(nβh</w:t>
      </w:r>
      <w:r>
        <w:rPr>
          <w:rFonts w:ascii="Cambria Math" w:hAnsi="Cambria Math" w:eastAsia="Cambria Math"/>
          <w:color w:val="203748"/>
          <w:sz w:val="19"/>
          <w:vertAlign w:val="subscript"/>
        </w:rPr>
        <w:t>i</w:t>
      </w:r>
      <w:r>
        <w:rPr>
          <w:rFonts w:ascii="Cambria Math" w:hAnsi="Cambria Math" w:eastAsia="Cambria Math"/>
          <w:color w:val="203748"/>
          <w:sz w:val="23"/>
        </w:rPr>
        <w:t xml:space="preserve"> + γ).</w:t>
      </w:r>
      <w:r>
        <w:rPr>
          <w:rFonts w:ascii="Cambria Math" w:hAnsi="Cambria Math" w:eastAsia="Cambria Math"/>
          <w:color w:val="203748"/>
          <w:sz w:val="23"/>
        </w:rPr>
        <w:t xml:space="preserve">    (8)</w:t>
      </w:r>
    </w:p>
    <w:p>
      <w:pPr>
        <w:keepNext w:val="0"/>
      </w:pPr>
      <w:r>
        <w:rPr>
          <w:rFonts w:ascii="Calibri" w:hAnsi="Calibri" w:eastAsia="Calibri"/>
          <w:i w:val="0"/>
          <w:color w:val="202428"/>
        </w:rPr>
        <w:t>As localization weakens in well-resolved positive-curvature directions, this tends toward rank(H)/2. It is a cheap diagnostic and sometimes a lower-bound-like signal under analytic conditions, but it discards precisely the higher-order information motivating SLT. Adding ε or η to H only changes the spectral threshold. Therefore a Hessian-only LLC proxy offers little beyond a carefully damped Hessian method.</w:t>
      </w:r>
    </w:p>
    <w:p>
      <w:pPr>
        <w:pStyle w:val="Heading2"/>
      </w:pPr>
      <w:r>
        <w:t>5.4 Measurements useful for compression</w:t>
      </w:r>
    </w:p>
    <w:p>
      <w:pPr>
        <w:pStyle w:val="ListBullet"/>
      </w:pPr>
      <w:r>
        <w:rPr>
          <w:rFonts w:ascii="Calibri" w:hAnsi="Calibri" w:eastAsia="Calibri"/>
          <w:color w:val="202428"/>
        </w:rPr>
        <w:t>Global LLC: estimates the overall rate at which the low-loss volume shrinks and can predict whether aggressive compression is plausible.</w:t>
      </w:r>
    </w:p>
    <w:p>
      <w:pPr>
        <w:pStyle w:val="ListBullet"/>
      </w:pPr>
      <w:r>
        <w:rPr>
          <w:rFonts w:ascii="Calibri" w:hAnsi="Calibri" w:eastAsia="Calibri"/>
          <w:color w:val="202428"/>
        </w:rPr>
        <w:t>Blockwise or refined LLC (rLLC): localizes complexity changes to layers, heads or data subsets. rLLCs have been used to study attention-head differentiation, not yet as a mature architecture compiler [4].</w:t>
      </w:r>
    </w:p>
    <w:p>
      <w:pPr>
        <w:pStyle w:val="ListBullet"/>
      </w:pPr>
      <w:r>
        <w:rPr>
          <w:rFonts w:ascii="Calibri" w:hAnsi="Calibri" w:eastAsia="Calibri"/>
          <w:color w:val="202428"/>
        </w:rPr>
        <w:t>Finite-scale effective LLC: estimates the slope of log V versus log ε over the actual loss-tolerance range. This sacrifices asymptotic purity but is more relevant to 2–4-bit or 30–50% pruning regimes.</w:t>
      </w:r>
    </w:p>
    <w:p>
      <w:pPr>
        <w:pStyle w:val="ListBullet"/>
      </w:pPr>
      <w:r>
        <w:rPr>
          <w:rFonts w:ascii="Calibri" w:hAnsi="Calibri" w:eastAsia="Calibri"/>
          <w:color w:val="202428"/>
        </w:rPr>
        <w:t>Structured perturbation curves: restrict probes to architecture-aligned gates, ranks or group scalings. These measure the geometry the compiler can actually exploit.</w:t>
      </w:r>
    </w:p>
    <w:p>
      <w:pPr>
        <w:pStyle w:val="ListBullet"/>
      </w:pPr>
      <w:r>
        <w:rPr>
          <w:rFonts w:ascii="Calibri" w:hAnsi="Calibri" w:eastAsia="Calibri"/>
          <w:color w:val="202428"/>
        </w:rPr>
        <w:t>Hessian nullspace plus higher-order coefficients: supplies orientation and algebraic form that a scalar LLC lacks.</w:t>
      </w:r>
    </w:p>
    <w:p>
      <w:pPr>
        <w:pStyle w:val="Heading1"/>
      </w:pPr>
      <w:r>
        <w:t>6. What the Murfet-related compression paper already does</w:t>
      </w:r>
    </w:p>
    <w:p>
      <w:pPr>
        <w:keepNext w:val="0"/>
      </w:pPr>
      <w:r>
        <w:rPr>
          <w:rFonts w:ascii="Calibri" w:hAnsi="Calibri" w:eastAsia="Calibri"/>
          <w:i w:val="0"/>
          <w:color w:val="202428"/>
        </w:rPr>
        <w:t>Urdshals et al., Compressibility Measures Complexity: Minimum Description Length Meets Singular Learning Theory, is the closest paper to the question [3]. It extends MDL to singular models and empirically relates LLC estimates to compression thresholds on Pythia checkpoints from 14M to 6.9B parameters.</w:t>
      </w:r>
    </w:p>
    <w:tbl>
      <w:tblPr>
        <w:tblStyle w:val="TableGrid"/>
        <w:tblW w:type="dxa" w:w="9360"/>
        <w:jc w:val="left"/>
        <w:tblLayout w:type="fixed"/>
        <w:tblLook w:firstColumn="1" w:firstRow="1" w:lastColumn="0" w:lastRow="0" w:noHBand="0" w:noVBand="1" w:val="04A0"/>
        <w:tblInd w:w="120" w:type="dxa"/>
        <w:tblBorders>
          <w:top w:val="single" w:sz="6" w:color="D9DEE3"/>
          <w:left w:val="single" w:sz="6" w:color="D9DEE3"/>
          <w:bottom w:val="single" w:sz="6" w:color="D9DEE3"/>
          <w:right w:val="single" w:sz="6" w:color="D9DEE3"/>
          <w:insideH w:val="single" w:sz="6" w:color="D9DEE3"/>
          <w:insideV w:val="single" w:sz="6" w:color="D9DEE3"/>
        </w:tblBorders>
      </w:tblPr>
      <w:tblGrid>
        <w:gridCol w:w="4680"/>
        <w:gridCol w:w="4680"/>
      </w:tblGrid>
      <w:tr>
        <w:trPr>
          <w:tblHeader w:val="true"/>
        </w:trPr>
        <w:tc>
          <w:tcPr>
            <w:tcW w:type="dxa" w:w="468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Already demonstrated</w:t>
            </w:r>
          </w:p>
        </w:tc>
        <w:tc>
          <w:tcPr>
            <w:tcW w:type="dxa" w:w="468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Not yet demonstrated</w:t>
            </w:r>
          </w:p>
        </w:tc>
      </w:tr>
      <w:tr>
        <w:tc>
          <w:tcPr>
            <w:tcW w:type="dxa" w:w="46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A singular two-part coding argument whose leading redundancy depends on λ and m</w:t>
            </w:r>
          </w:p>
        </w:tc>
        <w:tc>
          <w:tcPr>
            <w:tcW w:type="dxa" w:w="46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A procedure that uses λ to choose which concrete parameters, heads, ranks or layers to remove</w:t>
            </w:r>
          </w:p>
        </w:tc>
      </w:tr>
      <w:tr>
        <w:tc>
          <w:tcPr>
            <w:tcW w:type="dxa" w:w="46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Strong selected-range correlation between LLC and the critical quantization level; reported linear fits reach R² ≥ 0.98</w:t>
            </w:r>
          </w:p>
        </w:tc>
        <w:tc>
          <w:tcPr>
            <w:tcW w:type="dxa" w:w="46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A head-to-head compressor against GPTQ, AWQ, SparseGPT, AQLM or SVD-LLM at matched deployment cost</w:t>
            </w:r>
          </w:p>
        </w:tc>
      </w:tr>
      <w:tr>
        <w:tc>
          <w:tcPr>
            <w:tcW w:type="dxa" w:w="46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Experiments with symmetric uniform quantization; appendices also study factorization, Gaussian noise and structured pruning</w:t>
            </w:r>
          </w:p>
        </w:tc>
        <w:tc>
          <w:tcPr>
            <w:tcW w:type="dxa" w:w="46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Directional or branch information from the loss singularity; the LLC remains a scalar predictor</w:t>
            </w:r>
          </w:p>
        </w:tc>
      </w:tr>
      <w:tr>
        <w:tc>
          <w:tcPr>
            <w:tcW w:type="dxa" w:w="46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A scalable preconditioned SGLD estimator on large Transformer checkpoints</w:t>
            </w:r>
          </w:p>
        </w:tc>
        <w:tc>
          <w:tcPr>
            <w:tcW w:type="dxa" w:w="46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A blockwise budget allocator, an architecture grammar, or a compiled smaller Transformer</w:t>
            </w:r>
          </w:p>
        </w:tc>
      </w:tr>
      <w:tr>
        <w:tc>
          <w:tcPr>
            <w:tcW w:type="dxa" w:w="46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Evidence that later/higher-LLC checkpoints are less resistant to several perturbations</w:t>
            </w:r>
          </w:p>
        </w:tc>
        <w:tc>
          <w:tcPr>
            <w:tcW w:type="dxa" w:w="46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Proof that the observed relation generalizes across architectures, datasets and modern compression objectives</w:t>
            </w:r>
          </w:p>
        </w:tc>
      </w:tr>
    </w:tbl>
    <w:p>
      <w:pPr>
        <w:spacing w:after="20"/>
      </w:pPr>
    </w:p>
    <w:p>
      <w:pPr>
        <w:pStyle w:val="Caption"/>
        <w:keepNext w:val="0"/>
        <w:jc w:val="center"/>
      </w:pPr>
      <w:r>
        <w:rPr>
          <w:rFonts w:ascii="Calibri" w:hAnsi="Calibri" w:eastAsia="Calibri"/>
          <w:i/>
          <w:color w:val="5F6770"/>
          <w:sz w:val="18"/>
        </w:rPr>
        <w:t>Table 2. The paper establishes a theory and predictor of compressibility, not an end-to-end singularity-guided compressor.</w:t>
      </w:r>
    </w:p>
    <w:p>
      <w:pPr>
        <w:keepNext w:val="0"/>
      </w:pPr>
      <w:r>
        <w:rPr>
          <w:rFonts w:ascii="Calibri" w:hAnsi="Calibri" w:eastAsia="Calibri"/>
          <w:i w:val="0"/>
          <w:color w:val="202428"/>
        </w:rPr>
        <w:t>The paper’s quantizer searches a clipping range and applies an even symmetric grid. Its factorization experiment uses ordinary low-rank approximations. Its pruning experiment is structurally informative but comparatively rugged. This is enough to test the theoretical prediction that compressibility covaries with λ; it does not exploit non-Gaussian geometry to discover a new parameterization.</w:t>
      </w:r>
    </w:p>
    <w:p>
      <w:pPr>
        <w:pStyle w:val="Heading1"/>
      </w:pPr>
      <w:r>
        <w:t>7. Design requirement: the output must be a deployable thin Transformer</w:t>
      </w:r>
    </w:p>
    <w:p>
      <w:pPr>
        <w:keepNext w:val="0"/>
      </w:pPr>
      <w:r>
        <w:rPr>
          <w:rFonts w:ascii="Calibri" w:hAnsi="Calibri" w:eastAsia="Calibri"/>
          <w:i w:val="0"/>
          <w:color w:val="202428"/>
        </w:rPr>
        <w:t>Landscape geometry does not uniquely determine architecture. The same function can have many parameterizations, and numerical probes do not spontaneously invent a useful CUDA kernel. The method must therefore specify an architecture grammar before measurement. Geometry selects constraints within that grammar; a compiler turns the selected constraints into tensors.</w:t>
      </w:r>
    </w:p>
    <w:tbl>
      <w:tblPr>
        <w:tblW w:type="dxa" w:w="9360"/>
        <w:jc w:val="left"/>
        <w:tblLayout w:type="fixed"/>
        <w:tblLook w:firstColumn="1" w:firstRow="1" w:lastColumn="0" w:lastRow="0" w:noHBand="0" w:noVBand="1" w:val="04A0"/>
        <w:tblInd w:w="120" w:type="dxa"/>
        <w:tblBorders>
          <w:top w:val="single" w:sz="2" w:color="EAF1F6"/>
          <w:left w:val="single" w:sz="2" w:color="EAF1F6"/>
          <w:bottom w:val="single" w:sz="2" w:color="EAF1F6"/>
          <w:right w:val="single" w:sz="2" w:color="EAF1F6"/>
          <w:insideH w:val="single" w:sz="2" w:color="EAF1F6"/>
          <w:insideV w:val="single" w:sz="2" w:color="EAF1F6"/>
        </w:tblBorders>
      </w:tblPr>
      <w:tblGrid>
        <w:gridCol w:w="9360"/>
      </w:tblGrid>
      <w:tr>
        <w:tc>
          <w:tcPr>
            <w:tcW w:type="dxa" w:w="9360"/>
            <w:tcMar>
              <w:top w:w="80" w:type="dxa"/>
              <w:start w:w="120" w:type="dxa"/>
              <w:bottom w:w="80" w:type="dxa"/>
              <w:end w:w="120" w:type="dxa"/>
            </w:tcMar>
            <w:vAlign w:val="center"/>
            <w:shd w:fill="EAF1F6"/>
          </w:tcPr>
          <w:p>
            <w:pPr>
              <w:spacing w:before="40" w:after="40" w:line="269" w:lineRule="auto"/>
            </w:pPr>
            <w:r>
              <w:rPr>
                <w:rFonts w:ascii="Calibri" w:hAnsi="Calibri" w:eastAsia="Calibri"/>
                <w:b/>
                <w:color w:val="2E74B5"/>
                <w:sz w:val="18"/>
              </w:rPr>
              <w:t xml:space="preserve">RECOMMENDED FIRST VERSION  </w:t>
            </w:r>
            <w:r>
              <w:rPr>
                <w:rFonts w:ascii="Calibri" w:hAnsi="Calibri" w:eastAsia="Calibri"/>
                <w:color w:val="203748"/>
                <w:sz w:val="21"/>
              </w:rPr>
              <w:t>Keep the number of layers and residual width fixed. Permit fewer attention heads, smaller Q/K and V/O internal ranks, and narrower MLPs. This already produces an ordinary dense Transformer with fewer parameters and lower FLOPs, while avoiding the global compatibility problems of changing the residual stream.</w:t>
            </w:r>
          </w:p>
        </w:tc>
      </w:tr>
    </w:tbl>
    <w:p/>
    <w:p>
      <w:pPr>
        <w:keepNext w:val="0"/>
      </w:pPr>
      <w:r>
        <w:rPr>
          <w:rFonts w:ascii="Calibri" w:hAnsi="Calibri" w:eastAsia="Calibri"/>
          <w:i w:val="0"/>
          <w:color w:val="202428"/>
        </w:rPr>
        <w:t>A more aggressive compiler may change the Transformer shape from</w:t>
      </w:r>
    </w:p>
    <w:p>
      <w:pPr>
        <w:keepLines/>
        <w:spacing w:before="100" w:after="140"/>
        <w:jc w:val="center"/>
      </w:pPr>
      <w:r>
        <w:rPr>
          <w:rFonts w:ascii="Cambria Math" w:hAnsi="Cambria Math" w:eastAsia="Cambria Math"/>
          <w:color w:val="203748"/>
          <w:sz w:val="23"/>
        </w:rPr>
        <w:t>(L, d</w:t>
      </w:r>
      <w:r>
        <w:rPr>
          <w:rFonts w:ascii="Cambria Math" w:hAnsi="Cambria Math" w:eastAsia="Cambria Math"/>
          <w:color w:val="203748"/>
          <w:sz w:val="19"/>
          <w:vertAlign w:val="subscript"/>
        </w:rPr>
        <w:t>model</w:t>
      </w:r>
      <w:r>
        <w:rPr>
          <w:rFonts w:ascii="Cambria Math" w:hAnsi="Cambria Math" w:eastAsia="Cambria Math"/>
          <w:color w:val="203748"/>
          <w:sz w:val="23"/>
        </w:rPr>
        <w:t>, n</w:t>
      </w:r>
      <w:r>
        <w:rPr>
          <w:rFonts w:ascii="Cambria Math" w:hAnsi="Cambria Math" w:eastAsia="Cambria Math"/>
          <w:color w:val="203748"/>
          <w:sz w:val="19"/>
          <w:vertAlign w:val="subscript"/>
        </w:rPr>
        <w:t>heads</w:t>
      </w:r>
      <w:r>
        <w:rPr>
          <w:rFonts w:ascii="Cambria Math" w:hAnsi="Cambria Math" w:eastAsia="Cambria Math"/>
          <w:color w:val="203748"/>
          <w:sz w:val="23"/>
        </w:rPr>
        <w:t>, d</w:t>
      </w:r>
      <w:r>
        <w:rPr>
          <w:rFonts w:ascii="Cambria Math" w:hAnsi="Cambria Math" w:eastAsia="Cambria Math"/>
          <w:color w:val="203748"/>
          <w:sz w:val="19"/>
          <w:vertAlign w:val="subscript"/>
        </w:rPr>
        <w:t>head</w:t>
      </w:r>
      <w:r>
        <w:rPr>
          <w:rFonts w:ascii="Cambria Math" w:hAnsi="Cambria Math" w:eastAsia="Cambria Math"/>
          <w:color w:val="203748"/>
          <w:sz w:val="23"/>
        </w:rPr>
        <w:t>, d</w:t>
      </w:r>
      <w:r>
        <w:rPr>
          <w:rFonts w:ascii="Cambria Math" w:hAnsi="Cambria Math" w:eastAsia="Cambria Math"/>
          <w:color w:val="203748"/>
          <w:sz w:val="19"/>
          <w:vertAlign w:val="subscript"/>
        </w:rPr>
        <w:t>ff</w:t>
      </w:r>
      <w:r>
        <w:rPr>
          <w:rFonts w:ascii="Cambria Math" w:hAnsi="Cambria Math" w:eastAsia="Cambria Math"/>
          <w:color w:val="203748"/>
          <w:sz w:val="23"/>
        </w:rPr>
        <w:t>)  →  (L′, d′</w:t>
      </w:r>
      <w:r>
        <w:rPr>
          <w:rFonts w:ascii="Cambria Math" w:hAnsi="Cambria Math" w:eastAsia="Cambria Math"/>
          <w:color w:val="203748"/>
          <w:sz w:val="19"/>
          <w:vertAlign w:val="subscript"/>
        </w:rPr>
        <w:t>model</w:t>
      </w:r>
      <w:r>
        <w:rPr>
          <w:rFonts w:ascii="Cambria Math" w:hAnsi="Cambria Math" w:eastAsia="Cambria Math"/>
          <w:color w:val="203748"/>
          <w:sz w:val="23"/>
        </w:rPr>
        <w:t>, {n′</w:t>
      </w:r>
      <w:r>
        <w:rPr>
          <w:rFonts w:ascii="Cambria Math" w:hAnsi="Cambria Math" w:eastAsia="Cambria Math"/>
          <w:color w:val="203748"/>
          <w:sz w:val="19"/>
          <w:vertAlign w:val="subscript"/>
        </w:rPr>
        <w:t>heads,ℓ</w:t>
      </w:r>
      <w:r>
        <w:rPr>
          <w:rFonts w:ascii="Cambria Math" w:hAnsi="Cambria Math" w:eastAsia="Cambria Math"/>
          <w:color w:val="203748"/>
          <w:sz w:val="23"/>
        </w:rPr>
        <w:t>}, {d′</w:t>
      </w:r>
      <w:r>
        <w:rPr>
          <w:rFonts w:ascii="Cambria Math" w:hAnsi="Cambria Math" w:eastAsia="Cambria Math"/>
          <w:color w:val="203748"/>
          <w:sz w:val="19"/>
          <w:vertAlign w:val="subscript"/>
        </w:rPr>
        <w:t>head,ℓ</w:t>
      </w:r>
      <w:r>
        <w:rPr>
          <w:rFonts w:ascii="Cambria Math" w:hAnsi="Cambria Math" w:eastAsia="Cambria Math"/>
          <w:color w:val="203748"/>
          <w:sz w:val="23"/>
        </w:rPr>
        <w:t>}, {d′</w:t>
      </w:r>
      <w:r>
        <w:rPr>
          <w:rFonts w:ascii="Cambria Math" w:hAnsi="Cambria Math" w:eastAsia="Cambria Math"/>
          <w:color w:val="203748"/>
          <w:sz w:val="19"/>
          <w:vertAlign w:val="subscript"/>
        </w:rPr>
        <w:t>ff,ℓ</w:t>
      </w:r>
      <w:r>
        <w:rPr>
          <w:rFonts w:ascii="Cambria Math" w:hAnsi="Cambria Math" w:eastAsia="Cambria Math"/>
          <w:color w:val="203748"/>
          <w:sz w:val="23"/>
        </w:rPr>
        <w:t>}).</w:t>
      </w:r>
      <w:r>
        <w:rPr>
          <w:rFonts w:ascii="Cambria Math" w:hAnsi="Cambria Math" w:eastAsia="Cambria Math"/>
          <w:color w:val="203748"/>
          <w:sz w:val="23"/>
        </w:rPr>
        <w:t xml:space="preserve">    (9)</w:t>
      </w:r>
    </w:p>
    <w:p>
      <w:pPr>
        <w:keepNext w:val="0"/>
      </w:pPr>
      <w:r>
        <w:rPr>
          <w:rFonts w:ascii="Calibri" w:hAnsi="Calibri" w:eastAsia="Calibri"/>
          <w:i w:val="0"/>
          <w:color w:val="202428"/>
        </w:rPr>
        <w:t>For a standard dense decoder block with ordinary multi-head attention and a gated MLP, an indicative parameter count is</w:t>
      </w:r>
    </w:p>
    <w:p>
      <w:pPr>
        <w:keepLines/>
        <w:spacing w:before="100" w:after="140"/>
        <w:jc w:val="center"/>
      </w:pPr>
      <w:r>
        <w:rPr>
          <w:rFonts w:ascii="Cambria Math" w:hAnsi="Cambria Math" w:eastAsia="Cambria Math"/>
          <w:color w:val="203748"/>
          <w:sz w:val="23"/>
        </w:rPr>
        <w:t>N′ ≈ |V|d′</w:t>
      </w:r>
      <w:r>
        <w:rPr>
          <w:rFonts w:ascii="Cambria Math" w:hAnsi="Cambria Math" w:eastAsia="Cambria Math"/>
          <w:color w:val="203748"/>
          <w:sz w:val="19"/>
          <w:vertAlign w:val="subscript"/>
        </w:rPr>
        <w:t>model</w:t>
      </w:r>
      <w:r>
        <w:rPr>
          <w:rFonts w:ascii="Cambria Math" w:hAnsi="Cambria Math" w:eastAsia="Cambria Math"/>
          <w:color w:val="203748"/>
          <w:sz w:val="23"/>
        </w:rPr>
        <w:t xml:space="preserve"> + Σ</w:t>
      </w:r>
      <w:r>
        <w:rPr>
          <w:rFonts w:ascii="Cambria Math" w:hAnsi="Cambria Math" w:eastAsia="Cambria Math"/>
          <w:color w:val="203748"/>
          <w:sz w:val="19"/>
          <w:vertAlign w:val="subscript"/>
        </w:rPr>
        <w:t>ℓ</w:t>
      </w:r>
      <w:r>
        <w:rPr>
          <w:rFonts w:ascii="Cambria Math" w:hAnsi="Cambria Math" w:eastAsia="Cambria Math"/>
          <w:color w:val="203748"/>
          <w:sz w:val="23"/>
        </w:rPr>
        <w:t xml:space="preserve"> [4 d′</w:t>
      </w:r>
      <w:r>
        <w:rPr>
          <w:rFonts w:ascii="Cambria Math" w:hAnsi="Cambria Math" w:eastAsia="Cambria Math"/>
          <w:color w:val="203748"/>
          <w:sz w:val="19"/>
          <w:vertAlign w:val="subscript"/>
        </w:rPr>
        <w:t>model</w:t>
      </w:r>
      <w:r>
        <w:rPr>
          <w:rFonts w:ascii="Cambria Math" w:hAnsi="Cambria Math" w:eastAsia="Cambria Math"/>
          <w:color w:val="203748"/>
          <w:sz w:val="23"/>
        </w:rPr>
        <w:t xml:space="preserve"> a</w:t>
      </w:r>
      <w:r>
        <w:rPr>
          <w:rFonts w:ascii="Cambria Math" w:hAnsi="Cambria Math" w:eastAsia="Cambria Math"/>
          <w:color w:val="203748"/>
          <w:sz w:val="19"/>
          <w:vertAlign w:val="subscript"/>
        </w:rPr>
        <w:t>ℓ</w:t>
      </w:r>
      <w:r>
        <w:rPr>
          <w:rFonts w:ascii="Cambria Math" w:hAnsi="Cambria Math" w:eastAsia="Cambria Math"/>
          <w:color w:val="203748"/>
          <w:sz w:val="23"/>
        </w:rPr>
        <w:t xml:space="preserve"> + 3 d′</w:t>
      </w:r>
      <w:r>
        <w:rPr>
          <w:rFonts w:ascii="Cambria Math" w:hAnsi="Cambria Math" w:eastAsia="Cambria Math"/>
          <w:color w:val="203748"/>
          <w:sz w:val="19"/>
          <w:vertAlign w:val="subscript"/>
        </w:rPr>
        <w:t>model</w:t>
      </w:r>
      <w:r>
        <w:rPr>
          <w:rFonts w:ascii="Cambria Math" w:hAnsi="Cambria Math" w:eastAsia="Cambria Math"/>
          <w:color w:val="203748"/>
          <w:sz w:val="23"/>
        </w:rPr>
        <w:t xml:space="preserve"> d′</w:t>
      </w:r>
      <w:r>
        <w:rPr>
          <w:rFonts w:ascii="Cambria Math" w:hAnsi="Cambria Math" w:eastAsia="Cambria Math"/>
          <w:color w:val="203748"/>
          <w:sz w:val="19"/>
          <w:vertAlign w:val="subscript"/>
        </w:rPr>
        <w:t>ff,ℓ</w:t>
      </w:r>
      <w:r>
        <w:rPr>
          <w:rFonts w:ascii="Cambria Math" w:hAnsi="Cambria Math" w:eastAsia="Cambria Math"/>
          <w:color w:val="203748"/>
          <w:sz w:val="23"/>
        </w:rPr>
        <w:t>],     a</w:t>
      </w:r>
      <w:r>
        <w:rPr>
          <w:rFonts w:ascii="Cambria Math" w:hAnsi="Cambria Math" w:eastAsia="Cambria Math"/>
          <w:color w:val="203748"/>
          <w:sz w:val="19"/>
          <w:vertAlign w:val="subscript"/>
        </w:rPr>
        <w:t>ℓ</w:t>
      </w:r>
      <w:r>
        <w:rPr>
          <w:rFonts w:ascii="Cambria Math" w:hAnsi="Cambria Math" w:eastAsia="Cambria Math"/>
          <w:color w:val="203748"/>
          <w:sz w:val="23"/>
        </w:rPr>
        <w:t xml:space="preserve"> = n′</w:t>
      </w:r>
      <w:r>
        <w:rPr>
          <w:rFonts w:ascii="Cambria Math" w:hAnsi="Cambria Math" w:eastAsia="Cambria Math"/>
          <w:color w:val="203748"/>
          <w:sz w:val="19"/>
          <w:vertAlign w:val="subscript"/>
        </w:rPr>
        <w:t>heads,ℓ</w:t>
      </w:r>
      <w:r>
        <w:rPr>
          <w:rFonts w:ascii="Cambria Math" w:hAnsi="Cambria Math" w:eastAsia="Cambria Math"/>
          <w:color w:val="203748"/>
          <w:sz w:val="23"/>
        </w:rPr>
        <w:t xml:space="preserve"> d′</w:t>
      </w:r>
      <w:r>
        <w:rPr>
          <w:rFonts w:ascii="Cambria Math" w:hAnsi="Cambria Math" w:eastAsia="Cambria Math"/>
          <w:color w:val="203748"/>
          <w:sz w:val="19"/>
          <w:vertAlign w:val="subscript"/>
        </w:rPr>
        <w:t>head,ℓ</w:t>
      </w:r>
      <w:r>
        <w:rPr>
          <w:rFonts w:ascii="Cambria Math" w:hAnsi="Cambria Math" w:eastAsia="Cambria Math"/>
          <w:color w:val="203748"/>
          <w:sz w:val="23"/>
        </w:rPr>
        <w:t>,</w:t>
      </w:r>
      <w:r>
        <w:rPr>
          <w:rFonts w:ascii="Cambria Math" w:hAnsi="Cambria Math" w:eastAsia="Cambria Math"/>
          <w:color w:val="203748"/>
          <w:sz w:val="23"/>
        </w:rPr>
        <w:t xml:space="preserve">    (10)</w:t>
      </w:r>
    </w:p>
    <w:p>
      <w:pPr>
        <w:keepNext w:val="0"/>
      </w:pPr>
      <w:r>
        <w:rPr>
          <w:rFonts w:ascii="Calibri" w:hAnsi="Calibri" w:eastAsia="Calibri"/>
          <w:i w:val="0"/>
          <w:color w:val="202428"/>
        </w:rPr>
        <w:t>ignoring norms, biases, positional parameters and details such as grouped-query attention or tied embeddings. The actual compiler should minimize a hardware cost model—parameters, memory traffic, KV-cache size and measured latency—not only (10).</w:t>
      </w:r>
    </w:p>
    <w:p>
      <w:pPr>
        <w:pStyle w:val="Heading1"/>
      </w:pPr>
      <w:r>
        <w:t>8. Main proposal: a singular architecture compiler</w:t>
      </w:r>
    </w:p>
    <w:p>
      <w:pPr>
        <w:jc w:val="center"/>
      </w:pPr>
      <w:r>
        <w:drawing>
          <wp:inline xmlns:a="http://schemas.openxmlformats.org/drawingml/2006/main" xmlns:pic="http://schemas.openxmlformats.org/drawingml/2006/picture">
            <wp:extent cx="5897880" cy="1965960"/>
            <wp:docPr id="2" name="Picture 2" title="Singular architecture compiler pipeline" descr="Five-stage pipeline: probe the checkpoint, infer higher-order geometry, select structural constraints, compile a thinner Transformer, and perform recovery training and verification."/>
            <wp:cNvGraphicFramePr>
              <a:graphicFrameLocks noChangeAspect="1"/>
            </wp:cNvGraphicFramePr>
            <a:graphic>
              <a:graphicData uri="http://schemas.openxmlformats.org/drawingml/2006/picture">
                <pic:pic>
                  <pic:nvPicPr>
                    <pic:cNvPr id="0" name="singular_compiler_pipeline.png"/>
                    <pic:cNvPicPr/>
                  </pic:nvPicPr>
                  <pic:blipFill>
                    <a:blip r:embed="rId12"/>
                    <a:stretch>
                      <a:fillRect/>
                    </a:stretch>
                  </pic:blipFill>
                  <pic:spPr>
                    <a:xfrm>
                      <a:off x="0" y="0"/>
                      <a:ext cx="5897880" cy="1965960"/>
                    </a:xfrm>
                    <a:prstGeom prst="rect"/>
                  </pic:spPr>
                </pic:pic>
              </a:graphicData>
            </a:graphic>
          </wp:inline>
        </w:drawing>
      </w:r>
    </w:p>
    <w:p>
      <w:pPr>
        <w:pStyle w:val="Caption"/>
        <w:keepNext w:val="0"/>
        <w:jc w:val="center"/>
      </w:pPr>
      <w:r>
        <w:rPr>
          <w:rFonts w:ascii="Calibri" w:hAnsi="Calibri" w:eastAsia="Calibri"/>
          <w:i/>
          <w:color w:val="5F6770"/>
          <w:sz w:val="18"/>
        </w:rPr>
        <w:t>Figure 2. Geometry is used to infer discrete relations, not merely to search for another nearby dense checkpoint.</w:t>
      </w:r>
    </w:p>
    <w:p>
      <w:pPr>
        <w:pStyle w:val="Heading2"/>
      </w:pPr>
      <w:r>
        <w:t>8.1 Stage 1 — define architectural coordinates</w:t>
      </w:r>
    </w:p>
    <w:p>
      <w:pPr>
        <w:keepNext w:val="0"/>
      </w:pPr>
      <w:r>
        <w:rPr>
          <w:rFonts w:ascii="Calibri" w:hAnsi="Calibri" w:eastAsia="Calibri"/>
          <w:i w:val="0"/>
          <w:color w:val="202428"/>
        </w:rPr>
        <w:t>Introduce temporary, differentiable coordinates that correspond to legal edits: one gate per head, group gates for MLP neurons, rank gates for Q/K and V/O subspaces, layer residual gates, and optional shared-basis coordinates. These gates are measurement scaffolding, not the final model.</w:t>
      </w:r>
    </w:p>
    <w:p>
      <w:pPr>
        <w:keepNext w:val="0"/>
      </w:pPr>
      <w:r>
        <w:rPr>
          <w:rFonts w:ascii="Calibri" w:hAnsi="Calibri" w:eastAsia="Calibri"/>
          <w:i w:val="0"/>
          <w:color w:val="202428"/>
        </w:rPr>
        <w:t>Separate local perturbations into a regular subspace and an approximate Hessian nullspace:</w:t>
      </w:r>
    </w:p>
    <w:p>
      <w:pPr>
        <w:keepLines/>
        <w:spacing w:before="100" w:after="140"/>
        <w:jc w:val="center"/>
      </w:pPr>
      <w:r>
        <w:rPr>
          <w:rFonts w:ascii="Cambria Math" w:hAnsi="Cambria Math" w:eastAsia="Cambria Math"/>
          <w:color w:val="203748"/>
          <w:sz w:val="23"/>
        </w:rPr>
        <w:t>w − w* = U</w:t>
      </w:r>
      <w:r>
        <w:rPr>
          <w:rFonts w:ascii="Cambria Math" w:hAnsi="Cambria Math" w:eastAsia="Cambria Math"/>
          <w:color w:val="203748"/>
          <w:sz w:val="19"/>
          <w:vertAlign w:val="subscript"/>
        </w:rPr>
        <w:t>reg</w:t>
      </w:r>
      <w:r>
        <w:rPr>
          <w:rFonts w:ascii="Cambria Math" w:hAnsi="Cambria Math" w:eastAsia="Cambria Math"/>
          <w:color w:val="203748"/>
          <w:sz w:val="23"/>
        </w:rPr>
        <w:t xml:space="preserve"> x + U</w:t>
      </w:r>
      <w:r>
        <w:rPr>
          <w:rFonts w:ascii="Cambria Math" w:hAnsi="Cambria Math" w:eastAsia="Cambria Math"/>
          <w:color w:val="203748"/>
          <w:sz w:val="19"/>
          <w:vertAlign w:val="subscript"/>
        </w:rPr>
        <w:t>null</w:t>
      </w:r>
      <w:r>
        <w:rPr>
          <w:rFonts w:ascii="Cambria Math" w:hAnsi="Cambria Math" w:eastAsia="Cambria Math"/>
          <w:color w:val="203748"/>
          <w:sz w:val="23"/>
        </w:rPr>
        <w:t xml:space="preserve"> z,     K(w) ≈ ½ x</w:t>
      </w:r>
      <w:r>
        <w:rPr>
          <w:rFonts w:ascii="Cambria Math" w:hAnsi="Cambria Math" w:eastAsia="Cambria Math"/>
          <w:color w:val="203748"/>
          <w:sz w:val="19"/>
          <w:vertAlign w:val="superscript"/>
        </w:rPr>
        <w:t>T</w:t>
      </w:r>
      <w:r>
        <w:rPr>
          <w:rFonts w:ascii="Cambria Math" w:hAnsi="Cambria Math" w:eastAsia="Cambria Math"/>
          <w:color w:val="203748"/>
          <w:sz w:val="23"/>
        </w:rPr>
        <w:t>Λx + g(z).</w:t>
      </w:r>
      <w:r>
        <w:rPr>
          <w:rFonts w:ascii="Cambria Math" w:hAnsi="Cambria Math" w:eastAsia="Cambria Math"/>
          <w:color w:val="203748"/>
          <w:sz w:val="23"/>
        </w:rPr>
        <w:t xml:space="preserve">    (11)</w:t>
      </w:r>
    </w:p>
    <w:p>
      <w:pPr>
        <w:keepNext w:val="0"/>
      </w:pPr>
      <w:r>
        <w:rPr>
          <w:rFonts w:ascii="Calibri" w:hAnsi="Calibri" w:eastAsia="Calibri"/>
          <w:i w:val="0"/>
          <w:color w:val="202428"/>
        </w:rPr>
        <w:t>Use Hessian–vector products and randomized Lanczos on blocks or structured coordinates; never form the full Hessian. The cutoff defining Unull must be checked across batch size, data slices and damping values.</w:t>
      </w:r>
    </w:p>
    <w:p>
      <w:pPr>
        <w:pStyle w:val="Heading2"/>
      </w:pPr>
      <w:r>
        <w:t>8.2 Stage 2 — estimate the first non-quadratic dependence</w:t>
      </w:r>
    </w:p>
    <w:p>
      <w:pPr>
        <w:keepNext w:val="0"/>
      </w:pPr>
      <w:r>
        <w:rPr>
          <w:rFonts w:ascii="Calibri" w:hAnsi="Calibri" w:eastAsia="Calibri"/>
          <w:i w:val="0"/>
          <w:color w:val="202428"/>
        </w:rPr>
        <w:t>Probe directions z in the nullspace at multiple radii ρ and fit</w:t>
      </w:r>
    </w:p>
    <w:p>
      <w:pPr>
        <w:keepLines/>
        <w:spacing w:before="100" w:after="140"/>
        <w:jc w:val="center"/>
      </w:pPr>
      <w:r>
        <w:rPr>
          <w:rFonts w:ascii="Cambria Math" w:hAnsi="Cambria Math" w:eastAsia="Cambria Math"/>
          <w:color w:val="203748"/>
          <w:sz w:val="23"/>
        </w:rPr>
        <w:t>K(w* + ρU</w:t>
      </w:r>
      <w:r>
        <w:rPr>
          <w:rFonts w:ascii="Cambria Math" w:hAnsi="Cambria Math" w:eastAsia="Cambria Math"/>
          <w:color w:val="203748"/>
          <w:sz w:val="19"/>
          <w:vertAlign w:val="subscript"/>
        </w:rPr>
        <w:t>null</w:t>
      </w:r>
      <w:r>
        <w:rPr>
          <w:rFonts w:ascii="Cambria Math" w:hAnsi="Cambria Math" w:eastAsia="Cambria Math"/>
          <w:color w:val="203748"/>
          <w:sz w:val="23"/>
        </w:rPr>
        <w:t xml:space="preserve"> z) − K(w*) = Σ</w:t>
      </w:r>
      <w:r>
        <w:rPr>
          <w:rFonts w:ascii="Cambria Math" w:hAnsi="Cambria Math" w:eastAsia="Cambria Math"/>
          <w:color w:val="203748"/>
          <w:sz w:val="19"/>
          <w:vertAlign w:val="subscript"/>
        </w:rPr>
        <w:t>p=3</w:t>
      </w:r>
      <w:r>
        <w:rPr>
          <w:rFonts w:ascii="Cambria Math" w:hAnsi="Cambria Math" w:eastAsia="Cambria Math"/>
          <w:color w:val="203748"/>
          <w:sz w:val="19"/>
          <w:vertAlign w:val="superscript"/>
        </w:rPr>
        <w:t>P</w:t>
      </w:r>
      <w:r>
        <w:rPr>
          <w:rFonts w:ascii="Cambria Math" w:hAnsi="Cambria Math" w:eastAsia="Cambria Math"/>
          <w:color w:val="203748"/>
          <w:sz w:val="23"/>
        </w:rPr>
        <w:t xml:space="preserve"> ρ</w:t>
      </w:r>
      <w:r>
        <w:rPr>
          <w:rFonts w:ascii="Cambria Math" w:hAnsi="Cambria Math" w:eastAsia="Cambria Math"/>
          <w:color w:val="203748"/>
          <w:sz w:val="19"/>
          <w:vertAlign w:val="superscript"/>
        </w:rPr>
        <w:t>p</w:t>
      </w:r>
      <w:r>
        <w:rPr>
          <w:rFonts w:ascii="Cambria Math" w:hAnsi="Cambria Math" w:eastAsia="Cambria Math"/>
          <w:color w:val="203748"/>
          <w:sz w:val="23"/>
        </w:rPr>
        <w:t xml:space="preserve"> c</w:t>
      </w:r>
      <w:r>
        <w:rPr>
          <w:rFonts w:ascii="Cambria Math" w:hAnsi="Cambria Math" w:eastAsia="Cambria Math"/>
          <w:color w:val="203748"/>
          <w:sz w:val="19"/>
          <w:vertAlign w:val="subscript"/>
        </w:rPr>
        <w:t>p</w:t>
      </w:r>
      <w:r>
        <w:rPr>
          <w:rFonts w:ascii="Cambria Math" w:hAnsi="Cambria Math" w:eastAsia="Cambria Math"/>
          <w:color w:val="203748"/>
          <w:sz w:val="23"/>
        </w:rPr>
        <w:t>(z) + residual.</w:t>
      </w:r>
      <w:r>
        <w:rPr>
          <w:rFonts w:ascii="Cambria Math" w:hAnsi="Cambria Math" w:eastAsia="Cambria Math"/>
          <w:color w:val="203748"/>
          <w:sz w:val="23"/>
        </w:rPr>
        <w:t xml:space="preserve">    (12)</w:t>
      </w:r>
    </w:p>
    <w:p>
      <w:pPr>
        <w:keepNext w:val="0"/>
      </w:pPr>
      <w:r>
        <w:rPr>
          <w:rFonts w:ascii="Calibri" w:hAnsi="Calibri" w:eastAsia="Calibri"/>
          <w:i w:val="0"/>
          <w:color w:val="202428"/>
        </w:rPr>
        <w:t>Use symmetric evaluations at ±ρ to separate odd and even orders, repeated minibatches to estimate noise, and robust regression across radii. Whenever feasible, compute directional derivatives through automatic differentiation; finite differences are simpler but noisy. Crucially, sample structured directions that jointly scale or rotate whole heads, MLP groups and paired factors—not only isotropic random vectors in the full nullspace.</w:t>
      </w:r>
    </w:p>
    <w:p>
      <w:pPr>
        <w:keepNext w:val="0"/>
      </w:pPr>
      <w:r>
        <w:rPr>
          <w:rFonts w:ascii="Calibri" w:hAnsi="Calibri" w:eastAsia="Calibri"/>
          <w:i w:val="0"/>
          <w:color w:val="202428"/>
        </w:rPr>
        <w:t>Fit a sparse, factorized surrogate rather than a dense pth-order tensor:</w:t>
      </w:r>
    </w:p>
    <w:p>
      <w:pPr>
        <w:keepLines/>
        <w:spacing w:before="100" w:after="140"/>
        <w:jc w:val="center"/>
      </w:pPr>
      <w:r>
        <w:rPr>
          <w:rFonts w:ascii="Cambria Math" w:hAnsi="Cambria Math" w:eastAsia="Cambria Math"/>
          <w:color w:val="203748"/>
          <w:sz w:val="23"/>
        </w:rPr>
        <w:t>g(z) ≈ Σ</w:t>
      </w:r>
      <w:r>
        <w:rPr>
          <w:rFonts w:ascii="Cambria Math" w:hAnsi="Cambria Math" w:eastAsia="Cambria Math"/>
          <w:color w:val="203748"/>
          <w:sz w:val="19"/>
          <w:vertAlign w:val="subscript"/>
        </w:rPr>
        <w:t>a</w:t>
      </w:r>
      <w:r>
        <w:rPr>
          <w:rFonts w:ascii="Cambria Math" w:hAnsi="Cambria Math" w:eastAsia="Cambria Math"/>
          <w:color w:val="203748"/>
          <w:sz w:val="23"/>
        </w:rPr>
        <w:t xml:space="preserve"> c</w:t>
      </w:r>
      <w:r>
        <w:rPr>
          <w:rFonts w:ascii="Cambria Math" w:hAnsi="Cambria Math" w:eastAsia="Cambria Math"/>
          <w:color w:val="203748"/>
          <w:sz w:val="19"/>
          <w:vertAlign w:val="subscript"/>
        </w:rPr>
        <w:t>a</w:t>
      </w:r>
      <w:r>
        <w:rPr>
          <w:rFonts w:ascii="Cambria Math" w:hAnsi="Cambria Math" w:eastAsia="Cambria Math"/>
          <w:color w:val="203748"/>
          <w:sz w:val="23"/>
        </w:rPr>
        <w:t xml:space="preserve"> ∏</w:t>
      </w:r>
      <w:r>
        <w:rPr>
          <w:rFonts w:ascii="Cambria Math" w:hAnsi="Cambria Math" w:eastAsia="Cambria Math"/>
          <w:color w:val="203748"/>
          <w:sz w:val="19"/>
          <w:vertAlign w:val="subscript"/>
        </w:rPr>
        <w:t>j</w:t>
      </w:r>
      <w:r>
        <w:rPr>
          <w:rFonts w:ascii="Cambria Math" w:hAnsi="Cambria Math" w:eastAsia="Cambria Math"/>
          <w:color w:val="203748"/>
          <w:sz w:val="23"/>
        </w:rPr>
        <w:t xml:space="preserve"> |ℓ</w:t>
      </w:r>
      <w:r>
        <w:rPr>
          <w:rFonts w:ascii="Cambria Math" w:hAnsi="Cambria Math" w:eastAsia="Cambria Math"/>
          <w:color w:val="203748"/>
          <w:sz w:val="19"/>
          <w:vertAlign w:val="subscript"/>
        </w:rPr>
        <w:t>aj</w:t>
      </w:r>
      <w:r>
        <w:rPr>
          <w:rFonts w:ascii="Cambria Math" w:hAnsi="Cambria Math" w:eastAsia="Cambria Math"/>
          <w:color w:val="203748"/>
          <w:sz w:val="19"/>
          <w:vertAlign w:val="superscript"/>
        </w:rPr>
        <w:t>T</w:t>
      </w:r>
      <w:r>
        <w:rPr>
          <w:rFonts w:ascii="Cambria Math" w:hAnsi="Cambria Math" w:eastAsia="Cambria Math"/>
          <w:color w:val="203748"/>
          <w:sz w:val="23"/>
        </w:rPr>
        <w:t>z|</w:t>
      </w:r>
      <w:r>
        <w:rPr>
          <w:rFonts w:ascii="Cambria Math" w:hAnsi="Cambria Math" w:eastAsia="Cambria Math"/>
          <w:color w:val="203748"/>
          <w:sz w:val="19"/>
          <w:vertAlign w:val="superscript"/>
        </w:rPr>
        <w:t>kₐⱼ</w:t>
      </w:r>
      <w:r>
        <w:rPr>
          <w:rFonts w:ascii="Cambria Math" w:hAnsi="Cambria Math" w:eastAsia="Cambria Math"/>
          <w:color w:val="203748"/>
          <w:sz w:val="23"/>
        </w:rPr>
        <w:t>.</w:t>
      </w:r>
      <w:r>
        <w:rPr>
          <w:rFonts w:ascii="Cambria Math" w:hAnsi="Cambria Math" w:eastAsia="Cambria Math"/>
          <w:color w:val="203748"/>
          <w:sz w:val="23"/>
        </w:rPr>
        <w:t xml:space="preserve">    (13)</w:t>
      </w:r>
    </w:p>
    <w:p>
      <w:pPr>
        <w:keepNext w:val="0"/>
      </w:pPr>
      <w:r>
        <w:rPr>
          <w:rFonts w:ascii="Calibri" w:hAnsi="Calibri" w:eastAsia="Calibri"/>
          <w:i w:val="0"/>
          <w:color w:val="202428"/>
        </w:rPr>
        <w:t>The fitted factors need not be a mathematically exact resolution of singularities. They are a numerical hypothesis generator. Stability under resampling and predictive accuracy on held-out perturbations are mandatory before they are interpreted structurally.</w:t>
      </w:r>
    </w:p>
    <w:p>
      <w:pPr>
        <w:pStyle w:val="Heading2"/>
      </w:pPr>
      <w:r>
        <w:t>8.3 Stage 3 — turn factors into candidate constraints</w:t>
      </w:r>
    </w:p>
    <w:p>
      <w:pPr>
        <w:keepNext w:val="0"/>
      </w:pPr>
      <w:r>
        <w:rPr>
          <w:rFonts w:ascii="Calibri" w:hAnsi="Calibri" w:eastAsia="Calibri"/>
          <w:i w:val="0"/>
          <w:color w:val="202428"/>
        </w:rPr>
        <w:t>Interpret stable factors through the architecture grammar. A single high-order term suggests coarse quantization or a weak component; a product suggests that at least one of several coupled factors can be placed on a zero branch; repeated linear forms suggest merge or tying relations; determinantal behavior suggests reduced functional rank; near-invariance along an orbit suggests gauge canonicalization rather than functional pruning.</w:t>
      </w:r>
    </w:p>
    <w:tbl>
      <w:tblPr>
        <w:tblStyle w:val="TableGrid"/>
        <w:tblW w:type="dxa" w:w="9360"/>
        <w:jc w:val="left"/>
        <w:tblLayout w:type="fixed"/>
        <w:tblLook w:firstColumn="1" w:firstRow="1" w:lastColumn="0" w:lastRow="0" w:noHBand="0" w:noVBand="1" w:val="04A0"/>
        <w:tblInd w:w="120" w:type="dxa"/>
        <w:tblBorders>
          <w:top w:val="single" w:sz="6" w:color="D9DEE3"/>
          <w:left w:val="single" w:sz="6" w:color="D9DEE3"/>
          <w:bottom w:val="single" w:sz="6" w:color="D9DEE3"/>
          <w:right w:val="single" w:sz="6" w:color="D9DEE3"/>
          <w:insideH w:val="single" w:sz="6" w:color="D9DEE3"/>
          <w:insideV w:val="single" w:sz="6" w:color="D9DEE3"/>
        </w:tblBorders>
      </w:tblPr>
      <w:tblGrid>
        <w:gridCol w:w="2500"/>
        <w:gridCol w:w="2950"/>
        <w:gridCol w:w="3910"/>
      </w:tblGrid>
      <w:tr>
        <w:trPr>
          <w:tblHeader w:val="true"/>
        </w:trPr>
        <w:tc>
          <w:tcPr>
            <w:tcW w:type="dxa" w:w="250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Numerical signature</w:t>
            </w:r>
          </w:p>
        </w:tc>
        <w:tc>
          <w:tcPr>
            <w:tcW w:type="dxa" w:w="295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Candidate interpretation</w:t>
            </w:r>
          </w:p>
        </w:tc>
        <w:tc>
          <w:tcPr>
            <w:tcW w:type="dxa" w:w="391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Compiled action</w:t>
            </w:r>
          </w:p>
        </w:tc>
      </w:tr>
      <w:tr>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Gate appears only at high order</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Component is weak at the target scale</w:t>
            </w:r>
          </w:p>
        </w:tc>
        <w:tc>
          <w:tcPr>
            <w:tcW w:type="dxa" w:w="391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Delete the head/neuron group, or allocate fewer bits</w:t>
            </w:r>
          </w:p>
        </w:tc>
      </w:tr>
      <w:tr>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Product term g₁²g₂²</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Union of low-loss branches</w:t>
            </w:r>
          </w:p>
        </w:tc>
        <w:tc>
          <w:tcPr>
            <w:tcW w:type="dxa" w:w="391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Test g₁ = 0 versus g₂ = 0; delete the cheaper branch</w:t>
            </w:r>
          </w:p>
        </w:tc>
      </w:tr>
      <w:tr>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Loss depends on g₁ − g₂ but weakly on g₁ + g₂</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Duplicate or exchangeable components</w:t>
            </w:r>
          </w:p>
        </w:tc>
        <w:tc>
          <w:tcPr>
            <w:tcW w:type="dxa" w:w="391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Merge components and refit their outgoing weights</w:t>
            </w:r>
          </w:p>
        </w:tc>
      </w:tr>
      <w:tr>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Vanishing minors / stable low-rank composite</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Only a lower-dimensional operator is functionally required</w:t>
            </w:r>
          </w:p>
        </w:tc>
        <w:tc>
          <w:tcPr>
            <w:tcW w:type="dxa" w:w="391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Factor to a smaller Q/K, V/O or MLP bottleneck</w:t>
            </w:r>
          </w:p>
        </w:tc>
      </w:tr>
      <w:tr>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Orbit-like null direction with unchanged function</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Parameterization gauge</w:t>
            </w:r>
          </w:p>
        </w:tc>
        <w:tc>
          <w:tcPr>
            <w:tcW w:type="dxa" w:w="391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Canonicalize factors; encode only quotient coordinates</w:t>
            </w:r>
          </w:p>
        </w:tc>
      </w:tr>
      <w:tr>
        <w:tc>
          <w:tcPr>
            <w:tcW w:type="dxa" w:w="250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Layer gates lie on a shared low-loss relation</w:t>
            </w:r>
          </w:p>
        </w:tc>
        <w:tc>
          <w:tcPr>
            <w:tcW w:type="dxa" w:w="29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Redundant or reusable block computation</w:t>
            </w:r>
          </w:p>
        </w:tc>
        <w:tc>
          <w:tcPr>
            <w:tcW w:type="dxa" w:w="391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Delete, fuse or tie layers</w:t>
            </w:r>
          </w:p>
        </w:tc>
      </w:tr>
    </w:tbl>
    <w:p>
      <w:pPr>
        <w:spacing w:after="20"/>
      </w:pPr>
    </w:p>
    <w:p>
      <w:pPr>
        <w:pStyle w:val="Caption"/>
        <w:keepNext w:val="0"/>
        <w:jc w:val="center"/>
      </w:pPr>
      <w:r>
        <w:rPr>
          <w:rFonts w:ascii="Calibri" w:hAnsi="Calibri" w:eastAsia="Calibri"/>
          <w:i/>
          <w:color w:val="5F6770"/>
          <w:sz w:val="18"/>
        </w:rPr>
        <w:t>Table 3. A deliberately restricted map from numerical geometry to deployable architectural operations.</w:t>
      </w:r>
    </w:p>
    <w:p>
      <w:pPr>
        <w:pStyle w:val="Heading2"/>
      </w:pPr>
      <w:r>
        <w:t>8.4 Stage 4 — solve a constrained branch-selection problem</w:t>
      </w:r>
    </w:p>
    <w:p>
      <w:pPr>
        <w:keepNext w:val="0"/>
      </w:pPr>
      <w:r>
        <w:rPr>
          <w:rFonts w:ascii="Calibri" w:hAnsi="Calibri" w:eastAsia="Calibri"/>
          <w:i w:val="0"/>
          <w:color w:val="202428"/>
        </w:rPr>
        <w:t>Construct a small hypergraph whose nodes are components and whose factors are the fitted loss terms. Choose discrete edits c from the architecture grammar by minimizing</w:t>
      </w:r>
    </w:p>
    <w:p>
      <w:pPr>
        <w:keepLines/>
        <w:spacing w:before="100" w:after="140"/>
        <w:jc w:val="center"/>
      </w:pPr>
      <w:r>
        <w:rPr>
          <w:rFonts w:ascii="Cambria Math" w:hAnsi="Cambria Math" w:eastAsia="Cambria Math"/>
          <w:color w:val="203748"/>
          <w:sz w:val="23"/>
        </w:rPr>
        <w:t>predicted loss(c) + μ · hardware</w:t>
      </w:r>
      <w:r>
        <w:rPr>
          <w:rFonts w:ascii="Cambria Math" w:hAnsi="Cambria Math" w:eastAsia="Cambria Math"/>
          <w:color w:val="203748"/>
          <w:sz w:val="19"/>
          <w:vertAlign w:val="subscript"/>
        </w:rPr>
        <w:t>cost</w:t>
      </w:r>
      <w:r>
        <w:rPr>
          <w:rFonts w:ascii="Cambria Math" w:hAnsi="Cambria Math" w:eastAsia="Cambria Math"/>
          <w:color w:val="203748"/>
          <w:sz w:val="23"/>
        </w:rPr>
        <w:t>(c),</w:t>
      </w:r>
      <w:r>
        <w:rPr>
          <w:rFonts w:ascii="Cambria Math" w:hAnsi="Cambria Math" w:eastAsia="Cambria Math"/>
          <w:color w:val="203748"/>
          <w:sz w:val="23"/>
        </w:rPr>
        <w:t xml:space="preserve">    (14)</w:t>
      </w:r>
    </w:p>
    <w:p>
      <w:pPr>
        <w:keepNext w:val="0"/>
      </w:pPr>
      <w:r>
        <w:rPr>
          <w:rFonts w:ascii="Calibri" w:hAnsi="Calibri" w:eastAsia="Calibri"/>
          <w:i w:val="0"/>
          <w:color w:val="202428"/>
        </w:rPr>
        <w:t>subject to a loss tolerance or a parameter/FLOP target. Because the surrogate is imperfect, validate each accepted edit on held-out calibration batches and update the local surrogate after each compilation round. This is a search over structural hypotheses, not a search for arbitrary weights around w*.</w:t>
      </w:r>
    </w:p>
    <w:p>
      <w:pPr>
        <w:pStyle w:val="Heading2"/>
      </w:pPr>
      <w:r>
        <w:t>8.5 Stage 5 — compile, recover and certify</w:t>
      </w:r>
    </w:p>
    <w:p>
      <w:pPr>
        <w:keepNext w:val="0"/>
      </w:pPr>
      <w:r>
        <w:rPr>
          <w:rFonts w:ascii="Calibri" w:hAnsi="Calibri" w:eastAsia="Calibri"/>
          <w:i w:val="0"/>
          <w:color w:val="202428"/>
        </w:rPr>
        <w:t>Materialize new dense tensors at their smaller dimensions, initialize them from the selected factorization/merge, and run short recovery training. The recovery objective can mix language-model loss, activation reconstruction and optional teacher logits from the original model. The teacher term is auxiliary; the architectural reduction was obtained from geometry.</w:t>
      </w:r>
    </w:p>
    <w:p>
      <w:pPr>
        <w:keepNext w:val="0"/>
      </w:pPr>
      <w:r>
        <w:rPr>
          <w:rFonts w:ascii="Calibri" w:hAnsi="Calibri" w:eastAsia="Calibri"/>
          <w:i w:val="0"/>
          <w:color w:val="202428"/>
        </w:rPr>
        <w:t>Certification should report held-out perplexity and tasks, exact parameter count, serialized bits, peak memory, KV-cache bytes, measured prefill/decode latency, recovery tokens and total compression compute. A method that stores fewer bits but materializes the original dense graph must not be presented as parameter or FLOP compression.</w:t>
      </w:r>
    </w:p>
    <w:p>
      <w:pPr>
        <w:pStyle w:val="Heading1"/>
      </w:pPr>
      <w:r>
        <w:t>9. What the compiler emits in each Transformer subsystem</w:t>
      </w:r>
    </w:p>
    <w:p>
      <w:pPr>
        <w:pStyle w:val="Heading2"/>
      </w:pPr>
      <w:r>
        <w:t>9.1 Attention: compress functional composites</w:t>
      </w:r>
    </w:p>
    <w:p>
      <w:pPr>
        <w:keepNext w:val="0"/>
      </w:pPr>
      <w:r>
        <w:rPr>
          <w:rFonts w:ascii="Calibri" w:hAnsi="Calibri" w:eastAsia="Calibri"/>
          <w:i w:val="0"/>
          <w:color w:val="202428"/>
        </w:rPr>
        <w:t>Suppressing normalization and positional transforms, one attention head depends schematically on two composite operators</w:t>
      </w:r>
    </w:p>
    <w:p>
      <w:pPr>
        <w:keepLines/>
        <w:spacing w:before="100" w:after="140"/>
        <w:jc w:val="center"/>
      </w:pPr>
      <w:r>
        <w:rPr>
          <w:rFonts w:ascii="Cambria Math" w:hAnsi="Cambria Math" w:eastAsia="Cambria Math"/>
          <w:color w:val="203748"/>
          <w:sz w:val="23"/>
        </w:rPr>
        <w:t>M</w:t>
      </w:r>
      <w:r>
        <w:rPr>
          <w:rFonts w:ascii="Cambria Math" w:hAnsi="Cambria Math" w:eastAsia="Cambria Math"/>
          <w:color w:val="203748"/>
          <w:sz w:val="19"/>
          <w:vertAlign w:val="subscript"/>
        </w:rPr>
        <w:t>QK,h</w:t>
      </w:r>
      <w:r>
        <w:rPr>
          <w:rFonts w:ascii="Cambria Math" w:hAnsi="Cambria Math" w:eastAsia="Cambria Math"/>
          <w:color w:val="203748"/>
          <w:sz w:val="23"/>
        </w:rPr>
        <w:t xml:space="preserve"> = W</w:t>
      </w:r>
      <w:r>
        <w:rPr>
          <w:rFonts w:ascii="Cambria Math" w:hAnsi="Cambria Math" w:eastAsia="Cambria Math"/>
          <w:color w:val="203748"/>
          <w:sz w:val="19"/>
          <w:vertAlign w:val="subscript"/>
        </w:rPr>
        <w:t>Q,h</w:t>
      </w:r>
      <w:r>
        <w:rPr>
          <w:rFonts w:ascii="Cambria Math" w:hAnsi="Cambria Math" w:eastAsia="Cambria Math"/>
          <w:color w:val="203748"/>
          <w:sz w:val="23"/>
        </w:rPr>
        <w:t xml:space="preserve"> W</w:t>
      </w:r>
      <w:r>
        <w:rPr>
          <w:rFonts w:ascii="Cambria Math" w:hAnsi="Cambria Math" w:eastAsia="Cambria Math"/>
          <w:color w:val="203748"/>
          <w:sz w:val="19"/>
          <w:vertAlign w:val="subscript"/>
        </w:rPr>
        <w:t>K,h</w:t>
      </w:r>
      <w:r>
        <w:rPr>
          <w:rFonts w:ascii="Cambria Math" w:hAnsi="Cambria Math" w:eastAsia="Cambria Math"/>
          <w:color w:val="203748"/>
          <w:sz w:val="19"/>
          <w:vertAlign w:val="superscript"/>
        </w:rPr>
        <w:t>T</w:t>
      </w:r>
      <w:r>
        <w:rPr>
          <w:rFonts w:ascii="Cambria Math" w:hAnsi="Cambria Math" w:eastAsia="Cambria Math"/>
          <w:color w:val="203748"/>
          <w:sz w:val="23"/>
        </w:rPr>
        <w:t>,          M</w:t>
      </w:r>
      <w:r>
        <w:rPr>
          <w:rFonts w:ascii="Cambria Math" w:hAnsi="Cambria Math" w:eastAsia="Cambria Math"/>
          <w:color w:val="203748"/>
          <w:sz w:val="19"/>
          <w:vertAlign w:val="subscript"/>
        </w:rPr>
        <w:t>VO,h</w:t>
      </w:r>
      <w:r>
        <w:rPr>
          <w:rFonts w:ascii="Cambria Math" w:hAnsi="Cambria Math" w:eastAsia="Cambria Math"/>
          <w:color w:val="203748"/>
          <w:sz w:val="23"/>
        </w:rPr>
        <w:t xml:space="preserve"> = W</w:t>
      </w:r>
      <w:r>
        <w:rPr>
          <w:rFonts w:ascii="Cambria Math" w:hAnsi="Cambria Math" w:eastAsia="Cambria Math"/>
          <w:color w:val="203748"/>
          <w:sz w:val="19"/>
          <w:vertAlign w:val="subscript"/>
        </w:rPr>
        <w:t>V,h</w:t>
      </w:r>
      <w:r>
        <w:rPr>
          <w:rFonts w:ascii="Cambria Math" w:hAnsi="Cambria Math" w:eastAsia="Cambria Math"/>
          <w:color w:val="203748"/>
          <w:sz w:val="23"/>
        </w:rPr>
        <w:t xml:space="preserve"> W</w:t>
      </w:r>
      <w:r>
        <w:rPr>
          <w:rFonts w:ascii="Cambria Math" w:hAnsi="Cambria Math" w:eastAsia="Cambria Math"/>
          <w:color w:val="203748"/>
          <w:sz w:val="19"/>
          <w:vertAlign w:val="subscript"/>
        </w:rPr>
        <w:t>O,h</w:t>
      </w:r>
      <w:r>
        <w:rPr>
          <w:rFonts w:ascii="Cambria Math" w:hAnsi="Cambria Math" w:eastAsia="Cambria Math"/>
          <w:color w:val="203748"/>
          <w:sz w:val="23"/>
        </w:rPr>
        <w:t>.</w:t>
      </w:r>
      <w:r>
        <w:rPr>
          <w:rFonts w:ascii="Cambria Math" w:hAnsi="Cambria Math" w:eastAsia="Cambria Math"/>
          <w:color w:val="203748"/>
          <w:sz w:val="23"/>
        </w:rPr>
        <w:t xml:space="preserve">    (15)</w:t>
      </w:r>
    </w:p>
    <w:p>
      <w:pPr>
        <w:keepNext w:val="0"/>
      </w:pPr>
      <w:r>
        <w:rPr>
          <w:rFonts w:ascii="Calibri" w:hAnsi="Calibri" w:eastAsia="Calibri"/>
          <w:i w:val="0"/>
          <w:color w:val="202428"/>
        </w:rPr>
        <w:t>If the calibrated function depends only on a rank-rh approximation of MQK,h, factor it as AhBhᵀ, with Ah and Bh each having shape dmodel × rh, and emit Q/K projections of width rh. Apply the same reasoning to the V/O composite. If two heads induce the same attention kernel and overlapping output maps, merge them and refit the output projection. With RoPE, grouped-query attention and cross-head output mixing, the invariant must be written for the actual implementation; equation (15) is only the clean schematic case.</w:t>
      </w:r>
    </w:p>
    <w:p>
      <w:pPr>
        <w:keepNext w:val="0"/>
      </w:pPr>
      <w:r>
        <w:rPr>
          <w:rFonts w:ascii="Calibri" w:hAnsi="Calibri" w:eastAsia="Calibri"/>
          <w:i w:val="0"/>
          <w:color w:val="202428"/>
        </w:rPr>
        <w:t>This differs from applying SVD independently to WQ, WK, WV and WO. Independent matrix rank can overcount a factorization gauge and miss that only the products affect the head’s function. The singular analysis is used to decide which composite ranks and head identities are real.</w:t>
      </w:r>
    </w:p>
    <w:p>
      <w:pPr>
        <w:pStyle w:val="Heading2"/>
      </w:pPr>
      <w:r>
        <w:t>9.2 MLP: reduce the nonlinear basis</w:t>
      </w:r>
    </w:p>
    <w:p>
      <w:pPr>
        <w:keepNext w:val="0"/>
      </w:pPr>
      <w:r>
        <w:rPr>
          <w:rFonts w:ascii="Calibri" w:hAnsi="Calibri" w:eastAsia="Calibri"/>
          <w:i w:val="0"/>
          <w:color w:val="202428"/>
        </w:rPr>
        <w:t>For calibration tokens xt, collect neuron or gated-neuron responses Ati. Probe group gates and downstream loss to identify duplicate, zero-branch or low-dimensional activation combinations. Emit smaller ordinary matrices</w:t>
      </w:r>
    </w:p>
    <w:p>
      <w:pPr>
        <w:keepLines/>
        <w:spacing w:before="100" w:after="140"/>
        <w:jc w:val="center"/>
      </w:pPr>
      <w:r>
        <w:rPr>
          <w:rFonts w:ascii="Cambria Math" w:hAnsi="Cambria Math" w:eastAsia="Cambria Math"/>
          <w:color w:val="203748"/>
          <w:sz w:val="23"/>
        </w:rPr>
        <w:t>W′</w:t>
      </w:r>
      <w:r>
        <w:rPr>
          <w:rFonts w:ascii="Cambria Math" w:hAnsi="Cambria Math" w:eastAsia="Cambria Math"/>
          <w:color w:val="203748"/>
          <w:sz w:val="19"/>
          <w:vertAlign w:val="subscript"/>
        </w:rPr>
        <w:t>up</w:t>
      </w:r>
      <w:r>
        <w:rPr>
          <w:rFonts w:ascii="Cambria Math" w:hAnsi="Cambria Math" w:eastAsia="Cambria Math"/>
          <w:color w:val="203748"/>
          <w:sz w:val="23"/>
        </w:rPr>
        <w:t xml:space="preserve"> ∈ ℝ</w:t>
      </w:r>
      <w:r>
        <w:rPr>
          <w:rFonts w:ascii="Cambria Math" w:hAnsi="Cambria Math" w:eastAsia="Cambria Math"/>
          <w:color w:val="203748"/>
          <w:sz w:val="19"/>
          <w:vertAlign w:val="superscript"/>
        </w:rPr>
        <w:t>dmodel×rff</w:t>
      </w:r>
      <w:r>
        <w:rPr>
          <w:rFonts w:ascii="Cambria Math" w:hAnsi="Cambria Math" w:eastAsia="Cambria Math"/>
          <w:color w:val="203748"/>
          <w:sz w:val="23"/>
        </w:rPr>
        <w:t>,     W′</w:t>
      </w:r>
      <w:r>
        <w:rPr>
          <w:rFonts w:ascii="Cambria Math" w:hAnsi="Cambria Math" w:eastAsia="Cambria Math"/>
          <w:color w:val="203748"/>
          <w:sz w:val="19"/>
          <w:vertAlign w:val="subscript"/>
        </w:rPr>
        <w:t>down</w:t>
      </w:r>
      <w:r>
        <w:rPr>
          <w:rFonts w:ascii="Cambria Math" w:hAnsi="Cambria Math" w:eastAsia="Cambria Math"/>
          <w:color w:val="203748"/>
          <w:sz w:val="23"/>
        </w:rPr>
        <w:t xml:space="preserve"> ∈ ℝ</w:t>
      </w:r>
      <w:r>
        <w:rPr>
          <w:rFonts w:ascii="Cambria Math" w:hAnsi="Cambria Math" w:eastAsia="Cambria Math"/>
          <w:color w:val="203748"/>
          <w:sz w:val="19"/>
          <w:vertAlign w:val="superscript"/>
        </w:rPr>
        <w:t>rff×dmodel</w:t>
      </w:r>
      <w:r>
        <w:rPr>
          <w:rFonts w:ascii="Cambria Math" w:hAnsi="Cambria Math" w:eastAsia="Cambria Math"/>
          <w:color w:val="203748"/>
          <w:sz w:val="23"/>
        </w:rPr>
        <w:t>,</w:t>
      </w:r>
      <w:r>
        <w:rPr>
          <w:rFonts w:ascii="Cambria Math" w:hAnsi="Cambria Math" w:eastAsia="Cambria Math"/>
          <w:color w:val="203748"/>
          <w:sz w:val="23"/>
        </w:rPr>
        <w:t xml:space="preserve">    (16)</w:t>
      </w:r>
    </w:p>
    <w:p>
      <w:pPr>
        <w:keepNext w:val="0"/>
      </w:pPr>
      <w:r>
        <w:rPr>
          <w:rFonts w:ascii="Calibri" w:hAnsi="Calibri" w:eastAsia="Calibri"/>
          <w:i w:val="0"/>
          <w:color w:val="202428"/>
        </w:rPr>
        <w:t>plus the corresponding reduced gate matrix for SwiGLU-style blocks. Linear dependence of weights alone is insufficient because activation patterns and downstream routing matter. The higher-order surrogate should therefore be fit in group-gate or activation-basis coordinates.</w:t>
      </w:r>
    </w:p>
    <w:p>
      <w:pPr>
        <w:pStyle w:val="Heading2"/>
      </w:pPr>
      <w:r>
        <w:t>9.3 Layers and residual stream</w:t>
      </w:r>
    </w:p>
    <w:p>
      <w:pPr>
        <w:keepNext w:val="0"/>
      </w:pPr>
      <w:r>
        <w:rPr>
          <w:rFonts w:ascii="Calibri" w:hAnsi="Calibri" w:eastAsia="Calibri"/>
          <w:i w:val="0"/>
          <w:color w:val="202428"/>
        </w:rPr>
        <w:t>Write a temporary layer gate as xℓ+1 = xℓ + bℓFℓ(xℓ). A stable low-loss branch bℓ = 0 proposes deletion. A relation Fℓ ≈ Fk under the relevant states proposes tying or fusion. These edits should be delayed until after head/MLP compression because whole-layer surgery is coarser and its geometry is more nonlocal.</w:t>
      </w:r>
    </w:p>
    <w:p>
      <w:pPr>
        <w:keepNext w:val="0"/>
      </w:pPr>
      <w:r>
        <w:rPr>
          <w:rFonts w:ascii="Calibri" w:hAnsi="Calibri" w:eastAsia="Calibri"/>
          <w:i w:val="0"/>
          <w:color w:val="202428"/>
        </w:rPr>
        <w:t>Narrowing dmodel is the most invasive operation because every residual connection, norm, embedding and output map must agree. A later-stage compiler may learn a shared projection P with shape dmodel × d′model, project all blocks into the common subspace, and recover end to end. It should not be the first experiment.</w:t>
      </w:r>
    </w:p>
    <w:p>
      <w:pPr>
        <w:pStyle w:val="Heading1"/>
      </w:pPr>
      <w:r>
        <w:t>10. Additional singularity-aware compression techniques</w:t>
      </w:r>
    </w:p>
    <w:p>
      <w:pPr>
        <w:pStyle w:val="Heading2"/>
      </w:pPr>
      <w:r>
        <w:t>10.1 Quotient-first canonicalization</w:t>
      </w:r>
    </w:p>
    <w:p>
      <w:pPr>
        <w:keepNext w:val="0"/>
      </w:pPr>
      <w:r>
        <w:rPr>
          <w:rFonts w:ascii="Calibri" w:hAnsi="Calibri" w:eastAsia="Calibri"/>
          <w:i w:val="0"/>
          <w:color w:val="202428"/>
        </w:rPr>
        <w:t>Before quantization or factorization, identify exact or near-exact reparameterization symmetries and choose a canonical representative: normalize paired factors, align permutation-equivalent heads or neurons, and balance scales across products. The goal is to compress the quotient coordinates that affect the function, not arbitrary gauge coordinates. This may improve any downstream quantizer even when no architecture is removed.</w:t>
      </w:r>
    </w:p>
    <w:p>
      <w:pPr>
        <w:pStyle w:val="Heading2"/>
      </w:pPr>
      <w:r>
        <w:t>10.2 Finite-scale singular rate–distortion allocation</w:t>
      </w:r>
    </w:p>
    <w:p>
      <w:pPr>
        <w:keepNext w:val="0"/>
      </w:pPr>
      <w:r>
        <w:rPr>
          <w:rFonts w:ascii="Calibri" w:hAnsi="Calibri" w:eastAsia="Calibri"/>
          <w:i w:val="0"/>
          <w:color w:val="202428"/>
        </w:rPr>
        <w:t>Asymptotic LLC describes ε → 0, whereas deployment compression often causes a finite loss change. Estimate a scale-dependent exponent</w:t>
      </w:r>
    </w:p>
    <w:p>
      <w:pPr>
        <w:keepLines/>
        <w:spacing w:before="100" w:after="140"/>
        <w:jc w:val="center"/>
      </w:pPr>
      <w:r>
        <w:rPr>
          <w:rFonts w:ascii="Cambria Math" w:hAnsi="Cambria Math" w:eastAsia="Cambria Math"/>
          <w:color w:val="203748"/>
          <w:sz w:val="23"/>
        </w:rPr>
        <w:t>λ</w:t>
      </w:r>
      <w:r>
        <w:rPr>
          <w:rFonts w:ascii="Cambria Math" w:hAnsi="Cambria Math" w:eastAsia="Cambria Math"/>
          <w:color w:val="203748"/>
          <w:sz w:val="19"/>
          <w:vertAlign w:val="subscript"/>
        </w:rPr>
        <w:t>eff</w:t>
      </w:r>
      <w:r>
        <w:rPr>
          <w:rFonts w:ascii="Cambria Math" w:hAnsi="Cambria Math" w:eastAsia="Cambria Math"/>
          <w:color w:val="203748"/>
          <w:sz w:val="23"/>
        </w:rPr>
        <w:t>(ε</w:t>
      </w:r>
      <w:r>
        <w:rPr>
          <w:rFonts w:ascii="Cambria Math" w:hAnsi="Cambria Math" w:eastAsia="Cambria Math"/>
          <w:color w:val="203748"/>
          <w:sz w:val="19"/>
          <w:vertAlign w:val="subscript"/>
        </w:rPr>
        <w:t>1</w:t>
      </w:r>
      <w:r>
        <w:rPr>
          <w:rFonts w:ascii="Cambria Math" w:hAnsi="Cambria Math" w:eastAsia="Cambria Math"/>
          <w:color w:val="203748"/>
          <w:sz w:val="23"/>
        </w:rPr>
        <w:t>,ε</w:t>
      </w:r>
      <w:r>
        <w:rPr>
          <w:rFonts w:ascii="Cambria Math" w:hAnsi="Cambria Math" w:eastAsia="Cambria Math"/>
          <w:color w:val="203748"/>
          <w:sz w:val="19"/>
          <w:vertAlign w:val="subscript"/>
        </w:rPr>
        <w:t>2</w:t>
      </w:r>
      <w:r>
        <w:rPr>
          <w:rFonts w:ascii="Cambria Math" w:hAnsi="Cambria Math" w:eastAsia="Cambria Math"/>
          <w:color w:val="203748"/>
          <w:sz w:val="23"/>
        </w:rPr>
        <w:t>) = [log V(ε</w:t>
      </w:r>
      <w:r>
        <w:rPr>
          <w:rFonts w:ascii="Cambria Math" w:hAnsi="Cambria Math" w:eastAsia="Cambria Math"/>
          <w:color w:val="203748"/>
          <w:sz w:val="19"/>
          <w:vertAlign w:val="subscript"/>
        </w:rPr>
        <w:t>2</w:t>
      </w:r>
      <w:r>
        <w:rPr>
          <w:rFonts w:ascii="Cambria Math" w:hAnsi="Cambria Math" w:eastAsia="Cambria Math"/>
          <w:color w:val="203748"/>
          <w:sz w:val="23"/>
        </w:rPr>
        <w:t>) − log V(ε</w:t>
      </w:r>
      <w:r>
        <w:rPr>
          <w:rFonts w:ascii="Cambria Math" w:hAnsi="Cambria Math" w:eastAsia="Cambria Math"/>
          <w:color w:val="203748"/>
          <w:sz w:val="19"/>
          <w:vertAlign w:val="subscript"/>
        </w:rPr>
        <w:t>1</w:t>
      </w:r>
      <w:r>
        <w:rPr>
          <w:rFonts w:ascii="Cambria Math" w:hAnsi="Cambria Math" w:eastAsia="Cambria Math"/>
          <w:color w:val="203748"/>
          <w:sz w:val="23"/>
        </w:rPr>
        <w:t>)] / [log ε</w:t>
      </w:r>
      <w:r>
        <w:rPr>
          <w:rFonts w:ascii="Cambria Math" w:hAnsi="Cambria Math" w:eastAsia="Cambria Math"/>
          <w:color w:val="203748"/>
          <w:sz w:val="19"/>
          <w:vertAlign w:val="subscript"/>
        </w:rPr>
        <w:t>2</w:t>
      </w:r>
      <w:r>
        <w:rPr>
          <w:rFonts w:ascii="Cambria Math" w:hAnsi="Cambria Math" w:eastAsia="Cambria Math"/>
          <w:color w:val="203748"/>
          <w:sz w:val="23"/>
        </w:rPr>
        <w:t xml:space="preserve"> − log ε</w:t>
      </w:r>
      <w:r>
        <w:rPr>
          <w:rFonts w:ascii="Cambria Math" w:hAnsi="Cambria Math" w:eastAsia="Cambria Math"/>
          <w:color w:val="203748"/>
          <w:sz w:val="19"/>
          <w:vertAlign w:val="subscript"/>
        </w:rPr>
        <w:t>1</w:t>
      </w:r>
      <w:r>
        <w:rPr>
          <w:rFonts w:ascii="Cambria Math" w:hAnsi="Cambria Math" w:eastAsia="Cambria Math"/>
          <w:color w:val="203748"/>
          <w:sz w:val="23"/>
        </w:rPr>
        <w:t>],</w:t>
      </w:r>
      <w:r>
        <w:rPr>
          <w:rFonts w:ascii="Cambria Math" w:hAnsi="Cambria Math" w:eastAsia="Cambria Math"/>
          <w:color w:val="203748"/>
          <w:sz w:val="23"/>
        </w:rPr>
        <w:t xml:space="preserve">    (17)</w:t>
      </w:r>
    </w:p>
    <w:p>
      <w:pPr>
        <w:keepNext w:val="0"/>
      </w:pPr>
      <w:r>
        <w:rPr>
          <w:rFonts w:ascii="Calibri" w:hAnsi="Calibri" w:eastAsia="Calibri"/>
          <w:i w:val="0"/>
          <w:color w:val="202428"/>
        </w:rPr>
        <w:t>using compression-shaped perturbations. Allocate bits, ranks or sparsity across blocks so their marginal increase in predicted distortion per saved bit is equalized. This is closer to rate–distortion optimization than using one global λ. It remains a budget allocator unless paired with the structural compiler.</w:t>
      </w:r>
    </w:p>
    <w:p>
      <w:pPr>
        <w:pStyle w:val="Heading2"/>
      </w:pPr>
      <w:r>
        <w:t>10.3 Monomial-aware quantization</w:t>
      </w:r>
    </w:p>
    <w:p>
      <w:pPr>
        <w:keepNext w:val="0"/>
      </w:pPr>
      <w:r>
        <w:rPr>
          <w:rFonts w:ascii="Calibri" w:hAnsi="Calibri" w:eastAsia="Calibri"/>
          <w:i w:val="0"/>
          <w:color w:val="202428"/>
        </w:rPr>
        <w:t>If the local loss along an essential coordinate s is proportional to |s| raised to the power 2k, the admissible perturbation scale is</w:t>
      </w:r>
    </w:p>
    <w:p>
      <w:pPr>
        <w:keepLines/>
        <w:spacing w:before="100" w:after="140"/>
        <w:jc w:val="center"/>
      </w:pPr>
      <w:r>
        <w:rPr>
          <w:rFonts w:ascii="Cambria Math" w:hAnsi="Cambria Math" w:eastAsia="Cambria Math"/>
          <w:color w:val="203748"/>
          <w:sz w:val="23"/>
        </w:rPr>
        <w:t>|Δs| ≲ (ε/c)</w:t>
      </w:r>
      <w:r>
        <w:rPr>
          <w:rFonts w:ascii="Cambria Math" w:hAnsi="Cambria Math" w:eastAsia="Cambria Math"/>
          <w:color w:val="203748"/>
          <w:sz w:val="19"/>
          <w:vertAlign w:val="superscript"/>
        </w:rPr>
        <w:t>1/(2k)</w:t>
      </w:r>
      <w:r>
        <w:rPr>
          <w:rFonts w:ascii="Cambria Math" w:hAnsi="Cambria Math" w:eastAsia="Cambria Math"/>
          <w:color w:val="203748"/>
          <w:sz w:val="23"/>
        </w:rPr>
        <w:t>.</w:t>
      </w:r>
      <w:r>
        <w:rPr>
          <w:rFonts w:ascii="Cambria Math" w:hAnsi="Cambria Math" w:eastAsia="Cambria Math"/>
          <w:color w:val="203748"/>
          <w:sz w:val="23"/>
        </w:rPr>
        <w:t xml:space="preserve">    (18)</w:t>
      </w:r>
    </w:p>
    <w:p>
      <w:pPr>
        <w:keepNext w:val="0"/>
      </w:pPr>
      <w:r>
        <w:rPr>
          <w:rFonts w:ascii="Calibri" w:hAnsi="Calibri" w:eastAsia="Calibri"/>
          <w:i w:val="0"/>
          <w:color w:val="202428"/>
        </w:rPr>
        <w:t>For k &gt; 1 this differs from the square-root law implied by a Hessian. Product terms imply coupled, multiplicative error budgets rather than independent ellipsoidal bins. A practical quantizer could use these exponents to set groupwise step sizes or nonuniform codebooks, then use GPTQ-style compensation within the remaining regular subspace.</w:t>
      </w:r>
    </w:p>
    <w:p>
      <w:pPr>
        <w:pStyle w:val="Heading2"/>
      </w:pPr>
      <w:r>
        <w:t>10.4 Singularity-seeking training before compression</w:t>
      </w:r>
    </w:p>
    <w:p>
      <w:pPr>
        <w:keepNext w:val="0"/>
      </w:pPr>
      <w:r>
        <w:rPr>
          <w:rFonts w:ascii="Calibri" w:hAnsi="Calibri" w:eastAsia="Calibri"/>
          <w:i w:val="0"/>
          <w:color w:val="202428"/>
        </w:rPr>
        <w:t>Instead of compressing a fixed checkpoint, train with structured gates and a geometry objective that encourages wide, low-complexity singular strata. Possible objectives include localized free energy, finite-scale volume, stable low blockwise LLC, or explicit factorized normal-form penalties. Entropy-SGD is a nearby precedent for optimizing local entropy [12], but the proposed objective would target architectural singularities that can be compiled. The risk is that lower LLC need not mean better task performance or hardware efficiency.</w:t>
      </w:r>
    </w:p>
    <w:p>
      <w:pPr>
        <w:pStyle w:val="Heading2"/>
      </w:pPr>
      <w:r>
        <w:t>10.5 Geometry-guided hybrid compression</w:t>
      </w:r>
    </w:p>
    <w:p>
      <w:pPr>
        <w:keepNext w:val="0"/>
      </w:pPr>
      <w:r>
        <w:rPr>
          <w:rFonts w:ascii="Calibri" w:hAnsi="Calibri" w:eastAsia="Calibri"/>
          <w:i w:val="0"/>
          <w:color w:val="202428"/>
        </w:rPr>
        <w:t>Use the compiler for parameter/FLOP reduction, then apply established methods to the result: SVD-LLM or activation-aware factorization for residual low-rank structure, GPTQ/AWQ/AQLM for bit compression, and SparseGPT for kernel-compatible sparsity. Singular geometry decides the structural quotient; mature compressors handle numerical representation inside that quotient.</w:t>
      </w:r>
    </w:p>
    <w:p>
      <w:pPr>
        <w:pStyle w:val="Heading1"/>
      </w:pPr>
      <w:r>
        <w:t>11. Experimental program</w:t>
      </w:r>
    </w:p>
    <w:p>
      <w:pPr>
        <w:keepNext w:val="0"/>
      </w:pPr>
      <w:r>
        <w:rPr>
          <w:rFonts w:ascii="Calibri" w:hAnsi="Calibri" w:eastAsia="Calibri"/>
          <w:i w:val="0"/>
          <w:color w:val="202428"/>
        </w:rPr>
        <w:t>A credible test should begin on models small enough that higher-order probes can be repeated, then scale only after the surrogate predicts held-out perturbations. The comparison must isolate whether non-Gaussian information adds value beyond Hessian information.</w:t>
      </w:r>
    </w:p>
    <w:tbl>
      <w:tblPr>
        <w:tblStyle w:val="TableGrid"/>
        <w:tblW w:type="dxa" w:w="9360"/>
        <w:jc w:val="left"/>
        <w:tblLayout w:type="fixed"/>
        <w:tblLook w:firstColumn="1" w:firstRow="1" w:lastColumn="0" w:lastRow="0" w:noHBand="0" w:noVBand="1" w:val="04A0"/>
        <w:tblInd w:w="120" w:type="dxa"/>
        <w:tblBorders>
          <w:top w:val="single" w:sz="6" w:color="D9DEE3"/>
          <w:left w:val="single" w:sz="6" w:color="D9DEE3"/>
          <w:bottom w:val="single" w:sz="6" w:color="D9DEE3"/>
          <w:right w:val="single" w:sz="6" w:color="D9DEE3"/>
          <w:insideH w:val="single" w:sz="6" w:color="D9DEE3"/>
          <w:insideV w:val="single" w:sz="6" w:color="D9DEE3"/>
        </w:tblBorders>
      </w:tblPr>
      <w:tblGrid>
        <w:gridCol w:w="2050"/>
        <w:gridCol w:w="3380"/>
        <w:gridCol w:w="3930"/>
      </w:tblGrid>
      <w:tr>
        <w:trPr>
          <w:tblHeader w:val="true"/>
        </w:trPr>
        <w:tc>
          <w:tcPr>
            <w:tcW w:type="dxa" w:w="205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Experiment</w:t>
            </w:r>
          </w:p>
        </w:tc>
        <w:tc>
          <w:tcPr>
            <w:tcW w:type="dxa" w:w="338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Question</w:t>
            </w:r>
          </w:p>
        </w:tc>
        <w:tc>
          <w:tcPr>
            <w:tcW w:type="dxa" w:w="3930"/>
            <w:shd w:fill="F4F6F9"/>
            <w:tcMar>
              <w:top w:w="80" w:type="dxa"/>
              <w:start w:w="120" w:type="dxa"/>
              <w:bottom w:w="80" w:type="dxa"/>
              <w:end w:w="120" w:type="dxa"/>
            </w:tcMar>
            <w:vAlign w:val="center"/>
          </w:tcPr>
          <w:p>
            <w:pPr>
              <w:spacing w:before="20" w:after="20"/>
            </w:pPr>
            <w:r>
              <w:rPr>
                <w:rFonts w:ascii="Calibri" w:hAnsi="Calibri" w:eastAsia="Calibri"/>
                <w:b/>
                <w:color w:val="203748"/>
                <w:sz w:val="17"/>
              </w:rPr>
              <w:t>Essential comparison</w:t>
            </w:r>
          </w:p>
        </w:tc>
      </w:tr>
      <w:tr>
        <w:tc>
          <w:tcPr>
            <w:tcW w:type="dxa" w:w="20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Toy singular networks</w:t>
            </w:r>
          </w:p>
        </w:tc>
        <w:tc>
          <w:tcPr>
            <w:tcW w:type="dxa" w:w="33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Does the estimator recover known branches and exponents?</w:t>
            </w:r>
          </w:p>
        </w:tc>
        <w:tc>
          <w:tcPr>
            <w:tcW w:type="dxa" w:w="393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Exact normal form and direct sublevel-volume calculation</w:t>
            </w:r>
          </w:p>
        </w:tc>
      </w:tr>
      <w:tr>
        <w:tc>
          <w:tcPr>
            <w:tcW w:type="dxa" w:w="20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Small attention-only Transformer</w:t>
            </w:r>
          </w:p>
        </w:tc>
        <w:tc>
          <w:tcPr>
            <w:tcW w:type="dxa" w:w="33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Can rLLC plus higher-order gate probes recover head differentiation and removable branches?</w:t>
            </w:r>
          </w:p>
        </w:tc>
        <w:tc>
          <w:tcPr>
            <w:tcW w:type="dxa" w:w="393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Magnitude, activation and Hessian gate saliency</w:t>
            </w:r>
          </w:p>
        </w:tc>
      </w:tr>
      <w:tr>
        <w:tc>
          <w:tcPr>
            <w:tcW w:type="dxa" w:w="20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Pythia 14M–410M</w:t>
            </w:r>
          </w:p>
        </w:tc>
        <w:tc>
          <w:tcPr>
            <w:tcW w:type="dxa" w:w="33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Does the compiler emit a better thin model at fixed parameters/FLOPs?</w:t>
            </w:r>
          </w:p>
        </w:tc>
        <w:tc>
          <w:tcPr>
            <w:tcW w:type="dxa" w:w="393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Sheared-style structured pruning, SVD-LLM, random and Hessian ablations</w:t>
            </w:r>
          </w:p>
        </w:tc>
      </w:tr>
      <w:tr>
        <w:tc>
          <w:tcPr>
            <w:tcW w:type="dxa" w:w="20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Larger decoder checkpoint</w:t>
            </w:r>
          </w:p>
        </w:tc>
        <w:tc>
          <w:tcPr>
            <w:tcW w:type="dxa" w:w="33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Do blockwise probes scale and remain stable?</w:t>
            </w:r>
          </w:p>
        </w:tc>
        <w:tc>
          <w:tcPr>
            <w:tcW w:type="dxa" w:w="393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Equal calibration tokens, compression time and recovery tokens</w:t>
            </w:r>
          </w:p>
        </w:tc>
      </w:tr>
      <w:tr>
        <w:tc>
          <w:tcPr>
            <w:tcW w:type="dxa" w:w="205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Hybrid compression</w:t>
            </w:r>
          </w:p>
        </w:tc>
        <w:tc>
          <w:tcPr>
            <w:tcW w:type="dxa" w:w="338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Does structural compilation improve later 2–4-bit quantization?</w:t>
            </w:r>
          </w:p>
        </w:tc>
        <w:tc>
          <w:tcPr>
            <w:tcW w:type="dxa" w:w="3930"/>
            <w:tcMar>
              <w:top w:w="80" w:type="dxa"/>
              <w:start w:w="120" w:type="dxa"/>
              <w:bottom w:w="80" w:type="dxa"/>
              <w:end w:w="120" w:type="dxa"/>
            </w:tcMar>
            <w:vAlign w:val="center"/>
          </w:tcPr>
          <w:p>
            <w:pPr>
              <w:spacing w:before="20" w:after="20" w:line="259" w:lineRule="auto"/>
            </w:pPr>
            <w:r>
              <w:rPr>
                <w:rFonts w:ascii="Calibri" w:hAnsi="Calibri" w:eastAsia="Calibri"/>
                <w:color w:val="202428"/>
                <w:sz w:val="17"/>
              </w:rPr>
              <w:t>GPTQ/AWQ/AQLM on the original versus compiled model</w:t>
            </w:r>
          </w:p>
        </w:tc>
      </w:tr>
    </w:tbl>
    <w:p>
      <w:pPr>
        <w:spacing w:after="20"/>
      </w:pPr>
    </w:p>
    <w:p>
      <w:pPr>
        <w:pStyle w:val="Caption"/>
        <w:keepNext w:val="0"/>
        <w:jc w:val="center"/>
      </w:pPr>
      <w:r>
        <w:rPr>
          <w:rFonts w:ascii="Calibri" w:hAnsi="Calibri" w:eastAsia="Calibri"/>
          <w:i/>
          <w:color w:val="5F6770"/>
          <w:sz w:val="18"/>
        </w:rPr>
        <w:t>Table 4. A staged experiment plan designed to falsify the value of higher-order geometry early.</w:t>
      </w:r>
    </w:p>
    <w:p>
      <w:pPr>
        <w:pStyle w:val="Heading2"/>
      </w:pPr>
      <w:r>
        <w:t>11.1 Required ablations</w:t>
      </w:r>
    </w:p>
    <w:p>
      <w:pPr>
        <w:pStyle w:val="ListBullet"/>
      </w:pPr>
      <w:r>
        <w:rPr>
          <w:rFonts w:ascii="Calibri" w:hAnsi="Calibri" w:eastAsia="Calibri"/>
          <w:color w:val="202428"/>
        </w:rPr>
        <w:t>Hessian only: use the same structured coordinates but retain only the quadratic term.</w:t>
      </w:r>
    </w:p>
    <w:p>
      <w:pPr>
        <w:pStyle w:val="ListBullet"/>
      </w:pPr>
      <w:r>
        <w:rPr>
          <w:rFonts w:ascii="Calibri" w:hAnsi="Calibri" w:eastAsia="Calibri"/>
          <w:color w:val="202428"/>
        </w:rPr>
        <w:t>LLC only: allocate compression budgets from global/blockwise λ without directional higher-order factors.</w:t>
      </w:r>
    </w:p>
    <w:p>
      <w:pPr>
        <w:pStyle w:val="ListBullet"/>
      </w:pPr>
      <w:r>
        <w:rPr>
          <w:rFonts w:ascii="Calibri" w:hAnsi="Calibri" w:eastAsia="Calibri"/>
          <w:color w:val="202428"/>
        </w:rPr>
        <w:t>Higher-order without LLC: fit nullspace normal forms but do not use volume estimates.</w:t>
      </w:r>
    </w:p>
    <w:p>
      <w:pPr>
        <w:pStyle w:val="ListBullet"/>
      </w:pPr>
      <w:r>
        <w:rPr>
          <w:rFonts w:ascii="Calibri" w:hAnsi="Calibri" w:eastAsia="Calibri"/>
          <w:color w:val="202428"/>
        </w:rPr>
        <w:t>Unstructured versus architecture-aligned probes: test whether the grammar alignment is doing the work.</w:t>
      </w:r>
    </w:p>
    <w:p>
      <w:pPr>
        <w:pStyle w:val="ListBullet"/>
      </w:pPr>
      <w:r>
        <w:rPr>
          <w:rFonts w:ascii="Calibri" w:hAnsi="Calibri" w:eastAsia="Calibri"/>
          <w:color w:val="202428"/>
        </w:rPr>
        <w:t>No recovery, equal recovery, and full recovery: separate initialization quality from extra training.</w:t>
      </w:r>
    </w:p>
    <w:p>
      <w:pPr>
        <w:pStyle w:val="ListBullet"/>
      </w:pPr>
      <w:r>
        <w:rPr>
          <w:rFonts w:ascii="Calibri" w:hAnsi="Calibri" w:eastAsia="Calibri"/>
          <w:color w:val="202428"/>
        </w:rPr>
        <w:t>Calibration shift: repeat on domain and sequence-length slices to measure geometric overfitting.</w:t>
      </w:r>
    </w:p>
    <w:p>
      <w:pPr>
        <w:pStyle w:val="Heading2"/>
      </w:pPr>
      <w:r>
        <w:t>11.2 Success criteria</w:t>
      </w:r>
    </w:p>
    <w:p>
      <w:pPr>
        <w:keepNext w:val="0"/>
      </w:pPr>
      <w:r>
        <w:rPr>
          <w:rFonts w:ascii="Calibri" w:hAnsi="Calibri" w:eastAsia="Calibri"/>
          <w:i w:val="0"/>
          <w:color w:val="202428"/>
        </w:rPr>
        <w:t>The strongest result would be a Pareto improvement over structured pruning and low-rank baselines: at the same dense parameter count and measured latency, the singular compiler gives lower held-out loss after equal recovery compute. A weaker but still useful result would be better rank/head/MLP budget allocation, or a reliable early predictor that rules out impossible compression targets before expensive recovery.</w:t>
      </w:r>
    </w:p>
    <w:p>
      <w:pPr>
        <w:pStyle w:val="Heading1"/>
      </w:pPr>
      <w:r>
        <w:t>12. Failure modes and limitations</w:t>
      </w:r>
    </w:p>
    <w:p>
      <w:pPr>
        <w:pStyle w:val="ListBullet"/>
      </w:pPr>
      <w:r>
        <w:rPr>
          <w:rFonts w:ascii="Calibri" w:hAnsi="Calibri" w:eastAsia="Calibri"/>
          <w:color w:val="202428"/>
        </w:rPr>
        <w:t>Scalar insufficiency. Two landscapes can have the same LLC and completely different orientations and branch structures. LLC must be supplemented by structured probes.</w:t>
      </w:r>
    </w:p>
    <w:p>
      <w:pPr>
        <w:pStyle w:val="ListBullet"/>
      </w:pPr>
      <w:r>
        <w:rPr>
          <w:rFonts w:ascii="Calibri" w:hAnsi="Calibri" w:eastAsia="Calibri"/>
          <w:color w:val="202428"/>
        </w:rPr>
        <w:t>Locality. A local normal form may not predict the finite displacement required to delete a whole layer or halve model width.</w:t>
      </w:r>
    </w:p>
    <w:p>
      <w:pPr>
        <w:pStyle w:val="ListBullet"/>
      </w:pPr>
      <w:r>
        <w:rPr>
          <w:rFonts w:ascii="Calibri" w:hAnsi="Calibri" w:eastAsia="Calibri"/>
          <w:color w:val="202428"/>
        </w:rPr>
        <w:t>Non-identifiability. Fitted higher-order factors can rotate or split under noise; interpreting them as heads or neurons requires stability tests.</w:t>
      </w:r>
    </w:p>
    <w:p>
      <w:pPr>
        <w:pStyle w:val="ListBullet"/>
      </w:pPr>
      <w:r>
        <w:rPr>
          <w:rFonts w:ascii="Calibri" w:hAnsi="Calibri" w:eastAsia="Calibri"/>
          <w:color w:val="202428"/>
        </w:rPr>
        <w:t>Scale. Dense third- or fourth-order derivative tensors are impossible at LLM scale. The method relies on randomized contractions, sparse factorization and a narrow architecture grammar.</w:t>
      </w:r>
    </w:p>
    <w:p>
      <w:pPr>
        <w:pStyle w:val="ListBullet"/>
      </w:pPr>
      <w:r>
        <w:rPr>
          <w:rFonts w:ascii="Calibri" w:hAnsi="Calibri" w:eastAsia="Calibri"/>
          <w:color w:val="202428"/>
        </w:rPr>
        <w:t>Stochastic loss. Minibatch noise can masquerade as high-order curvature. Multi-radius, ±ρ and cross-batch replication are mandatory.</w:t>
      </w:r>
    </w:p>
    <w:p>
      <w:pPr>
        <w:pStyle w:val="ListBullet"/>
      </w:pPr>
      <w:r>
        <w:rPr>
          <w:rFonts w:ascii="Calibri" w:hAnsi="Calibri" w:eastAsia="Calibri"/>
          <w:color w:val="202428"/>
        </w:rPr>
        <w:t>Distribution dependence. Compression safe on a calibration corpus can damage rare skills or out-of-distribution behavior.</w:t>
      </w:r>
    </w:p>
    <w:p>
      <w:pPr>
        <w:pStyle w:val="ListBullet"/>
      </w:pPr>
      <w:r>
        <w:rPr>
          <w:rFonts w:ascii="Calibri" w:hAnsi="Calibri" w:eastAsia="Calibri"/>
          <w:color w:val="202428"/>
        </w:rPr>
        <w:t>Hardware mismatch. A mathematically smaller parameterization is not automatically faster; shapes must align with kernels and memory systems.</w:t>
      </w:r>
    </w:p>
    <w:p>
      <w:pPr>
        <w:pStyle w:val="ListBullet"/>
      </w:pPr>
      <w:r>
        <w:rPr>
          <w:rFonts w:ascii="Calibri" w:hAnsi="Calibri" w:eastAsia="Calibri"/>
          <w:color w:val="202428"/>
        </w:rPr>
        <w:t>Novelty boundary. Structured pruning, low-rank factorization, component gating, local entropy and Hessian compensation already exist. The novel claim would have to be that higher-order singular geometry discovers relational constraints that those baselines miss.</w:t>
      </w:r>
    </w:p>
    <w:tbl>
      <w:tblPr>
        <w:tblW w:type="dxa" w:w="9360"/>
        <w:jc w:val="left"/>
        <w:tblLayout w:type="fixed"/>
        <w:tblLook w:firstColumn="1" w:firstRow="1" w:lastColumn="0" w:lastRow="0" w:noHBand="0" w:noVBand="1" w:val="04A0"/>
        <w:tblInd w:w="120" w:type="dxa"/>
        <w:tblBorders>
          <w:top w:val="single" w:sz="2" w:color="FBF5E8"/>
          <w:left w:val="single" w:sz="2" w:color="FBF5E8"/>
          <w:bottom w:val="single" w:sz="2" w:color="FBF5E8"/>
          <w:right w:val="single" w:sz="2" w:color="FBF5E8"/>
          <w:insideH w:val="single" w:sz="2" w:color="FBF5E8"/>
          <w:insideV w:val="single" w:sz="2" w:color="FBF5E8"/>
        </w:tblBorders>
      </w:tblPr>
      <w:tblGrid>
        <w:gridCol w:w="9360"/>
      </w:tblGrid>
      <w:tr>
        <w:tc>
          <w:tcPr>
            <w:tcW w:type="dxa" w:w="9360"/>
            <w:tcMar>
              <w:top w:w="80" w:type="dxa"/>
              <w:start w:w="120" w:type="dxa"/>
              <w:bottom w:w="80" w:type="dxa"/>
              <w:end w:w="120" w:type="dxa"/>
            </w:tcMar>
            <w:vAlign w:val="center"/>
            <w:shd w:fill="FBF5E8"/>
          </w:tcPr>
          <w:p>
            <w:pPr>
              <w:spacing w:before="40" w:after="40" w:line="269" w:lineRule="auto"/>
            </w:pPr>
            <w:r>
              <w:rPr>
                <w:rFonts w:ascii="Calibri" w:hAnsi="Calibri" w:eastAsia="Calibri"/>
                <w:b/>
                <w:color w:val="B8862B"/>
                <w:sz w:val="18"/>
              </w:rPr>
              <w:t xml:space="preserve">FALSIFICATION CONDITION  </w:t>
            </w:r>
            <w:r>
              <w:rPr>
                <w:rFonts w:ascii="Calibri" w:hAnsi="Calibri" w:eastAsia="Calibri"/>
                <w:color w:val="203748"/>
                <w:sz w:val="21"/>
              </w:rPr>
              <w:t>If the higher-order surrogate does not predict held-out structured perturbations better than the quadratic surrogate, or if its selected architectures do not beat Hessian/activation baselines under equal recovery, the singular compiler has not earned its added cost.</w:t>
            </w:r>
          </w:p>
        </w:tc>
      </w:tr>
    </w:tbl>
    <w:p/>
    <w:p>
      <w:pPr>
        <w:pStyle w:val="Heading1"/>
      </w:pPr>
      <w:r>
        <w:t>13. Compact implementation recipe</w:t>
      </w:r>
    </w:p>
    <w:p>
      <w:pPr>
        <w:pStyle w:val="ListNumber"/>
        <w:numPr>
          <w:ilvl w:val="0"/>
          <w:numId w:val="10"/>
        </w:numPr>
      </w:pPr>
      <w:r>
        <w:rPr>
          <w:rFonts w:ascii="Calibri" w:hAnsi="Calibri" w:eastAsia="Calibri"/>
          <w:color w:val="202428"/>
        </w:rPr>
        <w:t>Choose the deployment target and grammar. For version 1, allow head deletion/merge, QK and VO rank reduction, and MLP-width reduction; keep layers and dmodel fixed.</w:t>
      </w:r>
    </w:p>
    <w:p>
      <w:pPr>
        <w:pStyle w:val="ListNumber"/>
        <w:numPr>
          <w:ilvl w:val="0"/>
          <w:numId w:val="10"/>
        </w:numPr>
      </w:pPr>
      <w:r>
        <w:rPr>
          <w:rFonts w:ascii="Calibri" w:hAnsi="Calibri" w:eastAsia="Calibri"/>
          <w:color w:val="202428"/>
        </w:rPr>
        <w:t>Collect representative calibration batches and a held-out geometric validation set.</w:t>
      </w:r>
    </w:p>
    <w:p>
      <w:pPr>
        <w:pStyle w:val="ListNumber"/>
        <w:numPr>
          <w:ilvl w:val="0"/>
          <w:numId w:val="10"/>
        </w:numPr>
      </w:pPr>
      <w:r>
        <w:rPr>
          <w:rFonts w:ascii="Calibri" w:hAnsi="Calibri" w:eastAsia="Calibri"/>
          <w:color w:val="202428"/>
        </w:rPr>
        <w:t>Measure activation statistics, blockwise loss, HVP spectra and global/blockwise LLC estimates. Use the Hessian soft rank as a cheap baseline, not as the final LLC.</w:t>
      </w:r>
    </w:p>
    <w:p>
      <w:pPr>
        <w:pStyle w:val="ListNumber"/>
        <w:numPr>
          <w:ilvl w:val="0"/>
          <w:numId w:val="10"/>
        </w:numPr>
      </w:pPr>
      <w:r>
        <w:rPr>
          <w:rFonts w:ascii="Calibri" w:hAnsi="Calibri" w:eastAsia="Calibri"/>
          <w:color w:val="202428"/>
        </w:rPr>
        <w:t>Introduce temporary structured gates and bases. Identify stable low-curvature combinations with HVP/Lanczos.</w:t>
      </w:r>
    </w:p>
    <w:p>
      <w:pPr>
        <w:pStyle w:val="ListNumber"/>
        <w:numPr>
          <w:ilvl w:val="0"/>
          <w:numId w:val="10"/>
        </w:numPr>
      </w:pPr>
      <w:r>
        <w:rPr>
          <w:rFonts w:ascii="Calibri" w:hAnsi="Calibri" w:eastAsia="Calibri"/>
          <w:color w:val="202428"/>
        </w:rPr>
        <w:t>Evaluate ±ρ perturbations at several radii; fit the first predictive non-quadratic terms with sparse factorized regressors.</w:t>
      </w:r>
    </w:p>
    <w:p>
      <w:pPr>
        <w:pStyle w:val="ListNumber"/>
        <w:numPr>
          <w:ilvl w:val="0"/>
          <w:numId w:val="10"/>
        </w:numPr>
      </w:pPr>
      <w:r>
        <w:rPr>
          <w:rFonts w:ascii="Calibri" w:hAnsi="Calibri" w:eastAsia="Calibri"/>
          <w:color w:val="202428"/>
        </w:rPr>
        <w:t>Translate stable factors into zero/merge/rank/share hypotheses. Reject any factor that is unstable across batches, radii or seeds.</w:t>
      </w:r>
    </w:p>
    <w:p>
      <w:pPr>
        <w:pStyle w:val="ListNumber"/>
        <w:numPr>
          <w:ilvl w:val="0"/>
          <w:numId w:val="10"/>
        </w:numPr>
      </w:pPr>
      <w:r>
        <w:rPr>
          <w:rFonts w:ascii="Calibri" w:hAnsi="Calibri" w:eastAsia="Calibri"/>
          <w:color w:val="202428"/>
        </w:rPr>
        <w:t>Solve a hardware-aware constrained selection problem. Compile the selected branch into new dense tensors.</w:t>
      </w:r>
    </w:p>
    <w:p>
      <w:pPr>
        <w:pStyle w:val="ListNumber"/>
        <w:numPr>
          <w:ilvl w:val="0"/>
          <w:numId w:val="10"/>
        </w:numPr>
      </w:pPr>
      <w:r>
        <w:rPr>
          <w:rFonts w:ascii="Calibri" w:hAnsi="Calibri" w:eastAsia="Calibri"/>
          <w:color w:val="202428"/>
        </w:rPr>
        <w:t>Run equal-budget recovery and compare against magnitude, activation, Hessian, structured-pruning and low-rank baselines.</w:t>
      </w:r>
    </w:p>
    <w:p>
      <w:pPr>
        <w:pStyle w:val="ListNumber"/>
        <w:numPr>
          <w:ilvl w:val="0"/>
          <w:numId w:val="10"/>
        </w:numPr>
      </w:pPr>
      <w:r>
        <w:rPr>
          <w:rFonts w:ascii="Calibri" w:hAnsi="Calibri" w:eastAsia="Calibri"/>
          <w:color w:val="202428"/>
        </w:rPr>
        <w:t>Only after structural gains are established, apply a mature quantizer and report parameters, bits, FLOPs, memory and measured latency separately.</w:t>
      </w:r>
    </w:p>
    <w:p>
      <w:pPr>
        <w:pStyle w:val="Heading1"/>
      </w:pPr>
      <w:r>
        <w:t>Conclusion</w:t>
      </w:r>
    </w:p>
    <w:p>
      <w:pPr>
        <w:keepNext w:val="0"/>
      </w:pPr>
      <w:r>
        <w:rPr>
          <w:rFonts w:ascii="Calibri" w:hAnsi="Calibri" w:eastAsia="Calibri"/>
          <w:i w:val="0"/>
          <w:color w:val="202428"/>
        </w:rPr>
        <w:t>The Hessian tells us the local quadratic cost of perturbations. LLC tells us how the volume of good parameters scales when the model is singular. Neither alone specifies a smaller architecture. The plausible route to a genuinely new compression technique is to extract more structure from the non-Gaussian landscape: estimate higher-order behavior in structured Hessian-null coordinates, infer branches and functional invariants, and compile them through a restricted grammar into a normal thin Transformer.</w:t>
      </w:r>
    </w:p>
    <w:p>
      <w:pPr>
        <w:keepNext w:val="0"/>
      </w:pPr>
      <w:r>
        <w:rPr>
          <w:rFonts w:ascii="Calibri" w:hAnsi="Calibri" w:eastAsia="Calibri"/>
          <w:i w:val="0"/>
          <w:color w:val="202428"/>
        </w:rPr>
        <w:t>This approach is ambitious but falsifiable. Its value is not that it invokes SLT; its value would be demonstrated only if non-quadratic information selects better discrete architecture changes than Hessian, activation and existing structured-pruning methods at matched compute. The immediate research target should be modest: attention and MLP internal dimensions on small Pythia-scale models, with rigorous quadratic and equal-recovery ablations.</w:t>
      </w:r>
    </w:p>
    <w:p>
      <w:r>
        <w:br w:type="page"/>
      </w:r>
    </w:p>
    <w:p>
      <w:pPr>
        <w:pStyle w:val="Heading1"/>
      </w:pPr>
      <w:r>
        <w:t>References</w:t>
      </w:r>
    </w:p>
    <w:p>
      <w:pPr>
        <w:spacing w:after="100" w:line="269" w:lineRule="auto"/>
        <w:ind w:left="403" w:hanging="403"/>
      </w:pPr>
      <w:r>
        <w:rPr>
          <w:rFonts w:ascii="Calibri" w:hAnsi="Calibri" w:eastAsia="Calibri"/>
          <w:b/>
          <w:color w:val="2E74B5"/>
          <w:sz w:val="19"/>
        </w:rPr>
        <w:t xml:space="preserve">[1] </w:t>
      </w:r>
      <w:r>
        <w:rPr>
          <w:rFonts w:ascii="Calibri" w:hAnsi="Calibri" w:eastAsia="Calibri"/>
          <w:color w:val="202428"/>
          <w:sz w:val="19"/>
        </w:rPr>
        <w:t xml:space="preserve">Murfet, D., Wei, S., Gong, M., Li, H., Gell-Redman, J., and Quella, T. (2020). Deep Learning is Singular, and That’s Good. arXiv:2010.11560. </w:t>
      </w:r>
      <w:hyperlink r:id="rId13">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[2] </w:t>
      </w:r>
      <w:r>
        <w:rPr>
          <w:rFonts w:ascii="Calibri" w:hAnsi="Calibri" w:eastAsia="Calibri"/>
          <w:color w:val="202428"/>
          <w:sz w:val="19"/>
        </w:rPr>
        <w:t xml:space="preserve">Lau, E., Furman, Z., Wang, G., Murfet, D., and Wei, S. (2023/2025). The Local Learning Coefficient: A Singularity-Aware Complexity Measure. arXiv:2308.12108; AISTATS 2025. </w:t>
      </w:r>
      <w:hyperlink r:id="rId14">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[3] </w:t>
      </w:r>
      <w:r>
        <w:rPr>
          <w:rFonts w:ascii="Calibri" w:hAnsi="Calibri" w:eastAsia="Calibri"/>
          <w:color w:val="202428"/>
          <w:sz w:val="19"/>
        </w:rPr>
        <w:t xml:space="preserve">Urdshals, E., Lau, E., Hoogland, J., van Wingerden, S., and Murfet, D. (2025). Compressibility Measures Complexity: Minimum Description Length Meets Singular Learning Theory. arXiv:2510.12077. </w:t>
      </w:r>
      <w:hyperlink r:id="rId15">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[4] </w:t>
      </w:r>
      <w:r>
        <w:rPr>
          <w:rFonts w:ascii="Calibri" w:hAnsi="Calibri" w:eastAsia="Calibri"/>
          <w:color w:val="202428"/>
          <w:sz w:val="19"/>
        </w:rPr>
        <w:t xml:space="preserve">Wang, G., Hoogland, J., van Wingerden, S., Furman, Z., and Murfet, D. (2024/2025). Differentiation and Specialization of Attention Heads via the Refined Local Learning Coefficient. arXiv:2410.02984; ICLR 2025. </w:t>
      </w:r>
      <w:hyperlink r:id="rId16">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[5] </w:t>
      </w:r>
      <w:r>
        <w:rPr>
          <w:rFonts w:ascii="Calibri" w:hAnsi="Calibri" w:eastAsia="Calibri"/>
          <w:color w:val="202428"/>
          <w:sz w:val="19"/>
        </w:rPr>
        <w:t xml:space="preserve">Frantar, E., Ashkboos, S., Hoefler, T., and Alistarh, D. (2022/2023). GPTQ: Accurate Post-Training Quantization for Generative Pre-trained Transformers. arXiv:2210.17323; ICLR 2023. </w:t>
      </w:r>
      <w:hyperlink r:id="rId17">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[6] </w:t>
      </w:r>
      <w:r>
        <w:rPr>
          <w:rFonts w:ascii="Calibri" w:hAnsi="Calibri" w:eastAsia="Calibri"/>
          <w:color w:val="202428"/>
          <w:sz w:val="19"/>
        </w:rPr>
        <w:t xml:space="preserve">Frantar, E. and Alistarh, D. (2023). SparseGPT: Massive Language Models Can Be Accurately Pruned in One-Shot. arXiv:2301.00774. </w:t>
      </w:r>
      <w:hyperlink r:id="rId18">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[7] </w:t>
      </w:r>
      <w:r>
        <w:rPr>
          <w:rFonts w:ascii="Calibri" w:hAnsi="Calibri" w:eastAsia="Calibri"/>
          <w:color w:val="202428"/>
          <w:sz w:val="19"/>
        </w:rPr>
        <w:t xml:space="preserve">Lin, J. et al. (2023/2024). AWQ: Activation-aware Weight Quantization for LLM Compression and Acceleration. arXiv:2306.00978; MLSys 2024. </w:t>
      </w:r>
      <w:hyperlink r:id="rId19">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[8] </w:t>
      </w:r>
      <w:r>
        <w:rPr>
          <w:rFonts w:ascii="Calibri" w:hAnsi="Calibri" w:eastAsia="Calibri"/>
          <w:color w:val="202428"/>
          <w:sz w:val="19"/>
        </w:rPr>
        <w:t xml:space="preserve">Egiazarian, V. et al. (2024). Extreme Compression of Large Language Models via Additive Quantization. arXiv:2401.06118; ICML 2024. </w:t>
      </w:r>
      <w:hyperlink r:id="rId20">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[9] </w:t>
      </w:r>
      <w:r>
        <w:rPr>
          <w:rFonts w:ascii="Calibri" w:hAnsi="Calibri" w:eastAsia="Calibri"/>
          <w:color w:val="202428"/>
          <w:sz w:val="19"/>
        </w:rPr>
        <w:t xml:space="preserve">Wang, X. et al. (2024/2025). SVD-LLM: Truncation-aware Singular Value Decomposition for Large Language Model Compression. arXiv:2403.07378; ICLR 2025. </w:t>
      </w:r>
      <w:hyperlink r:id="rId21">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[10] </w:t>
      </w:r>
      <w:r>
        <w:rPr>
          <w:rFonts w:ascii="Calibri" w:hAnsi="Calibri" w:eastAsia="Calibri"/>
          <w:color w:val="202428"/>
          <w:sz w:val="19"/>
        </w:rPr>
        <w:t xml:space="preserve">Xia, M., Gao, T., Zeng, Z., and Chen, D. (2023/2024). Sheared LLaMA: Accelerating Language Model Pre-training via Structured Pruning. arXiv:2310.06694; ICLR 2024. </w:t>
      </w:r>
      <w:hyperlink r:id="rId22">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[11] </w:t>
      </w:r>
      <w:r>
        <w:rPr>
          <w:rFonts w:ascii="Calibri" w:hAnsi="Calibri" w:eastAsia="Calibri"/>
          <w:color w:val="202428"/>
          <w:sz w:val="19"/>
        </w:rPr>
        <w:t xml:space="preserve">Shen, B. et al. (2024). Pruning Large Language Models to Intra-module Low-rank Architecture with Transitional Activations. arXiv:2407.05690. </w:t>
      </w:r>
      <w:hyperlink r:id="rId23">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[12] </w:t>
      </w:r>
      <w:r>
        <w:rPr>
          <w:rFonts w:ascii="Calibri" w:hAnsi="Calibri" w:eastAsia="Calibri"/>
          <w:color w:val="202428"/>
          <w:sz w:val="19"/>
        </w:rPr>
        <w:t xml:space="preserve">Chaudhari, P. et al. (2016/2017). Entropy-SGD: Biasing Gradient Descent Into Wide Valleys. arXiv:1611.01838; ICLR 2017. </w:t>
      </w:r>
      <w:hyperlink r:id="rId24">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[13] </w:t>
      </w:r>
      <w:r>
        <w:rPr>
          <w:rFonts w:ascii="Calibri" w:hAnsi="Calibri" w:eastAsia="Calibri"/>
          <w:color w:val="202428"/>
          <w:sz w:val="19"/>
        </w:rPr>
        <w:t xml:space="preserve">Hassibi, B. and Stork, D. G. (1992/1993). Second Order Derivatives for Network Pruning: Optimal Brain Surgeon. NeurIPS 1992. </w:t>
      </w:r>
      <w:hyperlink r:id="rId25">
        <w:r>
          <w:rPr>
            <w:rFonts w:ascii="Calibri" w:hAnsi="Calibri"/>
            <w:color w:val="2E74B5"/>
            <w:u w:val="single"/>
          </w:rPr>
          <w:t>Source</w:t>
        </w:r>
      </w:hyperlink>
    </w:p>
    <w:p>
      <w:pPr>
        <w:spacing w:after="100" w:line="269" w:lineRule="auto"/>
        <w:ind w:left="403" w:hanging="403"/>
      </w:pPr>
      <w:r>
        <w:rPr>
          <w:rFonts w:ascii="Calibri" w:hAnsi="Calibri" w:eastAsia="Calibri"/>
          <w:b/>
          <w:color w:val="2E74B5"/>
          <w:sz w:val="19"/>
        </w:rPr>
        <w:t xml:space="preserve">[14] </w:t>
      </w:r>
      <w:r>
        <w:rPr>
          <w:rFonts w:ascii="Calibri" w:hAnsi="Calibri" w:eastAsia="Calibri"/>
          <w:color w:val="202428"/>
          <w:sz w:val="19"/>
        </w:rPr>
        <w:t xml:space="preserve">Watanabe, S. (2009). Algebraic Geometry and Statistical Learning Theory. Cambridge University Press. </w:t>
      </w:r>
      <w:hyperlink r:id="rId26">
        <w:r>
          <w:rPr>
            <w:rFonts w:ascii="Calibri" w:hAnsi="Calibri"/>
            <w:color w:val="2E74B5"/>
            <w:u w:val="single"/>
          </w:rPr>
          <w:t>Source</w:t>
        </w:r>
      </w:hyperlink>
    </w:p>
    <w:p>
      <w:pPr>
        <w:pStyle w:val="Heading2"/>
      </w:pPr>
      <w:r>
        <w:t>Terminology at a glance</w:t>
      </w:r>
    </w:p>
    <w:tbl>
      <w:tblPr>
        <w:tblStyle w:val="TableGrid"/>
        <w:tblW w:type="dxa" w:w="9360"/>
        <w:jc w:val="left"/>
        <w:tblLayout w:type="fixed"/>
        <w:tblLook w:firstColumn="1" w:firstRow="1" w:lastColumn="0" w:lastRow="0" w:noHBand="0" w:noVBand="1" w:val="04A0"/>
        <w:tblInd w:w="120" w:type="dxa"/>
        <w:tblBorders>
          <w:top w:val="single" w:sz="6" w:color="D9DEE3"/>
          <w:left w:val="single" w:sz="6" w:color="D9DEE3"/>
          <w:bottom w:val="single" w:sz="6" w:color="D9DEE3"/>
          <w:right w:val="single" w:sz="6" w:color="D9DEE3"/>
          <w:insideH w:val="single" w:sz="6" w:color="D9DEE3"/>
          <w:insideV w:val="single" w:sz="6" w:color="D9DEE3"/>
        </w:tblBorders>
      </w:tblPr>
      <w:tblGrid>
        <w:gridCol w:w="2200"/>
        <w:gridCol w:w="7160"/>
      </w:tblGrid>
      <w:tr>
        <w:trPr>
          <w:tblHeader w:val="true"/>
        </w:trPr>
        <w:tc>
          <w:tcPr>
            <w:tcW w:type="dxa" w:w="2200"/>
            <w:shd w:fill="F4F6F9"/>
            <w:tcMar>
              <w:top w:w="80" w:type="dxa"/>
              <w:start w:w="120" w:type="dxa"/>
              <w:bottom w:w="80" w:type="dxa"/>
              <w:end w:w="120" w:type="dxa"/>
            </w:tcMar>
            <w:vAlign w:val="center"/>
          </w:tcPr>
          <w:p>
            <w:pPr>
              <w:spacing w:before="20" w:after="20"/>
            </w:pPr>
            <w:r>
              <w:rPr>
                <w:rFonts w:ascii="Calibri" w:hAnsi="Calibri" w:eastAsia="Calibri"/>
                <w:b/>
                <w:color w:val="203748"/>
                <w:sz w:val="18"/>
              </w:rPr>
              <w:t>Term</w:t>
            </w:r>
          </w:p>
        </w:tc>
        <w:tc>
          <w:tcPr>
            <w:tcW w:type="dxa" w:w="7160"/>
            <w:shd w:fill="F4F6F9"/>
            <w:tcMar>
              <w:top w:w="80" w:type="dxa"/>
              <w:start w:w="120" w:type="dxa"/>
              <w:bottom w:w="80" w:type="dxa"/>
              <w:end w:w="120" w:type="dxa"/>
            </w:tcMar>
            <w:vAlign w:val="center"/>
          </w:tcPr>
          <w:p>
            <w:pPr>
              <w:spacing w:before="20" w:after="20"/>
            </w:pPr>
            <w:r>
              <w:rPr>
                <w:rFonts w:ascii="Calibri" w:hAnsi="Calibri" w:eastAsia="Calibri"/>
                <w:b/>
                <w:color w:val="203748"/>
                <w:sz w:val="18"/>
              </w:rPr>
              <w:t>Meaning in this note</w:t>
            </w:r>
          </w:p>
        </w:tc>
      </w:tr>
      <w:tr>
        <w:tc>
          <w:tcPr>
            <w:tcW w:type="dxa" w:w="220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Hessian flat direction</w:t>
            </w:r>
          </w:p>
        </w:tc>
        <w:tc>
          <w:tcPr>
            <w:tcW w:type="dxa" w:w="716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A direction with small local quadratic curvature; not automatically an exact redundancy</w:t>
            </w:r>
          </w:p>
        </w:tc>
      </w:tr>
      <w:tr>
        <w:tc>
          <w:tcPr>
            <w:tcW w:type="dxa" w:w="220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Weight singular value</w:t>
            </w:r>
          </w:p>
        </w:tc>
        <w:tc>
          <w:tcPr>
            <w:tcW w:type="dxa" w:w="716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A matrix-rank quantity; distinct from a Hessian eigenvalue</w:t>
            </w:r>
          </w:p>
        </w:tc>
      </w:tr>
      <w:tr>
        <w:tc>
          <w:tcPr>
            <w:tcW w:type="dxa" w:w="220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LLC / λ</w:t>
            </w:r>
          </w:p>
        </w:tc>
        <w:tc>
          <w:tcPr>
            <w:tcW w:type="dxa" w:w="716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The exponent controlling local low-loss volume; a scalar complexity/compressibility signal</w:t>
            </w:r>
          </w:p>
        </w:tc>
      </w:tr>
      <w:tr>
        <w:tc>
          <w:tcPr>
            <w:tcW w:type="dxa" w:w="220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rLLC</w:t>
            </w:r>
          </w:p>
        </w:tc>
        <w:tc>
          <w:tcPr>
            <w:tcW w:type="dxa" w:w="716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A refined or component/data-localized LLC used to compare internal structure</w:t>
            </w:r>
          </w:p>
        </w:tc>
      </w:tr>
      <w:tr>
        <w:tc>
          <w:tcPr>
            <w:tcW w:type="dxa" w:w="220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Normal form</w:t>
            </w:r>
          </w:p>
        </w:tc>
        <w:tc>
          <w:tcPr>
            <w:tcW w:type="dxa" w:w="716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An approximate factorized description of the first predictive higher-order loss terms</w:t>
            </w:r>
          </w:p>
        </w:tc>
      </w:tr>
      <w:tr>
        <w:tc>
          <w:tcPr>
            <w:tcW w:type="dxa" w:w="220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Architecture grammar</w:t>
            </w:r>
          </w:p>
        </w:tc>
        <w:tc>
          <w:tcPr>
            <w:tcW w:type="dxa" w:w="716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The allowed deployable edits: delete, merge, tie, factor, narrow, share</w:t>
            </w:r>
          </w:p>
        </w:tc>
      </w:tr>
      <w:tr>
        <w:tc>
          <w:tcPr>
            <w:tcW w:type="dxa" w:w="220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Compiler</w:t>
            </w:r>
          </w:p>
        </w:tc>
        <w:tc>
          <w:tcPr>
            <w:tcW w:type="dxa" w:w="7160"/>
            <w:tcMar>
              <w:top w:w="80" w:type="dxa"/>
              <w:start w:w="120" w:type="dxa"/>
              <w:bottom w:w="80" w:type="dxa"/>
              <w:end w:w="120" w:type="dxa"/>
            </w:tcMar>
            <w:vAlign w:val="center"/>
          </w:tcPr>
          <w:p>
            <w:pPr>
              <w:spacing w:before="20" w:after="20" w:line="259" w:lineRule="auto"/>
            </w:pPr>
            <w:r>
              <w:rPr>
                <w:rFonts w:ascii="Calibri" w:hAnsi="Calibri" w:eastAsia="Calibri"/>
                <w:color w:val="202428"/>
                <w:sz w:val="18"/>
              </w:rPr>
              <w:t>The procedure that converts selected geometric constraints into new smaller dense tensors</w:t>
            </w:r>
          </w:p>
        </w:tc>
      </w:tr>
    </w:tbl>
    <w:p>
      <w:pPr>
        <w:spacing w:after="20"/>
      </w:pPr>
    </w:p>
    <w:p>
      <w:pPr>
        <w:pStyle w:val="Caption"/>
        <w:keepNext w:val="0"/>
        <w:jc w:val="center"/>
      </w:pPr>
      <w:r>
        <w:rPr>
          <w:rFonts w:ascii="Calibri" w:hAnsi="Calibri" w:eastAsia="Calibri"/>
          <w:i/>
          <w:color w:val="5F6770"/>
          <w:sz w:val="18"/>
        </w:rPr>
        <w:t>Table 5. Compact definitions for the main concepts.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F6770"/>
        <w:sz w:val="16"/>
      </w:rPr>
      <w:t xml:space="preserve">AUGUST 2026   •   </w:t>
    </w:r>
    <w:r>
      <w:rPr>
        <w:rFonts w:ascii="Calibri" w:hAnsi="Calibri" w:eastAsia="Calibri"/>
        <w:color w:val="5F677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770"/>
        <w:sz w:val="16"/>
      </w:rPr>
      <w:t>FROM SINGULAR LOSS GEOMETRY TO SMALLER TRANSFORMERS</w:t>
    </w:r>
    <w:r>
      <w:rPr>
        <w:rFonts w:ascii="Calibri" w:hAnsi="Calibri" w:eastAsia="Calibri"/>
        <w:color w:val="3D6D8C"/>
        <w:sz w:val="16"/>
      </w:rPr>
      <w:t xml:space="preserve">     |     TECHNICAL RESEARCH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spacing w:before="0" w:after="80" w:line="290" w:lineRule="auto"/>
      <w:ind w:left="900" w:hanging="27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spacing w:before="0" w:after="80" w:line="290" w:lineRule="auto"/>
      <w:ind w:left="900" w:hanging="279"/>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Calibri" w:hAnsi="Calibri"/>
      <w:b/>
      <w:bCs/>
      <w:i/>
      <w:color w:val="5F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40"/>
      <w:jc w:val="center"/>
    </w:pPr>
    <w:rPr>
      <w:rFonts w:ascii="Cambria Math" w:hAnsi="Cambria Math"/>
      <w:color w:val="20374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2010.11560" TargetMode="External"/><Relationship Id="rId14" Type="http://schemas.openxmlformats.org/officeDocument/2006/relationships/hyperlink" Target="https://arxiv.org/abs/2308.12108" TargetMode="External"/><Relationship Id="rId15" Type="http://schemas.openxmlformats.org/officeDocument/2006/relationships/hyperlink" Target="https://arxiv.org/abs/2510.12077" TargetMode="External"/><Relationship Id="rId16" Type="http://schemas.openxmlformats.org/officeDocument/2006/relationships/hyperlink" Target="https://arxiv.org/abs/2410.02984" TargetMode="External"/><Relationship Id="rId17" Type="http://schemas.openxmlformats.org/officeDocument/2006/relationships/hyperlink" Target="https://arxiv.org/abs/2210.17323" TargetMode="External"/><Relationship Id="rId18" Type="http://schemas.openxmlformats.org/officeDocument/2006/relationships/hyperlink" Target="https://arxiv.org/abs/2301.00774" TargetMode="External"/><Relationship Id="rId19" Type="http://schemas.openxmlformats.org/officeDocument/2006/relationships/hyperlink" Target="https://arxiv.org/abs/2306.00978" TargetMode="External"/><Relationship Id="rId20" Type="http://schemas.openxmlformats.org/officeDocument/2006/relationships/hyperlink" Target="https://arxiv.org/abs/2401.06118" TargetMode="External"/><Relationship Id="rId21" Type="http://schemas.openxmlformats.org/officeDocument/2006/relationships/hyperlink" Target="https://arxiv.org/abs/2403.07378" TargetMode="External"/><Relationship Id="rId22" Type="http://schemas.openxmlformats.org/officeDocument/2006/relationships/hyperlink" Target="https://arxiv.org/abs/2310.06694" TargetMode="External"/><Relationship Id="rId23" Type="http://schemas.openxmlformats.org/officeDocument/2006/relationships/hyperlink" Target="https://arxiv.org/abs/2407.05690" TargetMode="External"/><Relationship Id="rId24" Type="http://schemas.openxmlformats.org/officeDocument/2006/relationships/hyperlink" Target="https://arxiv.org/abs/1611.01838" TargetMode="External"/><Relationship Id="rId25" Type="http://schemas.openxmlformats.org/officeDocument/2006/relationships/hyperlink" Target="https://proceedings.neurips.cc/paper/1992/hash/303ed4c69846ab36c2904d3ba8573050-Abstract.html" TargetMode="External"/><Relationship Id="rId26" Type="http://schemas.openxmlformats.org/officeDocument/2006/relationships/hyperlink" Target="https://doi.org/10.1017/CBO97805118004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Singular Loss Geometry to Smaller Transformers</dc:title>
  <dc:subject>Numerical singular-learning-theory methods for Transformer compression</dc:subject>
  <dc:creator>OpenAI Codex</dc:creator>
  <cp:keywords>LLM compression, singular learning theory, LLC, Hessian, structured pruning, low rank, Transformer</cp:keywords>
  <dc:description>Self-contained technical research note.</dc:description>
  <cp:lastModifiedBy/>
  <cp:revision>1</cp:revision>
  <dcterms:created xsi:type="dcterms:W3CDTF">2013-12-23T23:15:00Z</dcterms:created>
  <dcterms:modified xsi:type="dcterms:W3CDTF">2013-12-23T23:15:00Z</dcterms:modified>
  <cp:category/>
</cp:coreProperties>
</file>