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34.png" ContentType="image/png"/>
  <Override PartName="/word/media/rId43.png" ContentType="image/png"/>
  <Override PartName="/word/media/rId30.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analysis</w:t>
      </w:r>
      <w:r>
        <w:t xml:space="preserve"> </w:t>
      </w:r>
      <w:r>
        <w:t xml:space="preserve">of</w:t>
      </w:r>
      <w:r>
        <w:t xml:space="preserve"> </w:t>
      </w:r>
      <w:r>
        <w:t xml:space="preserve">accesses</w:t>
      </w:r>
      <w:r>
        <w:t xml:space="preserve"> </w:t>
      </w:r>
      <w:r>
        <w:t xml:space="preserve">to</w:t>
      </w:r>
      <w:r>
        <w:t xml:space="preserve"> </w:t>
      </w:r>
      <w:r>
        <w:t xml:space="preserve">support</w:t>
      </w:r>
      <w:r>
        <w:t xml:space="preserve"> </w:t>
      </w:r>
      <w:r>
        <w:t xml:space="preserve">centers</w:t>
      </w:r>
      <w:r>
        <w:t xml:space="preserve"> </w:t>
      </w:r>
      <w:r>
        <w:t xml:space="preserve">for</w:t>
      </w:r>
      <w:r>
        <w:t xml:space="preserve"> </w:t>
      </w:r>
      <w:r>
        <w:t xml:space="preserve">gender-based</w:t>
      </w:r>
      <w:r>
        <w:t xml:space="preserve"> </w:t>
      </w:r>
      <w:r>
        <w:t xml:space="preserve">violence</w:t>
      </w:r>
      <w:r>
        <w:t xml:space="preserve"> </w:t>
      </w:r>
      <w:r>
        <w:t xml:space="preserve">in</w:t>
      </w:r>
      <w:r>
        <w:t xml:space="preserve"> </w:t>
      </w:r>
      <w:r>
        <w:t xml:space="preserve">Apulia</w:t>
      </w:r>
    </w:p>
    <w:bookmarkStart w:id="24" w:name="data"/>
    <w:p>
      <w:pPr>
        <w:pStyle w:val="Heading2"/>
      </w:pPr>
      <w:r>
        <w:t xml:space="preserve">Data</w:t>
      </w:r>
    </w:p>
    <w:p>
      <w:pPr>
        <w:pStyle w:val="FirstParagraph"/>
      </w:pPr>
      <w:r>
        <w:t xml:space="preserve">The dataset employed regards the counts of accesses to gender-based violence support centers in the Apulia region by residence municipality of the women victims of violence during 2022.</w:t>
      </w:r>
      <w:r>
        <w:t xml:space="preserve"> </w:t>
      </w:r>
      <w:r>
        <w:rPr>
          <w:rStyle w:val="VerbatimChar"/>
        </w:rPr>
        <w:t xml:space="preserve">R</w:t>
      </w:r>
      <w:r>
        <w:t xml:space="preserve"> </w:t>
      </w:r>
      <w:r>
        <w:t xml:space="preserve">codes to generate the dataset are in the R script</w:t>
      </w:r>
      <w:r>
        <w:t xml:space="preserve"> </w:t>
      </w:r>
      <w:hyperlink r:id="rId20">
        <w:r>
          <w:rPr>
            <w:rStyle w:val="Hyperlink"/>
          </w:rPr>
          <w:t xml:space="preserve">posted here</w:t>
        </w:r>
      </w:hyperlink>
      <w:r>
        <w:t xml:space="preserve"> </w:t>
      </w:r>
      <w:r>
        <w:t xml:space="preserve">which this report is based on.</w:t>
      </w:r>
    </w:p>
    <w:p>
      <w:pPr>
        <w:pStyle w:val="BodyText"/>
      </w:pPr>
      <w:r>
        <w:t xml:space="preserve">Here, we only take into account the violence reports which support centers actually take charge of, at the risk of underestimating the counts of gender-based violence cases.</w:t>
      </w:r>
      <w:r>
        <w:t xml:space="preserve"> </w:t>
      </w:r>
      <w:r>
        <w:t xml:space="preserve">This choice is driven by the need of avoiding duplicated records, since e.g. it may happen that a support center redirects a victim to another support center.</w:t>
      </w:r>
    </w:p>
    <w:p>
      <w:pPr>
        <w:pStyle w:val="BodyText"/>
      </w:pPr>
      <w:r>
        <w:t xml:space="preserve">In order to avoid singletons in the spatial structure of the dataset, we removed the Tremiti Islands from the list of municipalities included (</w:t>
      </w:r>
      <m:oMath>
        <m:r>
          <m:t>0</m:t>
        </m:r>
      </m:oMath>
      <w:r>
        <w:t xml:space="preserve"> </w:t>
      </w:r>
      <w:r>
        <w:t xml:space="preserve">accesses to support centers in 2022).</w:t>
      </w:r>
    </w:p>
    <w:p>
      <w:pPr>
        <w:pStyle w:val="BodyText"/>
      </w:pPr>
      <w:r>
        <w:t xml:space="preserve">Therefore, the municipality-level dataset in scope consists of</w:t>
      </w:r>
      <w:r>
        <w:t xml:space="preserve"> </w:t>
      </w:r>
      <m:oMath>
        <m:r>
          <m:t>256</m:t>
        </m:r>
      </m:oMath>
      <w:r>
        <w:t xml:space="preserve"> </w:t>
      </w:r>
      <w:r>
        <w:t xml:space="preserve">observations.</w:t>
      </w:r>
    </w:p>
    <w:p>
      <w:pPr>
        <w:pStyle w:val="BodyText"/>
      </w:pPr>
      <w:r>
        <w:t xml:space="preserve">We can only take into account the accesses to support centers for which the origin municipality of victims is reported. Therefore, the total count of accesses in scope is</w:t>
      </w:r>
      <w:r>
        <w:t xml:space="preserve"> </w:t>
      </w:r>
      <m:oMath>
        <m:r>
          <m:t>2259</m:t>
        </m:r>
      </m:oMath>
      <w:r>
        <w:t xml:space="preserve">. Among these accesses,</w:t>
      </w:r>
      <w:r>
        <w:t xml:space="preserve"> </w:t>
      </w:r>
      <m:oMath>
        <m:r>
          <m:t>1516</m:t>
        </m:r>
      </m:oMath>
      <w:r>
        <w:t xml:space="preserve"> </w:t>
      </w:r>
      <w:r>
        <w:t xml:space="preserve">were taken charge of.</w:t>
      </w:r>
    </w:p>
    <w:p>
      <w:pPr>
        <w:pStyle w:val="BodyText"/>
      </w:pPr>
      <w:r>
        <w:t xml:space="preserve">Here, we plot the log-access rate per residence municipality, i.e. the logarithm of the ratio between access counts and female population. Blank areas correspond to municipalities from which zero women accessed support centers (</w:t>
      </w:r>
      <m:oMath>
        <m:r>
          <m:t>82</m:t>
        </m:r>
      </m:oMath>
      <w:r>
        <w:t xml:space="preserve"> </w:t>
      </w:r>
      <w:r>
        <w:t xml:space="preserve">municipalities).</w:t>
      </w:r>
    </w:p>
    <w:p>
      <w:pPr>
        <w:pStyle w:val="BodyText"/>
      </w:pPr>
      <w:r>
        <w:drawing>
          <wp:inline>
            <wp:extent cx="4620126" cy="2772075"/>
            <wp:effectExtent b="0" l="0" r="0" t="0"/>
            <wp:docPr descr="" title="" id="22" name="Picture"/>
            <a:graphic>
              <a:graphicData uri="http://schemas.openxmlformats.org/drawingml/2006/picture">
                <pic:pic>
                  <pic:nvPicPr>
                    <pic:cNvPr descr="index_files/figure-docx/Log%20accesses%20plot-1.png" id="23" name="Picture"/>
                    <pic:cNvPicPr>
                      <a:picLocks noChangeArrowheads="1" noChangeAspect="1"/>
                    </pic:cNvPicPr>
                  </pic:nvPicPr>
                  <pic:blipFill>
                    <a:blip r:embed="rId21"/>
                    <a:stretch>
                      <a:fillRect/>
                    </a:stretch>
                  </pic:blipFill>
                  <pic:spPr bwMode="auto">
                    <a:xfrm>
                      <a:off x="0" y="0"/>
                      <a:ext cx="4620126" cy="2772075"/>
                    </a:xfrm>
                    <a:prstGeom prst="rect">
                      <a:avLst/>
                    </a:prstGeom>
                    <a:noFill/>
                    <a:ln w="9525">
                      <a:noFill/>
                      <a:headEnd/>
                      <a:tailEnd/>
                    </a:ln>
                  </pic:spPr>
                </pic:pic>
              </a:graphicData>
            </a:graphic>
          </wp:inline>
        </w:drawing>
      </w:r>
    </w:p>
    <w:bookmarkEnd w:id="24"/>
    <w:bookmarkStart w:id="29" w:name="covariates"/>
    <w:p>
      <w:pPr>
        <w:pStyle w:val="Heading2"/>
      </w:pPr>
      <w:r>
        <w:t xml:space="preserve">Covariates</w:t>
      </w:r>
    </w:p>
    <w:p>
      <w:pPr>
        <w:pStyle w:val="FirstParagraph"/>
      </w:pPr>
      <w:r>
        <w:t xml:space="preserve">Our target is explaining the number of accesses to support centers,</w:t>
      </w:r>
      <w:r>
        <w:t xml:space="preserve"> </w:t>
      </w:r>
      <m:oMath>
        <m:r>
          <m:t>y</m:t>
        </m:r>
      </m:oMath>
      <w:r>
        <w:t xml:space="preserve">, defined at the municipality level, on the basis of a set of candidate known variables.</w:t>
      </w:r>
    </w:p>
    <w:p>
      <w:pPr>
        <w:pStyle w:val="BodyText"/>
      </w:pPr>
      <w:r>
        <w:t xml:space="preserve">We model</w:t>
      </w:r>
      <w:r>
        <w:t xml:space="preserve"> </w:t>
      </w:r>
      <m:oMath>
        <m:r>
          <m:t>y</m:t>
        </m:r>
      </m:oMath>
      <w:r>
        <w:t xml:space="preserve"> </w:t>
      </w:r>
      <w:r>
        <w:t xml:space="preserve">via a simple Poisson GLM.</w:t>
      </w:r>
    </w:p>
    <w:p>
      <w:pPr>
        <w:pStyle w:val="BodyText"/>
      </w:pPr>
      <w:r>
        <w:t xml:space="preserve">We have at disposal a number of candidate explanatory variables, which include the distance of a municipality from the closest support center and a set of variables measuring social vulnerability under different dimensions; these latter covariates are provided by the ISTAT.A more detailed description of these covariates is in</w:t>
      </w:r>
      <w:r>
        <w:t xml:space="preserve"> </w:t>
      </w:r>
      <w:hyperlink r:id="rId25">
        <w:r>
          <w:rPr>
            <w:rStyle w:val="Hyperlink"/>
          </w:rPr>
          <w:t xml:space="preserve">this excel metadata file</w:t>
        </w:r>
      </w:hyperlink>
      <w:r>
        <w:t xml:space="preserve">.</w:t>
      </w:r>
    </w:p>
    <w:p>
      <w:pPr>
        <w:pStyle w:val="BodyText"/>
      </w:pPr>
      <w:r>
        <w:t xml:space="preserve">All covariates are scaled to have null mean and unit variance.</w:t>
      </w:r>
    </w:p>
    <w:p>
      <w:pPr>
        <w:pStyle w:val="Compact"/>
        <w:numPr>
          <w:ilvl w:val="0"/>
          <w:numId w:val="1001"/>
        </w:numPr>
      </w:pPr>
      <m:oMath>
        <m:r>
          <m:rPr>
            <m:sty m:val="p"/>
          </m:rPr>
          <m:t>T</m:t>
        </m:r>
        <m:r>
          <m:rPr>
            <m:sty m:val="p"/>
          </m:rPr>
          <m:t>E</m:t>
        </m:r>
        <m:r>
          <m:rPr>
            <m:sty m:val="p"/>
          </m:rPr>
          <m:t>P</m:t>
        </m:r>
      </m:oMath>
      <w:r>
        <w:t xml:space="preserve">, i.e. the distance of each municipality from the closest municipality hosting a support center. Distance is measured by road travel time in minutes (acronym TEP stays for Tempo Effettivo di Percorrenza, i.e. Actual Travel Time).</w:t>
      </w:r>
    </w:p>
    <w:p>
      <w:pPr>
        <w:pStyle w:val="FirstParagraph"/>
      </w:pPr>
      <w:r>
        <w:t xml:space="preserve">For instance, the support center designated for the municipality of Adelfia (province of Bari,</w:t>
      </w:r>
      <w:r>
        <w:t xml:space="preserve"> </w:t>
      </w:r>
      <m:oMath>
        <m:r>
          <m:t>3</m:t>
        </m:r>
      </m:oMath>
      <w:r>
        <w:t xml:space="preserve">rd municipality in the dataset) is located in Capurso (BA). Then,</w:t>
      </w:r>
      <w:r>
        <w:t xml:space="preserve"> </w:t>
      </w:r>
      <m:oMath>
        <m:sSub>
          <m:e>
            <m:r>
              <m:rPr>
                <m:sty m:val="p"/>
              </m:rPr>
              <m:t>T</m:t>
            </m:r>
            <m:r>
              <m:rPr>
                <m:sty m:val="p"/>
              </m:rPr>
              <m:t>E</m:t>
            </m:r>
            <m:r>
              <m:rPr>
                <m:sty m:val="p"/>
              </m:rPr>
              <m:t>P</m:t>
            </m:r>
          </m:e>
          <m:sub>
            <m:r>
              <m:t>3</m:t>
            </m:r>
          </m:sub>
        </m:sSub>
      </m:oMath>
      <w:r>
        <w:t xml:space="preserve"> </w:t>
      </w:r>
      <w:r>
        <w:t xml:space="preserve">denotes the travel time between Adelfia and Capurso (</w:t>
      </w:r>
      <m:oMath>
        <m:r>
          <m:t>17</m:t>
        </m:r>
      </m:oMath>
      <w:r>
        <w:t xml:space="preserve"> </w:t>
      </w:r>
      <w:r>
        <w:t xml:space="preserve">minutes).</w:t>
      </w:r>
    </w:p>
    <w:p>
      <w:pPr>
        <w:pStyle w:val="Compact"/>
        <w:numPr>
          <w:ilvl w:val="0"/>
          <w:numId w:val="1002"/>
        </w:numPr>
      </w:pPr>
      <m:oMath>
        <m:r>
          <m:rPr>
            <m:sty m:val="p"/>
          </m:rPr>
          <m:t>A</m:t>
        </m:r>
        <m:r>
          <m:rPr>
            <m:sty m:val="p"/>
          </m:rPr>
          <m:t>E</m:t>
        </m:r>
        <m:r>
          <m:rPr>
            <m:sty m:val="p"/>
          </m:rPr>
          <m:t>S</m:t>
        </m:r>
      </m:oMath>
      <w:r>
        <w:t xml:space="preserve">, the distance from the closest infrastructural pole, always measured in travel time.</w:t>
      </w:r>
    </w:p>
    <w:p>
      <w:pPr>
        <w:pStyle w:val="Compact"/>
        <w:numPr>
          <w:ilvl w:val="0"/>
          <w:numId w:val="1002"/>
        </w:numPr>
      </w:pPr>
      <m:oMath>
        <m:r>
          <m:rPr>
            <m:sty m:val="p"/>
          </m:rPr>
          <m:t>M</m:t>
        </m:r>
        <m:r>
          <m:rPr>
            <m:sty m:val="p"/>
          </m:rPr>
          <m:t>F</m:t>
        </m:r>
        <m:r>
          <m:rPr>
            <m:sty m:val="p"/>
          </m:rPr>
          <m:t>I</m:t>
        </m:r>
      </m:oMath>
      <w:r>
        <w:t xml:space="preserve">, i.e. the decile of municipality vulnerability index.</w:t>
      </w:r>
    </w:p>
    <w:p>
      <w:pPr>
        <w:pStyle w:val="Compact"/>
        <w:numPr>
          <w:ilvl w:val="0"/>
          <w:numId w:val="1002"/>
        </w:numPr>
      </w:pPr>
      <m:oMath>
        <m:r>
          <m:rPr>
            <m:sty m:val="p"/>
          </m:rPr>
          <m:t>P</m:t>
        </m:r>
        <m:r>
          <m:rPr>
            <m:sty m:val="p"/>
          </m:rPr>
          <m:t>D</m:t>
        </m:r>
        <m:r>
          <m:rPr>
            <m:sty m:val="p"/>
          </m:rPr>
          <m:t>I</m:t>
        </m:r>
      </m:oMath>
      <w:r>
        <w:t xml:space="preserve">, i.e. the dependency index, i.e. population either</w:t>
      </w:r>
      <w:r>
        <w:t xml:space="preserve"> </w:t>
      </w:r>
      <m:oMath>
        <m:r>
          <m:rPr>
            <m:sty m:val="p"/>
          </m:rPr>
          <m:t>≤</m:t>
        </m:r>
        <m:r>
          <m:t>20</m:t>
        </m:r>
      </m:oMath>
      <w:r>
        <w:t xml:space="preserve"> </w:t>
      </w:r>
      <w:r>
        <w:t xml:space="preserve">or</w:t>
      </w:r>
      <w:r>
        <w:t xml:space="preserve"> </w:t>
      </w:r>
      <m:oMath>
        <m:r>
          <m:rPr>
            <m:sty m:val="p"/>
          </m:rPr>
          <m:t>≥</m:t>
        </m:r>
        <m:r>
          <m:t>65</m:t>
        </m:r>
      </m:oMath>
      <w:r>
        <w:t xml:space="preserve"> </w:t>
      </w:r>
      <w:r>
        <w:t xml:space="preserve">years over population in</w:t>
      </w:r>
      <w:r>
        <w:t xml:space="preserve"> </w:t>
      </w:r>
      <m:oMath>
        <m:d>
          <m:dPr>
            <m:begChr m:val="["/>
            <m:endChr m:val="]"/>
            <m:sepChr m:val=""/>
            <m:grow/>
          </m:dPr>
          <m:e>
            <m:r>
              <m:t>20</m:t>
            </m:r>
            <m:r>
              <m:rPr>
                <m:sty m:val="p"/>
              </m:rPr>
              <m:t>−</m:t>
            </m:r>
            <m:r>
              <m:t>64</m:t>
            </m:r>
          </m:e>
        </m:d>
      </m:oMath>
      <w:r>
        <w:t xml:space="preserve"> </w:t>
      </w:r>
      <w:r>
        <w:t xml:space="preserve">years.</w:t>
      </w:r>
    </w:p>
    <w:p>
      <w:pPr>
        <w:pStyle w:val="Compact"/>
        <w:numPr>
          <w:ilvl w:val="0"/>
          <w:numId w:val="1002"/>
        </w:numPr>
      </w:pPr>
      <m:oMath>
        <m:r>
          <m:rPr>
            <m:sty m:val="p"/>
          </m:rPr>
          <m:t>E</m:t>
        </m:r>
        <m:r>
          <m:rPr>
            <m:sty m:val="p"/>
          </m:rPr>
          <m:t>L</m:t>
        </m:r>
        <m:r>
          <m:rPr>
            <m:sty m:val="p"/>
          </m:rPr>
          <m:t>L</m:t>
        </m:r>
      </m:oMath>
      <w:r>
        <w:t xml:space="preserve">, i.e. the proportion of people aged</w:t>
      </w:r>
      <w:r>
        <w:t xml:space="preserve"> </w:t>
      </w:r>
      <m:oMath>
        <m:d>
          <m:dPr>
            <m:begChr m:val="["/>
            <m:endChr m:val="]"/>
            <m:sepChr m:val=""/>
            <m:grow/>
          </m:dPr>
          <m:e>
            <m:r>
              <m:t>25</m:t>
            </m:r>
            <m:r>
              <m:rPr>
                <m:sty m:val="p"/>
              </m:rPr>
              <m:t>−</m:t>
            </m:r>
            <m:r>
              <m:t>54</m:t>
            </m:r>
          </m:e>
        </m:d>
      </m:oMath>
      <w:r>
        <w:t xml:space="preserve"> </w:t>
      </w:r>
      <w:r>
        <w:t xml:space="preserve">with low education.</w:t>
      </w:r>
    </w:p>
    <w:p>
      <w:pPr>
        <w:pStyle w:val="Compact"/>
        <w:numPr>
          <w:ilvl w:val="0"/>
          <w:numId w:val="1002"/>
        </w:numPr>
      </w:pPr>
      <m:oMath>
        <m:r>
          <m:rPr>
            <m:sty m:val="p"/>
          </m:rPr>
          <m:t>E</m:t>
        </m:r>
        <m:r>
          <m:rPr>
            <m:sty m:val="p"/>
          </m:rPr>
          <m:t>R</m:t>
        </m:r>
        <m:r>
          <m:rPr>
            <m:sty m:val="p"/>
          </m:rPr>
          <m:t>R</m:t>
        </m:r>
      </m:oMath>
      <w:r>
        <w:t xml:space="preserve">, i.e. employment rate among people aged</w:t>
      </w:r>
      <w:r>
        <w:t xml:space="preserve"> </w:t>
      </w:r>
      <m:oMath>
        <m:d>
          <m:dPr>
            <m:begChr m:val="["/>
            <m:endChr m:val="]"/>
            <m:sepChr m:val=""/>
            <m:grow/>
          </m:dPr>
          <m:e>
            <m:r>
              <m:t>20</m:t>
            </m:r>
            <m:r>
              <m:rPr>
                <m:sty m:val="p"/>
              </m:rPr>
              <m:t>−</m:t>
            </m:r>
            <m:r>
              <m:t>64</m:t>
            </m:r>
          </m:e>
        </m:d>
      </m:oMath>
      <w:r>
        <w:t xml:space="preserve">.</w:t>
      </w:r>
    </w:p>
    <w:p>
      <w:pPr>
        <w:pStyle w:val="Compact"/>
        <w:numPr>
          <w:ilvl w:val="0"/>
          <w:numId w:val="1002"/>
        </w:numPr>
      </w:pPr>
      <m:oMath>
        <m:r>
          <m:rPr>
            <m:sty m:val="p"/>
          </m:rPr>
          <m:t>P</m:t>
        </m:r>
        <m:r>
          <m:rPr>
            <m:sty m:val="p"/>
          </m:rPr>
          <m:t>G</m:t>
        </m:r>
        <m:r>
          <m:rPr>
            <m:sty m:val="p"/>
          </m:rPr>
          <m:t>R</m:t>
        </m:r>
      </m:oMath>
      <w:r>
        <w:t xml:space="preserve">, i.e. population growth rate with respect to 2011.</w:t>
      </w:r>
    </w:p>
    <w:p>
      <w:pPr>
        <w:pStyle w:val="Compact"/>
        <w:numPr>
          <w:ilvl w:val="0"/>
          <w:numId w:val="1002"/>
        </w:numPr>
      </w:pPr>
      <m:oMath>
        <m:r>
          <m:rPr>
            <m:sty m:val="p"/>
          </m:rPr>
          <m:t>U</m:t>
        </m:r>
        <m:r>
          <m:rPr>
            <m:sty m:val="p"/>
          </m:rPr>
          <m:t>I</m:t>
        </m:r>
        <m:r>
          <m:rPr>
            <m:sty m:val="p"/>
          </m:rPr>
          <m:t>S</m:t>
        </m:r>
      </m:oMath>
      <w:r>
        <w:t xml:space="preserve">, i.e. the ventile of the density of local units of industry and services (where density is defined as the ratio between the counts of industrial units and population).</w:t>
      </w:r>
    </w:p>
    <w:p>
      <w:pPr>
        <w:pStyle w:val="Compact"/>
        <w:numPr>
          <w:ilvl w:val="0"/>
          <w:numId w:val="1002"/>
        </w:numPr>
      </w:pPr>
      <m:oMath>
        <m:r>
          <m:rPr>
            <m:sty m:val="p"/>
          </m:rPr>
          <m:t>E</m:t>
        </m:r>
        <m:r>
          <m:rPr>
            <m:sty m:val="p"/>
          </m:rPr>
          <m:t>L</m:t>
        </m:r>
        <m:r>
          <m:rPr>
            <m:sty m:val="p"/>
          </m:rPr>
          <m:t>I</m:t>
        </m:r>
      </m:oMath>
      <w:r>
        <w:t xml:space="preserve">, i.e. the ventile of employees in low productivity local units by sector for industry and services.</w:t>
      </w:r>
    </w:p>
    <w:p>
      <w:pPr>
        <w:pStyle w:val="FirstParagraph"/>
      </w:pPr>
      <w:r>
        <w:t xml:space="preserve">First, we visualise the correlations among these explanatory variables:</w:t>
      </w:r>
    </w:p>
    <w:p>
      <w:pPr>
        <w:pStyle w:val="BodyText"/>
      </w:pPr>
      <w:r>
        <w:drawing>
          <wp:inline>
            <wp:extent cx="4620126" cy="2772075"/>
            <wp:effectExtent b="0" l="0" r="0" t="0"/>
            <wp:docPr descr="" title="" id="27" name="Picture"/>
            <a:graphic>
              <a:graphicData uri="http://schemas.openxmlformats.org/drawingml/2006/picture">
                <pic:pic>
                  <pic:nvPicPr>
                    <pic:cNvPr descr="index_files/figure-docx/correls-1.png" id="28" name="Picture"/>
                    <pic:cNvPicPr>
                      <a:picLocks noChangeArrowheads="1" noChangeAspect="1"/>
                    </pic:cNvPicPr>
                  </pic:nvPicPr>
                  <pic:blipFill>
                    <a:blip r:embed="rId26"/>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We see the correlation between the two distances is very high (</w:t>
      </w:r>
      <m:oMath>
        <m:r>
          <m:t>0.72</m:t>
        </m:r>
      </m:oMath>
      <w:r>
        <w:t xml:space="preserve">), and so is the correlation between the fragility index decile and the density of productive units.</w:t>
      </w:r>
    </w:p>
    <w:p>
      <w:pPr>
        <w:pStyle w:val="BodyText"/>
      </w:pPr>
      <w:r>
        <w:t xml:space="preserve">In the first case, we drop the distance from the nearest infrastructural pole We do so because, if taken alone, the distance from the closest support center appears a slightly better predictor, using the Schwarz information criterion (or, indifferently, the Akaike Information Criterion):</w:t>
      </w:r>
    </w:p>
    <w:p>
      <w:pPr>
        <w:pStyle w:val="SourceCode"/>
      </w:pPr>
      <w:r>
        <w:rPr>
          <w:rStyle w:val="NormalTok"/>
        </w:rPr>
        <w:t xml:space="preserve">stats</w:t>
      </w:r>
      <w:r>
        <w:rPr>
          <w:rStyle w:val="SpecialCharTok"/>
        </w:rPr>
        <w:t xml:space="preserve">::</w:t>
      </w:r>
      <w:r>
        <w:rPr>
          <w:rStyle w:val="FunctionTok"/>
        </w:rPr>
        <w:t xml:space="preserve">BIC</w:t>
      </w:r>
      <w:r>
        <w:rPr>
          <w:rStyle w:val="NormalTok"/>
        </w:rPr>
        <w:t xml:space="preserve">(</w:t>
      </w:r>
      <w:r>
        <w:rPr>
          <w:rStyle w:val="FunctionTok"/>
        </w:rPr>
        <w:t xml:space="preserve">glm</w:t>
      </w:r>
      <w:r>
        <w:rPr>
          <w:rStyle w:val="NormalTok"/>
        </w:rPr>
        <w:t xml:space="preserve">(N_ACC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AES, </w:t>
      </w:r>
      <w:r>
        <w:rPr>
          <w:rStyle w:val="AttributeTok"/>
        </w:rPr>
        <w:t xml:space="preserve">family =</w:t>
      </w:r>
      <w:r>
        <w:rPr>
          <w:rStyle w:val="NormalTok"/>
        </w:rPr>
        <w:t xml:space="preserve"> </w:t>
      </w:r>
      <w:r>
        <w:rPr>
          <w:rStyle w:val="StringTok"/>
        </w:rPr>
        <w:t xml:space="preserve">"poisson"</w:t>
      </w:r>
      <w:r>
        <w:rPr>
          <w:rStyle w:val="NormalTok"/>
        </w:rPr>
        <w:t xml:space="preserve">,</w:t>
      </w:r>
      <w:r>
        <w:br/>
      </w:r>
      <w:r>
        <w:rPr>
          <w:rStyle w:val="NormalTok"/>
        </w:rPr>
        <w:t xml:space="preserve">               </w:t>
      </w:r>
      <w:r>
        <w:rPr>
          <w:rStyle w:val="AttributeTok"/>
        </w:rPr>
        <w:t xml:space="preserve">offset =</w:t>
      </w:r>
      <w:r>
        <w:rPr>
          <w:rStyle w:val="NormalTok"/>
        </w:rPr>
        <w:t xml:space="preserve"> </w:t>
      </w:r>
      <w:r>
        <w:rPr>
          <w:rStyle w:val="FunctionTok"/>
        </w:rPr>
        <w:t xml:space="preserve">log</w:t>
      </w:r>
      <w:r>
        <w:rPr>
          <w:rStyle w:val="NormalTok"/>
        </w:rPr>
        <w:t xml:space="preserve">(nn), </w:t>
      </w:r>
      <w:r>
        <w:rPr>
          <w:rStyle w:val="AttributeTok"/>
        </w:rPr>
        <w:t xml:space="preserve">data =</w:t>
      </w:r>
      <w:r>
        <w:rPr>
          <w:rStyle w:val="NormalTok"/>
        </w:rPr>
        <w:t xml:space="preserve"> dd_con))</w:t>
      </w:r>
    </w:p>
    <w:p>
      <w:pPr>
        <w:pStyle w:val="SourceCode"/>
      </w:pPr>
      <w:r>
        <w:rPr>
          <w:rStyle w:val="VerbatimChar"/>
        </w:rPr>
        <w:t xml:space="preserve">## [1] 1124.922</w:t>
      </w:r>
    </w:p>
    <w:p>
      <w:pPr>
        <w:pStyle w:val="SourceCode"/>
      </w:pPr>
      <w:r>
        <w:rPr>
          <w:rStyle w:val="NormalTok"/>
        </w:rPr>
        <w:t xml:space="preserve">stats</w:t>
      </w:r>
      <w:r>
        <w:rPr>
          <w:rStyle w:val="SpecialCharTok"/>
        </w:rPr>
        <w:t xml:space="preserve">::</w:t>
      </w:r>
      <w:r>
        <w:rPr>
          <w:rStyle w:val="FunctionTok"/>
        </w:rPr>
        <w:t xml:space="preserve">BIC</w:t>
      </w:r>
      <w:r>
        <w:rPr>
          <w:rStyle w:val="NormalTok"/>
        </w:rPr>
        <w:t xml:space="preserve">(</w:t>
      </w:r>
      <w:r>
        <w:rPr>
          <w:rStyle w:val="FunctionTok"/>
        </w:rPr>
        <w:t xml:space="preserve">glm</w:t>
      </w:r>
      <w:r>
        <w:rPr>
          <w:rStyle w:val="NormalTok"/>
        </w:rPr>
        <w:t xml:space="preserve">(N_ACC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TEP_th_22, </w:t>
      </w:r>
      <w:r>
        <w:rPr>
          <w:rStyle w:val="AttributeTok"/>
        </w:rPr>
        <w:t xml:space="preserve">family =</w:t>
      </w:r>
      <w:r>
        <w:rPr>
          <w:rStyle w:val="NormalTok"/>
        </w:rPr>
        <w:t xml:space="preserve"> </w:t>
      </w:r>
      <w:r>
        <w:rPr>
          <w:rStyle w:val="StringTok"/>
        </w:rPr>
        <w:t xml:space="preserve">"poisson"</w:t>
      </w:r>
      <w:r>
        <w:rPr>
          <w:rStyle w:val="NormalTok"/>
        </w:rPr>
        <w:t xml:space="preserve">,</w:t>
      </w:r>
      <w:r>
        <w:br/>
      </w:r>
      <w:r>
        <w:rPr>
          <w:rStyle w:val="NormalTok"/>
        </w:rPr>
        <w:t xml:space="preserve">               </w:t>
      </w:r>
      <w:r>
        <w:rPr>
          <w:rStyle w:val="AttributeTok"/>
        </w:rPr>
        <w:t xml:space="preserve">offset =</w:t>
      </w:r>
      <w:r>
        <w:rPr>
          <w:rStyle w:val="NormalTok"/>
        </w:rPr>
        <w:t xml:space="preserve"> </w:t>
      </w:r>
      <w:r>
        <w:rPr>
          <w:rStyle w:val="FunctionTok"/>
        </w:rPr>
        <w:t xml:space="preserve">log</w:t>
      </w:r>
      <w:r>
        <w:rPr>
          <w:rStyle w:val="NormalTok"/>
        </w:rPr>
        <w:t xml:space="preserve">(nn), </w:t>
      </w:r>
      <w:r>
        <w:rPr>
          <w:rStyle w:val="AttributeTok"/>
        </w:rPr>
        <w:t xml:space="preserve">data =</w:t>
      </w:r>
      <w:r>
        <w:rPr>
          <w:rStyle w:val="NormalTok"/>
        </w:rPr>
        <w:t xml:space="preserve"> dd_con))</w:t>
      </w:r>
    </w:p>
    <w:p>
      <w:pPr>
        <w:pStyle w:val="SourceCode"/>
      </w:pPr>
      <w:r>
        <w:rPr>
          <w:rStyle w:val="VerbatimChar"/>
        </w:rPr>
        <w:t xml:space="preserve">## [1] 1120.389</w:t>
      </w:r>
    </w:p>
    <w:p>
      <w:pPr>
        <w:pStyle w:val="FirstParagraph"/>
      </w:pPr>
      <w:r>
        <w:t xml:space="preserve">We should do the same for the other couple of variables but since</w:t>
      </w:r>
      <w:r>
        <w:t xml:space="preserve"> </w:t>
      </w:r>
      <w:r>
        <w:rPr>
          <w:rStyle w:val="VerbatimChar"/>
        </w:rPr>
        <w:t xml:space="preserve">MFI</w:t>
      </w:r>
      <w:r>
        <w:t xml:space="preserve"> </w:t>
      </w:r>
      <w:r>
        <w:t xml:space="preserve">is a combination of all covariate except for</w:t>
      </w:r>
      <w:r>
        <w:t xml:space="preserve"> </w:t>
      </w:r>
      <w:r>
        <w:rPr>
          <w:rStyle w:val="VerbatimChar"/>
        </w:rPr>
        <w:t xml:space="preserve">TEP_th</w:t>
      </w:r>
      <w:r>
        <w:t xml:space="preserve">, we will drop the synthetic indicator and leave the remainder.</w:t>
      </w:r>
    </w:p>
    <w:bookmarkEnd w:id="29"/>
    <w:bookmarkStart w:id="33" w:name="nonspatial-regression"/>
    <w:p>
      <w:pPr>
        <w:pStyle w:val="Heading2"/>
      </w:pPr>
      <w:r>
        <w:t xml:space="preserve">Nonspatial regression</w:t>
      </w:r>
    </w:p>
    <w:p>
      <w:pPr>
        <w:pStyle w:val="FirstParagraph"/>
      </w:pPr>
      <w:r>
        <w:t xml:space="preserve">We regress the counts of accesses</w:t>
      </w:r>
      <w:r>
        <w:t xml:space="preserve"> </w:t>
      </w:r>
      <m:oMath>
        <m:r>
          <m:t>y</m:t>
        </m:r>
      </m:oMath>
      <w:r>
        <w:t xml:space="preserve"> </w:t>
      </w:r>
      <w:r>
        <w:t xml:space="preserve">to support centers on the aforementioned explanatory variables. To estimate regression coefficients, all covariates are scaled to zero mean an unit variance.</w:t>
      </w:r>
    </w:p>
    <w:p>
      <w:pPr>
        <w:pStyle w:val="BodyText"/>
      </w:pPr>
    </w:p>
    <w:p>
      <w:pPr>
        <w:pStyle w:val="BodyText"/>
      </w:pPr>
      <w:r>
        <w:t xml:space="preserve">Where</w:t>
      </w:r>
      <w:r>
        <w:t xml:space="preserve"> </w:t>
      </w:r>
      <m:oMath>
        <m:r>
          <m:t>X</m:t>
        </m:r>
      </m:oMath>
      <w:r>
        <w:t xml:space="preserve"> </w:t>
      </w:r>
      <w:r>
        <w:t xml:space="preserve">are the covariate defined earlier,</w:t>
      </w:r>
      <w:r>
        <w:t xml:space="preserve"> </w:t>
      </w:r>
      <m:oMath>
        <m:r>
          <m:t>β</m:t>
        </m:r>
      </m:oMath>
      <w:r>
        <w:t xml:space="preserve"> </w:t>
      </w:r>
      <w:r>
        <w:t xml:space="preserve">are covariate effects, and</w:t>
      </w:r>
      <w:r>
        <w:t xml:space="preserve"> </w:t>
      </w:r>
      <m:oMath>
        <m:sSub>
          <m:e>
            <m:r>
              <m:t>P</m:t>
            </m:r>
          </m:e>
          <m:sub>
            <m:r>
              <m:t>i</m:t>
            </m:r>
          </m:sub>
        </m:sSub>
      </m:oMath>
      <w:r>
        <w:t xml:space="preserve"> </w:t>
      </w:r>
      <w:r>
        <w:t xml:space="preserve">is the female population aged</w:t>
      </w:r>
      <w:r>
        <w:t xml:space="preserve"> </w:t>
      </w:r>
      <m:oMath>
        <m:r>
          <m:rPr>
            <m:sty m:val="p"/>
          </m:rPr>
          <m:t>≥</m:t>
        </m:r>
        <m:r>
          <m:t>15</m:t>
        </m:r>
      </m:oMath>
      <w:r>
        <w:t xml:space="preserve"> </w:t>
      </w:r>
      <w:r>
        <w:t xml:space="preserve">in municipality</w:t>
      </w:r>
      <w:r>
        <w:t xml:space="preserve"> </w:t>
      </w:r>
      <m:oMath>
        <m:r>
          <m:t>i</m:t>
        </m:r>
      </m:oMath>
      <w:r>
        <w:t xml:space="preserve">.</w:t>
      </w:r>
    </w:p>
    <w:p>
      <w:pPr>
        <w:pStyle w:val="BodyText"/>
      </w:pPr>
      <w:r>
        <w:t xml:space="preserve">To gain more insight on the role of all explanatory variables we show the posterior summaries of the full regression model</w:t>
      </w:r>
    </w:p>
    <w:p>
      <w:pPr>
        <w:pStyle w:val="SourceCode"/>
      </w:pPr>
      <w:r>
        <w:rPr>
          <w:rStyle w:val="NormalTok"/>
        </w:rPr>
        <w:t xml:space="preserve">cav_glm </w:t>
      </w:r>
      <w:r>
        <w:rPr>
          <w:rStyle w:val="OtherTok"/>
        </w:rPr>
        <w:t xml:space="preserve">&lt;-</w:t>
      </w:r>
      <w:r>
        <w:rPr>
          <w:rStyle w:val="NormalTok"/>
        </w:rPr>
        <w:t xml:space="preserve"> </w:t>
      </w:r>
      <w:r>
        <w:rPr>
          <w:rStyle w:val="FunctionTok"/>
        </w:rPr>
        <w:t xml:space="preserve">glm</w:t>
      </w:r>
      <w:r>
        <w:rPr>
          <w:rStyle w:val="NormalTok"/>
        </w:rPr>
        <w:t xml:space="preserve">(N_ACC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TEP_th_22 </w:t>
      </w:r>
      <w:r>
        <w:rPr>
          <w:rStyle w:val="SpecialCharTok"/>
        </w:rPr>
        <w:t xml:space="preserve">+</w:t>
      </w:r>
      <w:r>
        <w:rPr>
          <w:rStyle w:val="NormalTok"/>
        </w:rPr>
        <w:t xml:space="preserve"> ELI </w:t>
      </w:r>
      <w:r>
        <w:rPr>
          <w:rStyle w:val="SpecialCharTok"/>
        </w:rPr>
        <w:t xml:space="preserve">+</w:t>
      </w:r>
      <w:r>
        <w:rPr>
          <w:rStyle w:val="NormalTok"/>
        </w:rPr>
        <w:t xml:space="preserve"> PGR </w:t>
      </w:r>
      <w:r>
        <w:rPr>
          <w:rStyle w:val="SpecialCharTok"/>
        </w:rPr>
        <w:t xml:space="preserve">+</w:t>
      </w:r>
      <w:r>
        <w:br/>
      </w:r>
      <w:r>
        <w:rPr>
          <w:rStyle w:val="NormalTok"/>
        </w:rPr>
        <w:t xml:space="preserve">                 UIS </w:t>
      </w:r>
      <w:r>
        <w:rPr>
          <w:rStyle w:val="SpecialCharTok"/>
        </w:rPr>
        <w:t xml:space="preserve">+</w:t>
      </w:r>
      <w:r>
        <w:rPr>
          <w:rStyle w:val="NormalTok"/>
        </w:rPr>
        <w:t xml:space="preserve"> ELL </w:t>
      </w:r>
      <w:r>
        <w:rPr>
          <w:rStyle w:val="SpecialCharTok"/>
        </w:rPr>
        <w:t xml:space="preserve">+</w:t>
      </w:r>
      <w:r>
        <w:rPr>
          <w:rStyle w:val="NormalTok"/>
        </w:rPr>
        <w:t xml:space="preserve"> PDI </w:t>
      </w:r>
      <w:r>
        <w:rPr>
          <w:rStyle w:val="SpecialCharTok"/>
        </w:rPr>
        <w:t xml:space="preserve">+</w:t>
      </w:r>
      <w:r>
        <w:rPr>
          <w:rStyle w:val="NormalTok"/>
        </w:rPr>
        <w:t xml:space="preserve"> ER,</w:t>
      </w:r>
      <w:r>
        <w:br/>
      </w:r>
      <w:r>
        <w:rPr>
          <w:rStyle w:val="NormalTok"/>
        </w:rPr>
        <w:t xml:space="preserve">               </w:t>
      </w:r>
      <w:r>
        <w:rPr>
          <w:rStyle w:val="AttributeTok"/>
        </w:rPr>
        <w:t xml:space="preserve">family =</w:t>
      </w:r>
      <w:r>
        <w:rPr>
          <w:rStyle w:val="NormalTok"/>
        </w:rPr>
        <w:t xml:space="preserve"> </w:t>
      </w:r>
      <w:r>
        <w:rPr>
          <w:rStyle w:val="StringTok"/>
        </w:rPr>
        <w:t xml:space="preserve">"poisson"</w:t>
      </w:r>
      <w:r>
        <w:rPr>
          <w:rStyle w:val="NormalTok"/>
        </w:rPr>
        <w:t xml:space="preserve">,</w:t>
      </w:r>
      <w:r>
        <w:rPr>
          <w:rStyle w:val="AttributeTok"/>
        </w:rPr>
        <w:t xml:space="preserve">offset =</w:t>
      </w:r>
      <w:r>
        <w:rPr>
          <w:rStyle w:val="NormalTok"/>
        </w:rPr>
        <w:t xml:space="preserve"> </w:t>
      </w:r>
      <w:r>
        <w:rPr>
          <w:rStyle w:val="FunctionTok"/>
        </w:rPr>
        <w:t xml:space="preserve">log</w:t>
      </w:r>
      <w:r>
        <w:rPr>
          <w:rStyle w:val="NormalTok"/>
        </w:rPr>
        <w:t xml:space="preserve">(nn), </w:t>
      </w:r>
      <w:r>
        <w:rPr>
          <w:rStyle w:val="AttributeTok"/>
        </w:rPr>
        <w:t xml:space="preserve">data =</w:t>
      </w:r>
      <w:r>
        <w:rPr>
          <w:rStyle w:val="NormalTok"/>
        </w:rPr>
        <w:t xml:space="preserve"> dd_con)</w:t>
      </w:r>
      <w:r>
        <w:br/>
      </w:r>
      <w:r>
        <w:rPr>
          <w:rStyle w:val="FunctionTok"/>
        </w:rPr>
        <w:t xml:space="preserve">summary</w:t>
      </w:r>
      <w:r>
        <w:rPr>
          <w:rStyle w:val="NormalTok"/>
        </w:rPr>
        <w:t xml:space="preserve">(cav_glm)</w:t>
      </w:r>
      <w:r>
        <w:rPr>
          <w:rStyle w:val="SpecialCharTok"/>
        </w:rPr>
        <w:t xml:space="preserve">$</w:t>
      </w:r>
      <w:r>
        <w:rPr>
          <w:rStyle w:val="NormalTok"/>
        </w:rPr>
        <w:t xml:space="preserve">coefficients</w:t>
      </w:r>
    </w:p>
    <w:p>
      <w:pPr>
        <w:pStyle w:val="SourceCode"/>
      </w:pPr>
      <w:r>
        <w:rPr>
          <w:rStyle w:val="VerbatimChar"/>
        </w:rPr>
        <w:t xml:space="preserve">##                Estimate Std. Error     z value     Pr(&gt;|z|)</w:t>
      </w:r>
      <w:r>
        <w:br/>
      </w:r>
      <w:r>
        <w:rPr>
          <w:rStyle w:val="VerbatimChar"/>
        </w:rPr>
        <w:t xml:space="preserve">## (Intercept) -7.46748635 0.04524877 -165.031813 0.000000e+00</w:t>
      </w:r>
      <w:r>
        <w:br/>
      </w:r>
      <w:r>
        <w:rPr>
          <w:rStyle w:val="VerbatimChar"/>
        </w:rPr>
        <w:t xml:space="preserve">## TEP_th_22   -0.39714306 0.04201946   -9.451407 3.343054e-21</w:t>
      </w:r>
      <w:r>
        <w:br/>
      </w:r>
      <w:r>
        <w:rPr>
          <w:rStyle w:val="VerbatimChar"/>
        </w:rPr>
        <w:t xml:space="preserve">## ELI         -0.07087461 0.03369481   -2.103428 3.542838e-02</w:t>
      </w:r>
      <w:r>
        <w:br/>
      </w:r>
      <w:r>
        <w:rPr>
          <w:rStyle w:val="VerbatimChar"/>
        </w:rPr>
        <w:t xml:space="preserve">## PGR          0.12914911 0.04270159    3.024457 2.490801e-03</w:t>
      </w:r>
      <w:r>
        <w:br/>
      </w:r>
      <w:r>
        <w:rPr>
          <w:rStyle w:val="VerbatimChar"/>
        </w:rPr>
        <w:t xml:space="preserve">## UIS         -0.09776366 0.03510686   -2.784745 5.356979e-03</w:t>
      </w:r>
      <w:r>
        <w:br/>
      </w:r>
      <w:r>
        <w:rPr>
          <w:rStyle w:val="VerbatimChar"/>
        </w:rPr>
        <w:t xml:space="preserve">## ELL         -0.11515036 0.04427412   -2.600851 9.299292e-03</w:t>
      </w:r>
      <w:r>
        <w:br/>
      </w:r>
      <w:r>
        <w:rPr>
          <w:rStyle w:val="VerbatimChar"/>
        </w:rPr>
        <w:t xml:space="preserve">## PDI         -0.06869493 0.04521827   -1.519185 1.287159e-01</w:t>
      </w:r>
      <w:r>
        <w:br/>
      </w:r>
      <w:r>
        <w:rPr>
          <w:rStyle w:val="VerbatimChar"/>
        </w:rPr>
        <w:t xml:space="preserve">## ER          -0.06640563 0.05019652   -1.322913 1.858643e-01</w:t>
      </w:r>
    </w:p>
    <w:p>
      <w:pPr>
        <w:numPr>
          <w:ilvl w:val="0"/>
          <w:numId w:val="1003"/>
        </w:numPr>
      </w:pPr>
      <w:r>
        <w:rPr>
          <w:rStyle w:val="VerbatimChar"/>
        </w:rPr>
        <w:t xml:space="preserve">TEP_th_22</w:t>
      </w:r>
      <w:r>
        <w:t xml:space="preserve">: The distance from the closest support center seems to play the key role. The easiest interpretation is that the physical distance represents a barrier to violence reporting. This is quite intuitive if we think of the material dynamics of reporting gender-based violence: one could reasonably expect violent men to prevent their partners to come out and report the violence suffered.</w:t>
      </w:r>
    </w:p>
    <w:p>
      <w:pPr>
        <w:numPr>
          <w:ilvl w:val="0"/>
          <w:numId w:val="1003"/>
        </w:numPr>
      </w:pPr>
      <w:r>
        <w:rPr>
          <w:rStyle w:val="VerbatimChar"/>
        </w:rPr>
        <w:t xml:space="preserve">ELI</w:t>
      </w:r>
      <w:r>
        <w:t xml:space="preserve">: The (ventile of the distribution of the) share of employees in low productivity economic units is a clear indicator of (relative) economic underdevelopment. The most naive interpretation wuld be that in underdeveloped areas reporting gender violence is somewhat harder than in developed ones.</w:t>
      </w:r>
    </w:p>
    <w:p>
      <w:pPr>
        <w:numPr>
          <w:ilvl w:val="0"/>
          <w:numId w:val="1003"/>
        </w:numPr>
      </w:pPr>
      <w:r>
        <w:rPr>
          <w:rStyle w:val="VerbatimChar"/>
        </w:rPr>
        <w:t xml:space="preserve">PGR</w:t>
      </w:r>
      <w:r>
        <w:t xml:space="preserve">: The association with population growth rate is harder to interpret. This association is most likely influenced by several demographic instrumental variables we are not keeping into account and would indeed deserve a more dedicated focus.</w:t>
      </w:r>
    </w:p>
    <w:p>
      <w:pPr>
        <w:numPr>
          <w:ilvl w:val="0"/>
          <w:numId w:val="1003"/>
        </w:numPr>
      </w:pPr>
      <w:r>
        <w:rPr>
          <w:rStyle w:val="VerbatimChar"/>
        </w:rPr>
        <w:t xml:space="preserve">UIS</w:t>
      </w:r>
      <w:r>
        <w:t xml:space="preserve">: The (ventile of the distribution of the) density of production units has a somewhat ambiguous interpretation. From the one side, it has a strong negative relationship with the social frailty index. It should be therefore considered an indicator of economic development. Nevertheless, the regression coefficient bears the same sign as the incidence of low-productivity economic units.</w:t>
      </w:r>
      <w:r>
        <w:t xml:space="preserve"> </w:t>
      </w:r>
      <w:r>
        <w:rPr>
          <w:i/>
          <w:iCs/>
        </w:rPr>
        <w:t xml:space="preserve">Honestly I have no idea on how to interpret it</w:t>
      </w:r>
      <w:r>
        <w:t xml:space="preserve">.</w:t>
      </w:r>
    </w:p>
    <w:p>
      <w:pPr>
        <w:numPr>
          <w:ilvl w:val="0"/>
          <w:numId w:val="1003"/>
        </w:numPr>
      </w:pPr>
      <w:r>
        <w:rPr>
          <w:rStyle w:val="VerbatimChar"/>
        </w:rPr>
        <w:t xml:space="preserve">ELL</w:t>
      </w:r>
      <w:r>
        <w:t xml:space="preserve">: The association with the proportion of people with low educational level has negative sign. The interpretation seems quite easy: cultural development, in general, would encourage reporting violence.</w:t>
      </w:r>
    </w:p>
    <w:p>
      <w:pPr>
        <w:numPr>
          <w:ilvl w:val="0"/>
          <w:numId w:val="1003"/>
        </w:numPr>
      </w:pPr>
      <w:r>
        <w:rPr>
          <w:rStyle w:val="VerbatimChar"/>
        </w:rPr>
        <w:t xml:space="preserve">PDI</w:t>
      </w:r>
      <w:r>
        <w:t xml:space="preserve">: The association with population dependency index does not seem significantly different from zero</w:t>
      </w:r>
    </w:p>
    <w:p>
      <w:pPr>
        <w:numPr>
          <w:ilvl w:val="0"/>
          <w:numId w:val="1003"/>
        </w:numPr>
      </w:pPr>
      <w:r>
        <w:rPr>
          <w:rStyle w:val="VerbatimChar"/>
        </w:rPr>
        <w:t xml:space="preserve">ER</w:t>
      </w:r>
      <w:r>
        <w:t xml:space="preserve">: Nor does the association with employment rate.</w:t>
      </w:r>
    </w:p>
    <w:p>
      <w:pPr>
        <w:pStyle w:val="FirstParagraph"/>
      </w:pPr>
      <w:r>
        <w:t xml:space="preserve">How do we interpret the size of regression coefficient of</w:t>
      </w:r>
      <w:r>
        <w:t xml:space="preserve"> </w:t>
      </w:r>
      <w:r>
        <w:rPr>
          <w:rStyle w:val="VerbatimChar"/>
        </w:rPr>
        <w:t xml:space="preserve">TEP_th_22</w:t>
      </w:r>
      <w:r>
        <w:t xml:space="preserve">? Keeping in mind we are working on the logarithm of the access rate, the standard deviation of the distance, expressed in minutes, is:</w:t>
      </w:r>
    </w:p>
    <w:p>
      <w:pPr>
        <w:pStyle w:val="SourceCode"/>
      </w:pPr>
      <w:r>
        <w:rPr>
          <w:rStyle w:val="CommentTok"/>
        </w:rPr>
        <w:t xml:space="preserve"># Distance from closest support center</w:t>
      </w:r>
      <w:r>
        <w:br/>
      </w:r>
      <w:r>
        <w:rPr>
          <w:rStyle w:val="FunctionTok"/>
        </w:rPr>
        <w:t xml:space="preserve">attr</w:t>
      </w:r>
      <w:r>
        <w:rPr>
          <w:rStyle w:val="NormalTok"/>
        </w:rPr>
        <w:t xml:space="preserve">(</w:t>
      </w:r>
      <w:r>
        <w:rPr>
          <w:rStyle w:val="FunctionTok"/>
        </w:rPr>
        <w:t xml:space="preserve">scale</w:t>
      </w:r>
      <w:r>
        <w:rPr>
          <w:rStyle w:val="NormalTok"/>
        </w:rPr>
        <w:t xml:space="preserve">(dists_th_22</w:t>
      </w:r>
      <w:r>
        <w:rPr>
          <w:rStyle w:val="SpecialCharTok"/>
        </w:rPr>
        <w:t xml:space="preserve">$</w:t>
      </w:r>
      <w:r>
        <w:rPr>
          <w:rStyle w:val="NormalTok"/>
        </w:rPr>
        <w:t xml:space="preserve">TEP_th_22), </w:t>
      </w:r>
      <w:r>
        <w:rPr>
          <w:rStyle w:val="StringTok"/>
        </w:rPr>
        <w:t xml:space="preserve">"scaled:scale"</w:t>
      </w:r>
      <w:r>
        <w:rPr>
          <w:rStyle w:val="NormalTok"/>
        </w:rPr>
        <w:t xml:space="preserve">)</w:t>
      </w:r>
    </w:p>
    <w:p>
      <w:pPr>
        <w:pStyle w:val="SourceCode"/>
      </w:pPr>
      <w:r>
        <w:rPr>
          <w:rStyle w:val="VerbatimChar"/>
        </w:rPr>
        <w:t xml:space="preserve">## [1] 14.10021</w:t>
      </w:r>
    </w:p>
    <w:p>
      <w:pPr>
        <w:pStyle w:val="FirstParagraph"/>
      </w:pPr>
      <w:r>
        <w:t xml:space="preserve">Hence e.g. each</w:t>
      </w:r>
      <w:r>
        <w:t xml:space="preserve"> </w:t>
      </w:r>
      <m:oMath>
        <m:r>
          <m:t>14</m:t>
        </m:r>
        <m:r>
          <m:rPr>
            <m:sty m:val="p"/>
          </m:rPr>
          <m:t>′</m:t>
        </m:r>
        <m:r>
          <m:t>6</m:t>
        </m:r>
        <m:r>
          <m:rPr>
            <m:sty m:val="p"/>
          </m:rPr>
          <m:t>″</m:t>
        </m:r>
      </m:oMath>
      <w:r>
        <w:t xml:space="preserve"> </w:t>
      </w:r>
      <w:r>
        <w:t xml:space="preserve">of distance of the a given municipality from the closest support center are associated with a decrease of</w:t>
      </w:r>
      <w:r>
        <w:t xml:space="preserve"> </w:t>
      </w:r>
      <m:oMath>
        <m:r>
          <m:t>0.399</m:t>
        </m:r>
      </m:oMath>
      <w:r>
        <w:t xml:space="preserve"> </w:t>
      </w:r>
      <w:r>
        <w:t xml:space="preserve">units in the log-frequency at which women from that municipality access to support centers.</w:t>
      </w:r>
    </w:p>
    <w:p>
      <w:pPr>
        <w:pStyle w:val="BodyText"/>
      </w:pPr>
      <w:r>
        <w:t xml:space="preserve">Additionally, the number of zero counts is high:</w:t>
      </w:r>
    </w:p>
    <w:p>
      <w:pPr>
        <w:pStyle w:val="SourceCode"/>
      </w:pPr>
      <w:r>
        <w:rPr>
          <w:rStyle w:val="FunctionTok"/>
        </w:rPr>
        <w:t xml:space="preserve">sum</w:t>
      </w:r>
      <w:r>
        <w:rPr>
          <w:rStyle w:val="NormalTok"/>
        </w:rPr>
        <w:t xml:space="preserve">(dd_con</w:t>
      </w:r>
      <w:r>
        <w:rPr>
          <w:rStyle w:val="SpecialCharTok"/>
        </w:rPr>
        <w:t xml:space="preserve">$</w:t>
      </w:r>
      <w:r>
        <w:rPr>
          <w:rStyle w:val="NormalTok"/>
        </w:rPr>
        <w:t xml:space="preserve">N_ACC </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81</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(dd_con</w:t>
      </w:r>
      <w:r>
        <w:rPr>
          <w:rStyle w:val="SpecialCharTok"/>
        </w:rPr>
        <w:t xml:space="preserve">$</w:t>
      </w:r>
      <w:r>
        <w:rPr>
          <w:rStyle w:val="NormalTok"/>
        </w:rPr>
        <w:t xml:space="preserve">N_ACC))</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zero%20counts-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may wonder if the data generating process incorporates a zero-generating component. We can model this augmented process through zero-inflated Poisson likelihood:</w:t>
      </w:r>
    </w:p>
    <w:p>
      <w:pPr>
        <w:pStyle w:val="BodyText"/>
      </w:pPr>
      <m:oMathPara>
        <m:oMathParaPr>
          <m:jc m:val="center"/>
        </m:oMathParaPr>
        <m:oMath>
          <m:r>
            <m:t>p</m:t>
          </m:r>
          <m:d>
            <m:dPr>
              <m:begChr m:val="("/>
              <m:endChr m:val=")"/>
              <m:sepChr m:val=""/>
              <m:grow/>
            </m:dPr>
            <m:e>
              <m:sSub>
                <m:e>
                  <m:r>
                    <m:t>y</m:t>
                  </m:r>
                </m:e>
                <m:sub>
                  <m:r>
                    <m:t>i</m:t>
                  </m:r>
                </m:sub>
              </m:sSub>
              <m:r>
                <m:rPr>
                  <m:sty m:val="p"/>
                </m:rPr>
                <m:t>|</m:t>
              </m:r>
              <m:sSub>
                <m:e>
                  <m:r>
                    <m:t>η</m:t>
                  </m:r>
                </m:e>
                <m:sub>
                  <m:r>
                    <m:t>i</m:t>
                  </m:r>
                </m:sub>
              </m:sSub>
            </m:e>
          </m:d>
          <m:r>
            <m:rPr>
              <m:sty m:val="p"/>
            </m:rPr>
            <m:t>=</m:t>
          </m:r>
          <m:sSub>
            <m:e>
              <m:r>
                <m:t>π</m:t>
              </m:r>
            </m:e>
            <m:sub>
              <m:r>
                <m:t>0</m:t>
              </m:r>
            </m:sub>
          </m:sSub>
          <m:r>
            <m:rPr>
              <m:sty m:val="p"/>
              <m:scr m:val="double-struck"/>
            </m:rPr>
            <m:t>I</m:t>
          </m:r>
          <m:r>
            <m:rPr>
              <m:sty m:val="p"/>
            </m:rPr>
            <m:t>{</m:t>
          </m:r>
          <m:sSub>
            <m:e>
              <m:r>
                <m:t>y</m:t>
              </m:r>
            </m:e>
            <m:sub>
              <m:r>
                <m:t>i</m:t>
              </m:r>
            </m:sub>
          </m:sSub>
          <m:r>
            <m:rPr>
              <m:sty m:val="p"/>
            </m:rPr>
            <m:t>=</m:t>
          </m:r>
          <m:r>
            <m:t>0</m:t>
          </m:r>
          <m:r>
            <m:rPr>
              <m:sty m:val="p"/>
            </m:rPr>
            <m:t>}</m:t>
          </m:r>
          <m:r>
            <m:rPr>
              <m:sty m:val="p"/>
            </m:rPr>
            <m:t>+</m:t>
          </m:r>
          <m:d>
            <m:dPr>
              <m:begChr m:val="("/>
              <m:endChr m:val=")"/>
              <m:sepChr m:val=""/>
              <m:grow/>
            </m:dPr>
            <m:e>
              <m:r>
                <m:t>1</m:t>
              </m:r>
              <m:r>
                <m:rPr>
                  <m:sty m:val="p"/>
                </m:rPr>
                <m:t>−</m:t>
              </m:r>
              <m:sSub>
                <m:e>
                  <m:r>
                    <m:t>π</m:t>
                  </m:r>
                </m:e>
                <m:sub>
                  <m:r>
                    <m:t>0</m:t>
                  </m:r>
                </m:sub>
              </m:sSub>
            </m:e>
          </m:d>
          <m:f>
            <m:fPr>
              <m:type m:val="bar"/>
            </m:fPr>
            <m:num>
              <m:sSup>
                <m:e>
                  <m:r>
                    <m:t>e</m:t>
                  </m:r>
                </m:e>
                <m:sup>
                  <m:r>
                    <m:rPr>
                      <m:sty m:val="p"/>
                    </m:rPr>
                    <m:t>−</m:t>
                  </m:r>
                  <m:sSup>
                    <m:e>
                      <m:r>
                        <m:t>e</m:t>
                      </m:r>
                    </m:e>
                    <m:sup>
                      <m:sSub>
                        <m:e>
                          <m:r>
                            <m:t>η</m:t>
                          </m:r>
                        </m:e>
                        <m:sub>
                          <m:r>
                            <m:t>i</m:t>
                          </m:r>
                        </m:sub>
                      </m:sSub>
                      <m:r>
                        <m:rPr>
                          <m:sty m:val="p"/>
                        </m:rPr>
                        <m:t>+</m:t>
                      </m:r>
                      <m:sSub>
                        <m:e>
                          <m:r>
                            <m:t>P</m:t>
                          </m:r>
                        </m:e>
                        <m:sub>
                          <m:r>
                            <m:t>i</m:t>
                          </m:r>
                        </m:sub>
                      </m:sSub>
                    </m:sup>
                  </m:sSup>
                  <m:r>
                    <m:rPr>
                      <m:sty m:val="p"/>
                    </m:rPr>
                    <m:t>−</m:t>
                  </m:r>
                  <m:d>
                    <m:dPr>
                      <m:begChr m:val="("/>
                      <m:endChr m:val=")"/>
                      <m:sepChr m:val=""/>
                      <m:grow/>
                    </m:dPr>
                    <m:e>
                      <m:sSub>
                        <m:e>
                          <m:r>
                            <m:t>η</m:t>
                          </m:r>
                        </m:e>
                        <m:sub>
                          <m:r>
                            <m:t>i</m:t>
                          </m:r>
                        </m:sub>
                      </m:sSub>
                      <m:r>
                        <m:rPr>
                          <m:sty m:val="p"/>
                        </m:rPr>
                        <m:t>+</m:t>
                      </m:r>
                      <m:sSub>
                        <m:e>
                          <m:r>
                            <m:t>P</m:t>
                          </m:r>
                        </m:e>
                        <m:sub>
                          <m:r>
                            <m:t>i</m:t>
                          </m:r>
                        </m:sub>
                      </m:sSub>
                    </m:e>
                  </m:d>
                  <m:sSub>
                    <m:e>
                      <m:r>
                        <m:t>y</m:t>
                      </m:r>
                    </m:e>
                    <m:sub>
                      <m:r>
                        <m:t>i</m:t>
                      </m:r>
                    </m:sub>
                  </m:sSub>
                </m:sup>
              </m:sSup>
            </m:num>
            <m:den>
              <m:sSub>
                <m:e>
                  <m:r>
                    <m:t>y</m:t>
                  </m:r>
                </m:e>
                <m:sub>
                  <m:r>
                    <m:t>i</m:t>
                  </m:r>
                </m:sub>
              </m:sSub>
              <m:r>
                <m:rPr>
                  <m:sty m:val="p"/>
                </m:rPr>
                <m:t>!</m:t>
              </m:r>
            </m:den>
          </m:f>
        </m:oMath>
      </m:oMathPara>
    </w:p>
    <w:p>
      <w:pPr>
        <w:pStyle w:val="FirstParagraph"/>
      </w:pPr>
      <w:r>
        <w:t xml:space="preserve">Where</w:t>
      </w:r>
      <w:r>
        <w:t xml:space="preserve"> </w:t>
      </w:r>
      <m:oMath>
        <m:sSub>
          <m:e>
            <m:r>
              <m:t>π</m:t>
            </m:r>
          </m:e>
          <m:sub>
            <m:r>
              <m:t>0</m:t>
            </m:r>
          </m:sub>
        </m:sSub>
        <m:box>
          <m:boxPr>
            <m:opEmu m:val="on"/>
          </m:boxPr>
          <m:e>
            <m:r>
              <m:rPr>
                <m:sty m:val="p"/>
              </m:rPr>
              <m:t>:=</m:t>
            </m:r>
          </m:e>
        </m:box>
        <m:r>
          <m:rPr>
            <m:sty m:val="p"/>
          </m:rPr>
          <m:t>P</m:t>
        </m:r>
        <m:r>
          <m:rPr>
            <m:sty m:val="p"/>
          </m:rPr>
          <m:t>r</m:t>
        </m:r>
        <m:r>
          <m:rPr>
            <m:sty m:val="p"/>
          </m:rPr>
          <m:t>o</m:t>
        </m:r>
        <m:r>
          <m:rPr>
            <m:sty m:val="p"/>
          </m:rPr>
          <m:t>b</m:t>
        </m:r>
        <m:r>
          <m:rPr>
            <m:sty m:val="p"/>
          </m:rPr>
          <m:t>{</m:t>
        </m:r>
        <m:sSub>
          <m:e>
            <m:r>
              <m:t>y</m:t>
            </m:r>
          </m:e>
          <m:sub>
            <m:r>
              <m:t>i</m:t>
            </m:r>
          </m:sub>
        </m:sSub>
        <m:r>
          <m:rPr>
            <m:sty m:val="p"/>
          </m:rPr>
          <m:t>=</m:t>
        </m:r>
        <m:r>
          <m:t>0</m:t>
        </m:r>
        <m:r>
          <m:rPr>
            <m:sty m:val="p"/>
          </m:rPr>
          <m:t>}</m:t>
        </m:r>
      </m:oMath>
      <w:r>
        <w:t xml:space="preserve"> </w:t>
      </w:r>
      <w:r>
        <w:t xml:space="preserve">for all</w:t>
      </w:r>
      <w:r>
        <w:t xml:space="preserve"> </w:t>
      </w:r>
      <m:oMath>
        <m:r>
          <m:t>i</m:t>
        </m:r>
      </m:oMath>
      <w:r>
        <w:t xml:space="preserve">. For the time being, we do not seek for explanatory variables for</w:t>
      </w:r>
      <w:r>
        <w:t xml:space="preserve"> </w:t>
      </w:r>
      <m:oMath>
        <m:sSub>
          <m:e>
            <m:r>
              <m:t>π</m:t>
            </m:r>
          </m:e>
          <m:sub>
            <m:r>
              <m:t>0</m:t>
            </m:r>
          </m:sub>
        </m:sSub>
      </m:oMath>
      <w:r>
        <w:t xml:space="preserve">.</w:t>
      </w:r>
      <w:r>
        <w:br/>
      </w:r>
      <w:r>
        <w:t xml:space="preserve">When explicitly accounting for the zero-generating process, we find the association of</w:t>
      </w:r>
      <w:r>
        <w:t xml:space="preserve"> </w:t>
      </w:r>
      <m:oMath>
        <m:r>
          <m:t>y</m:t>
        </m:r>
      </m:oMath>
      <w:r>
        <w:t xml:space="preserve"> </w:t>
      </w:r>
      <w:r>
        <w:t xml:space="preserve">with some explanatory variables to be reduced:</w:t>
      </w:r>
    </w:p>
    <w:p>
      <w:pPr>
        <w:pStyle w:val="SourceCode"/>
      </w:pPr>
      <w:r>
        <w:rPr>
          <w:rStyle w:val="NormalTok"/>
        </w:rPr>
        <w:t xml:space="preserve">cav_zip </w:t>
      </w:r>
      <w:r>
        <w:rPr>
          <w:rStyle w:val="OtherTok"/>
        </w:rPr>
        <w:t xml:space="preserve">&lt;-</w:t>
      </w:r>
      <w:r>
        <w:rPr>
          <w:rStyle w:val="NormalTok"/>
        </w:rPr>
        <w:t xml:space="preserve"> pscl</w:t>
      </w:r>
      <w:r>
        <w:rPr>
          <w:rStyle w:val="SpecialCharTok"/>
        </w:rPr>
        <w:t xml:space="preserve">::</w:t>
      </w:r>
      <w:r>
        <w:rPr>
          <w:rStyle w:val="FunctionTok"/>
        </w:rPr>
        <w:t xml:space="preserve">zeroinfl</w:t>
      </w:r>
      <w:r>
        <w:rPr>
          <w:rStyle w:val="NormalTok"/>
        </w:rPr>
        <w:t xml:space="preserve">(N_ACC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TEP_th_22 </w:t>
      </w:r>
      <w:r>
        <w:rPr>
          <w:rStyle w:val="SpecialCharTok"/>
        </w:rPr>
        <w:t xml:space="preserve">+</w:t>
      </w:r>
      <w:r>
        <w:rPr>
          <w:rStyle w:val="NormalTok"/>
        </w:rPr>
        <w:t xml:space="preserve"> ELI </w:t>
      </w:r>
      <w:r>
        <w:rPr>
          <w:rStyle w:val="SpecialCharTok"/>
        </w:rPr>
        <w:t xml:space="preserve">+</w:t>
      </w:r>
      <w:r>
        <w:rPr>
          <w:rStyle w:val="NormalTok"/>
        </w:rPr>
        <w:t xml:space="preserve"> PGR </w:t>
      </w:r>
      <w:r>
        <w:rPr>
          <w:rStyle w:val="SpecialCharTok"/>
        </w:rPr>
        <w:t xml:space="preserve">+</w:t>
      </w:r>
      <w:r>
        <w:br/>
      </w:r>
      <w:r>
        <w:rPr>
          <w:rStyle w:val="NormalTok"/>
        </w:rPr>
        <w:t xml:space="preserve">                            UIS </w:t>
      </w:r>
      <w:r>
        <w:rPr>
          <w:rStyle w:val="SpecialCharTok"/>
        </w:rPr>
        <w:t xml:space="preserve">+</w:t>
      </w:r>
      <w:r>
        <w:rPr>
          <w:rStyle w:val="NormalTok"/>
        </w:rPr>
        <w:t xml:space="preserve"> ELL </w:t>
      </w:r>
      <w:r>
        <w:rPr>
          <w:rStyle w:val="SpecialCharTok"/>
        </w:rPr>
        <w:t xml:space="preserve">+</w:t>
      </w:r>
      <w:r>
        <w:rPr>
          <w:rStyle w:val="NormalTok"/>
        </w:rPr>
        <w:t xml:space="preserve"> PDI </w:t>
      </w:r>
      <w:r>
        <w:rPr>
          <w:rStyle w:val="SpecialCharTok"/>
        </w:rPr>
        <w:t xml:space="preserve">+</w:t>
      </w:r>
      <w:r>
        <w:rPr>
          <w:rStyle w:val="NormalTok"/>
        </w:rPr>
        <w:t xml:space="preserve"> ER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dist =</w:t>
      </w:r>
      <w:r>
        <w:rPr>
          <w:rStyle w:val="NormalTok"/>
        </w:rPr>
        <w:t xml:space="preserve"> </w:t>
      </w:r>
      <w:r>
        <w:rPr>
          <w:rStyle w:val="StringTok"/>
        </w:rPr>
        <w:t xml:space="preserve">"poisson"</w:t>
      </w:r>
      <w:r>
        <w:rPr>
          <w:rStyle w:val="NormalTok"/>
        </w:rPr>
        <w:t xml:space="preserve">,</w:t>
      </w:r>
      <w:r>
        <w:br/>
      </w:r>
      <w:r>
        <w:rPr>
          <w:rStyle w:val="NormalTok"/>
        </w:rPr>
        <w:t xml:space="preserve">               </w:t>
      </w:r>
      <w:r>
        <w:rPr>
          <w:rStyle w:val="AttributeTok"/>
        </w:rPr>
        <w:t xml:space="preserve">link =</w:t>
      </w:r>
      <w:r>
        <w:rPr>
          <w:rStyle w:val="NormalTok"/>
        </w:rPr>
        <w:t xml:space="preserve"> </w:t>
      </w:r>
      <w:r>
        <w:rPr>
          <w:rStyle w:val="StringTok"/>
        </w:rPr>
        <w:t xml:space="preserve">"log"</w:t>
      </w:r>
      <w:r>
        <w:rPr>
          <w:rStyle w:val="NormalTok"/>
        </w:rPr>
        <w:t xml:space="preserve">, </w:t>
      </w:r>
      <w:r>
        <w:rPr>
          <w:rStyle w:val="AttributeTok"/>
        </w:rPr>
        <w:t xml:space="preserve">offset =</w:t>
      </w:r>
      <w:r>
        <w:rPr>
          <w:rStyle w:val="NormalTok"/>
        </w:rPr>
        <w:t xml:space="preserve"> </w:t>
      </w:r>
      <w:r>
        <w:rPr>
          <w:rStyle w:val="FunctionTok"/>
        </w:rPr>
        <w:t xml:space="preserve">log</w:t>
      </w:r>
      <w:r>
        <w:rPr>
          <w:rStyle w:val="NormalTok"/>
        </w:rPr>
        <w:t xml:space="preserve">(nn), </w:t>
      </w:r>
      <w:r>
        <w:rPr>
          <w:rStyle w:val="AttributeTok"/>
        </w:rPr>
        <w:t xml:space="preserve">data =</w:t>
      </w:r>
      <w:r>
        <w:rPr>
          <w:rStyle w:val="NormalTok"/>
        </w:rPr>
        <w:t xml:space="preserve"> dd_con)</w:t>
      </w:r>
      <w:r>
        <w:br/>
      </w:r>
      <w:r>
        <w:br/>
      </w:r>
      <w:r>
        <w:rPr>
          <w:rStyle w:val="FunctionTok"/>
        </w:rPr>
        <w:t xml:space="preserve">summary</w:t>
      </w:r>
      <w:r>
        <w:rPr>
          <w:rStyle w:val="NormalTok"/>
        </w:rPr>
        <w:t xml:space="preserve">(cav_zip)</w:t>
      </w:r>
      <w:r>
        <w:rPr>
          <w:rStyle w:val="SpecialCharTok"/>
        </w:rPr>
        <w:t xml:space="preserve">$</w:t>
      </w:r>
      <w:r>
        <w:rPr>
          <w:rStyle w:val="NormalTok"/>
        </w:rPr>
        <w:t xml:space="preserve">coefficients</w:t>
      </w:r>
      <w:r>
        <w:rPr>
          <w:rStyle w:val="SpecialCharTok"/>
        </w:rPr>
        <w:t xml:space="preserve">$</w:t>
      </w:r>
      <w:r>
        <w:rPr>
          <w:rStyle w:val="NormalTok"/>
        </w:rPr>
        <w:t xml:space="preserve">count</w:t>
      </w:r>
    </w:p>
    <w:p>
      <w:pPr>
        <w:pStyle w:val="SourceCode"/>
      </w:pPr>
      <w:r>
        <w:rPr>
          <w:rStyle w:val="VerbatimChar"/>
        </w:rPr>
        <w:t xml:space="preserve">##                Estimate Std. Error     z value     Pr(&gt;|z|)</w:t>
      </w:r>
      <w:r>
        <w:br/>
      </w:r>
      <w:r>
        <w:rPr>
          <w:rStyle w:val="VerbatimChar"/>
        </w:rPr>
        <w:t xml:space="preserve">## (Intercept) -7.40438222 0.04719042 -156.904359 0.000000e+00</w:t>
      </w:r>
      <w:r>
        <w:br/>
      </w:r>
      <w:r>
        <w:rPr>
          <w:rStyle w:val="VerbatimChar"/>
        </w:rPr>
        <w:t xml:space="preserve">## TEP_th_22   -0.40549864 0.04225844   -9.595683 8.336295e-22</w:t>
      </w:r>
      <w:r>
        <w:br/>
      </w:r>
      <w:r>
        <w:rPr>
          <w:rStyle w:val="VerbatimChar"/>
        </w:rPr>
        <w:t xml:space="preserve">## ELI         -0.04759633 0.03439110   -1.383972 1.663669e-01</w:t>
      </w:r>
      <w:r>
        <w:br/>
      </w:r>
      <w:r>
        <w:rPr>
          <w:rStyle w:val="VerbatimChar"/>
        </w:rPr>
        <w:t xml:space="preserve">## PGR          0.08421710 0.04464342    1.886439 5.923579e-02</w:t>
      </w:r>
      <w:r>
        <w:br/>
      </w:r>
      <w:r>
        <w:rPr>
          <w:rStyle w:val="VerbatimChar"/>
        </w:rPr>
        <w:t xml:space="preserve">## UIS         -0.06182367 0.03625139   -1.705415 8.811704e-02</w:t>
      </w:r>
      <w:r>
        <w:br/>
      </w:r>
      <w:r>
        <w:rPr>
          <w:rStyle w:val="VerbatimChar"/>
        </w:rPr>
        <w:t xml:space="preserve">## ELL         -0.11276640 0.04425341   -2.548197 1.082814e-02</w:t>
      </w:r>
      <w:r>
        <w:br/>
      </w:r>
      <w:r>
        <w:rPr>
          <w:rStyle w:val="VerbatimChar"/>
        </w:rPr>
        <w:t xml:space="preserve">## PDI         -0.05097672 0.04690631   -1.086778 2.771351e-01</w:t>
      </w:r>
      <w:r>
        <w:br/>
      </w:r>
      <w:r>
        <w:rPr>
          <w:rStyle w:val="VerbatimChar"/>
        </w:rPr>
        <w:t xml:space="preserve">## ER          -0.08627180 0.05080106   -1.698229 8.946463e-02</w:t>
      </w:r>
    </w:p>
    <w:p>
      <w:pPr>
        <w:pStyle w:val="FirstParagraph"/>
      </w:pPr>
      <w:r>
        <w:t xml:space="preserve">However, the MLE estimator for</w:t>
      </w:r>
      <w:r>
        <w:t xml:space="preserve"> </w:t>
      </w:r>
      <m:oMath>
        <m:sSub>
          <m:e>
            <m:r>
              <m:t>π</m:t>
            </m:r>
          </m:e>
          <m:sub>
            <m:r>
              <m:t>0</m:t>
            </m:r>
          </m:sub>
        </m:sSub>
      </m:oMath>
      <w:r>
        <w:t xml:space="preserve"> </w:t>
      </w:r>
      <w:r>
        <w:t xml:space="preserve">is low:</w:t>
      </w:r>
    </w:p>
    <w:p>
      <w:pPr>
        <w:pStyle w:val="SourceCode"/>
      </w:pPr>
      <w:r>
        <w:rPr>
          <w:rStyle w:val="FunctionTok"/>
        </w:rPr>
        <w:t xml:space="preserve">summary</w:t>
      </w:r>
      <w:r>
        <w:rPr>
          <w:rStyle w:val="NormalTok"/>
        </w:rPr>
        <w:t xml:space="preserve">(cav_zip)</w:t>
      </w:r>
      <w:r>
        <w:rPr>
          <w:rStyle w:val="SpecialCharTok"/>
        </w:rPr>
        <w:t xml:space="preserve">$</w:t>
      </w:r>
      <w:r>
        <w:rPr>
          <w:rStyle w:val="NormalTok"/>
        </w:rPr>
        <w:t xml:space="preserve">coefficients</w:t>
      </w:r>
      <w:r>
        <w:rPr>
          <w:rStyle w:val="SpecialCharTok"/>
        </w:rPr>
        <w:t xml:space="preserve">$</w:t>
      </w:r>
      <w:r>
        <w:rPr>
          <w:rStyle w:val="NormalTok"/>
        </w:rPr>
        <w:t xml:space="preserve">zero</w:t>
      </w:r>
    </w:p>
    <w:p>
      <w:pPr>
        <w:pStyle w:val="SourceCode"/>
      </w:pPr>
      <w:r>
        <w:rPr>
          <w:rStyle w:val="VerbatimChar"/>
        </w:rPr>
        <w:t xml:space="preserve">##             Estimate Std. Error   z value   Pr(&gt;|z|)</w:t>
      </w:r>
      <w:r>
        <w:br/>
      </w:r>
      <w:r>
        <w:rPr>
          <w:rStyle w:val="VerbatimChar"/>
        </w:rPr>
        <w:t xml:space="preserve">## (Intercept) -2.67672   0.362882 -7.376283 1.6277e-13</w:t>
      </w:r>
    </w:p>
    <w:bookmarkEnd w:id="33"/>
    <w:bookmarkStart w:id="42" w:name="spatial-regression"/>
    <w:p>
      <w:pPr>
        <w:pStyle w:val="Heading2"/>
      </w:pPr>
      <w:r>
        <w:t xml:space="preserve">Spatial regression</w:t>
      </w:r>
    </w:p>
    <w:p>
      <w:pPr>
        <w:pStyle w:val="FirstParagraph"/>
      </w:pPr>
      <w:r>
        <w:t xml:space="preserve">We plot the log-residuals</w:t>
      </w:r>
      <w:r>
        <w:t xml:space="preserve"> </w:t>
      </w:r>
      <m:oMath>
        <m:r>
          <m:t>ε</m:t>
        </m:r>
      </m:oMath>
      <w:r>
        <w:t xml:space="preserve"> </w:t>
      </w:r>
      <w:r>
        <w:t xml:space="preserve">of the GLM regression model, defined as</w:t>
      </w:r>
      <w:r>
        <w:t xml:space="preserve"> </w:t>
      </w:r>
      <m:oMath>
        <m:r>
          <m:t>ε</m:t>
        </m:r>
        <m:box>
          <m:boxPr>
            <m:opEmu m:val="on"/>
          </m:boxPr>
          <m:e>
            <m:r>
              <m:rPr>
                <m:sty m:val="p"/>
              </m:rPr>
              <m:t>:=</m:t>
            </m:r>
          </m:e>
        </m:box>
        <m:r>
          <m:rPr>
            <m:sty m:val="p"/>
          </m:rPr>
          <m:t>ln</m:t>
        </m:r>
        <m:sSub>
          <m:e>
            <m:r>
              <m:t>y</m:t>
            </m:r>
          </m:e>
          <m:sub>
            <m:r>
              <m:t>i</m:t>
            </m:r>
          </m:sub>
        </m:sSub>
        <m:r>
          <m:rPr>
            <m:sty m:val="p"/>
          </m:rPr>
          <m:t>−</m:t>
        </m:r>
        <m:r>
          <m:rPr>
            <m:sty m:val="p"/>
          </m:rPr>
          <m:t>ln</m:t>
        </m:r>
        <m:sSub>
          <m:e>
            <m:r>
              <m:t>P</m:t>
            </m:r>
          </m:e>
          <m:sub>
            <m:r>
              <m:t>i</m:t>
            </m:r>
          </m:sub>
        </m:sSub>
        <m:r>
          <m:rPr>
            <m:sty m:val="p"/>
          </m:rPr>
          <m:t>−</m:t>
        </m:r>
        <m:r>
          <m:rPr>
            <m:sty m:val="p"/>
          </m:rPr>
          <m:t>ln</m:t>
        </m:r>
        <m:sSub>
          <m:e>
            <m:acc>
              <m:accPr>
                <m:chr m:val="̂"/>
              </m:accPr>
              <m:e>
                <m:r>
                  <m:t>y</m:t>
                </m:r>
              </m:e>
            </m:acc>
          </m:e>
          <m:sub>
            <m:r>
              <m:t>i</m:t>
            </m:r>
          </m:sub>
        </m:sSub>
      </m:oMath>
      <w:r>
        <w:t xml:space="preserve"> </w:t>
      </w:r>
      <w:r>
        <w:t xml:space="preserve">being</w:t>
      </w:r>
      <w:r>
        <w:t xml:space="preserve"> </w:t>
      </w:r>
      <m:oMath>
        <m:sSub>
          <m:e>
            <m:acc>
              <m:accPr>
                <m:chr m:val="̂"/>
              </m:accPr>
              <m:e>
                <m:r>
                  <m:t>y</m:t>
                </m:r>
              </m:e>
            </m:acc>
          </m:e>
          <m:sub>
            <m:r>
              <m:t>i</m:t>
            </m:r>
          </m:sub>
        </m:sSub>
      </m:oMath>
      <w:r>
        <w:t xml:space="preserve"> </w:t>
      </w:r>
      <w:r>
        <w:t xml:space="preserve">the fitted value.</w:t>
      </w:r>
    </w:p>
    <w:p>
      <w:pPr>
        <w:pStyle w:val="CaptionedFigure"/>
      </w:pPr>
      <w:r>
        <w:drawing>
          <wp:inline>
            <wp:extent cx="4620126" cy="2772075"/>
            <wp:effectExtent b="0" l="0" r="0" t="0"/>
            <wp:docPr descr="Log-residuals of glm regression using theorical distance as explanatory variable" title="" id="35" name="Picture"/>
            <a:graphic>
              <a:graphicData uri="http://schemas.openxmlformats.org/drawingml/2006/picture">
                <pic:pic>
                  <pic:nvPicPr>
                    <pic:cNvPr descr="index_files/figure-docx/glm%20residuals-1.png" id="36" name="Picture"/>
                    <pic:cNvPicPr>
                      <a:picLocks noChangeArrowheads="1" noChangeAspect="1"/>
                    </pic:cNvPicPr>
                  </pic:nvPicPr>
                  <pic:blipFill>
                    <a:blip r:embed="rId34"/>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Log-residuals of glm regression using theorical distance as explanatory variable</w:t>
      </w:r>
    </w:p>
    <w:p>
      <w:pPr>
        <w:pStyle w:val="SourceCode"/>
      </w:pPr>
      <w:r>
        <w:rPr>
          <w:rStyle w:val="VerbatimChar"/>
        </w:rPr>
        <w:t xml:space="preserve">## Warning in spdep::poly2nb(dd_con[nonzero_con, ]): neighbour object has 2 sub-graphs;</w:t>
      </w:r>
      <w:r>
        <w:br/>
      </w:r>
      <w:r>
        <w:rPr>
          <w:rStyle w:val="VerbatimChar"/>
        </w:rPr>
        <w:t xml:space="preserve">## if this sub-graph count seems unexpected, try increasing the snap argument.</w:t>
      </w:r>
    </w:p>
    <w:p>
      <w:pPr>
        <w:pStyle w:val="FirstParagraph"/>
      </w:pPr>
      <w:r>
        <w:t xml:space="preserve">Residuals may exhibit spatial structure. To assess it, we employ the Moran and Geary tests. Since</w:t>
      </w:r>
    </w:p>
    <w:p>
      <w:pPr>
        <w:pStyle w:val="BodyText"/>
      </w:pPr>
      <w:r>
        <w:t xml:space="preserve">Please notice that log-residuals only take finite values across the</w:t>
      </w:r>
      <w:r>
        <w:t xml:space="preserve"> </w:t>
      </w:r>
      <m:oMath>
        <m:r>
          <m:t>175</m:t>
        </m:r>
      </m:oMath>
      <w:r>
        <w:t xml:space="preserve"> </w:t>
      </w:r>
      <w:r>
        <w:t xml:space="preserve">municipalities whose female citizens have reported at least one case of violence in 2022.</w:t>
      </w:r>
    </w:p>
    <w:p>
      <w:pPr>
        <w:pStyle w:val="BodyText"/>
      </w:pPr>
      <w:r>
        <w:t xml:space="preserve">Additionally, this set of municipalities includes</w:t>
      </w:r>
      <w:r>
        <w:t xml:space="preserve"> </w:t>
      </w:r>
      <m:oMath>
        <m:r>
          <m:t>2</m:t>
        </m:r>
      </m:oMath>
      <w:r>
        <w:t xml:space="preserve"> </w:t>
      </w:r>
      <w:r>
        <w:t xml:space="preserve">singletons, which we remove to assess the value of the Moran and Geary statistics. Thus, we have defined the indexes set</w:t>
      </w:r>
      <w:r>
        <w:t xml:space="preserve"> </w:t>
      </w:r>
      <w:r>
        <w:rPr>
          <w:rStyle w:val="VerbatimChar"/>
        </w:rPr>
        <w:t xml:space="preserve">nonzero_con</w:t>
      </w:r>
      <w:r>
        <w:t xml:space="preserve"> </w:t>
      </w:r>
      <w:r>
        <w:t xml:space="preserve">as the set of municipalities from which at least one case of gender-based violence has been reported,</w:t>
      </w:r>
      <w:r>
        <w:t xml:space="preserve"> </w:t>
      </w:r>
      <w:r>
        <w:rPr>
          <w:i/>
          <w:iCs/>
        </w:rPr>
        <w:t xml:space="preserve">and</w:t>
      </w:r>
      <w:r>
        <w:t xml:space="preserve"> </w:t>
      </w:r>
      <w:r>
        <w:t xml:space="preserve">which have at least one neighbouring municipalities from which at least one case of gender-based violence was reported.</w:t>
      </w:r>
    </w:p>
    <w:p>
      <w:pPr>
        <w:pStyle w:val="SourceCode"/>
      </w:pPr>
      <w:r>
        <w:rPr>
          <w:rStyle w:val="NormalTok"/>
        </w:rPr>
        <w:t xml:space="preserve">spdep</w:t>
      </w:r>
      <w:r>
        <w:rPr>
          <w:rStyle w:val="SpecialCharTok"/>
        </w:rPr>
        <w:t xml:space="preserve">::</w:t>
      </w:r>
      <w:r>
        <w:rPr>
          <w:rStyle w:val="FunctionTok"/>
        </w:rPr>
        <w:t xml:space="preserve">moran.test</w:t>
      </w:r>
      <w:r>
        <w:rPr>
          <w:rStyle w:val="NormalTok"/>
        </w:rPr>
        <w:t xml:space="preserve">(resids_glm_th[nonzero_con],</w:t>
      </w:r>
      <w:r>
        <w:br/>
      </w:r>
      <w:r>
        <w:rPr>
          <w:rStyle w:val="NormalTok"/>
        </w:rPr>
        <w:t xml:space="preserve">                  </w:t>
      </w:r>
      <w:r>
        <w:rPr>
          <w:rStyle w:val="AttributeTok"/>
        </w:rPr>
        <w:t xml:space="preserve">listw =</w:t>
      </w:r>
      <w:r>
        <w:rPr>
          <w:rStyle w:val="NormalTok"/>
        </w:rPr>
        <w:t xml:space="preserve"> spdep</w:t>
      </w:r>
      <w:r>
        <w:rPr>
          <w:rStyle w:val="SpecialCharTok"/>
        </w:rPr>
        <w:t xml:space="preserve">::</w:t>
      </w:r>
      <w:r>
        <w:rPr>
          <w:rStyle w:val="FunctionTok"/>
        </w:rPr>
        <w:t xml:space="preserve">nb2listw</w:t>
      </w:r>
      <w:r>
        <w:rPr>
          <w:rStyle w:val="NormalTok"/>
        </w:rPr>
        <w:t xml:space="preserve">(nb_con_nonzero))</w:t>
      </w:r>
    </w:p>
    <w:p>
      <w:pPr>
        <w:pStyle w:val="SourceCode"/>
      </w:pPr>
      <w:r>
        <w:rPr>
          <w:rStyle w:val="VerbatimChar"/>
        </w:rPr>
        <w:t xml:space="preserve">## </w:t>
      </w:r>
      <w:r>
        <w:br/>
      </w:r>
      <w:r>
        <w:rPr>
          <w:rStyle w:val="VerbatimChar"/>
        </w:rPr>
        <w:t xml:space="preserve">##  Moran I test under randomisation</w:t>
      </w:r>
      <w:r>
        <w:br/>
      </w:r>
      <w:r>
        <w:rPr>
          <w:rStyle w:val="VerbatimChar"/>
        </w:rPr>
        <w:t xml:space="preserve">## </w:t>
      </w:r>
      <w:r>
        <w:br/>
      </w:r>
      <w:r>
        <w:rPr>
          <w:rStyle w:val="VerbatimChar"/>
        </w:rPr>
        <w:t xml:space="preserve">## data:  resids_glm_th[nonzero_con]  </w:t>
      </w:r>
      <w:r>
        <w:br/>
      </w:r>
      <w:r>
        <w:rPr>
          <w:rStyle w:val="VerbatimChar"/>
        </w:rPr>
        <w:t xml:space="preserve">## weights: spdep::nb2listw(nb_con_nonzero)    </w:t>
      </w:r>
      <w:r>
        <w:br/>
      </w:r>
      <w:r>
        <w:rPr>
          <w:rStyle w:val="VerbatimChar"/>
        </w:rPr>
        <w:t xml:space="preserve">## </w:t>
      </w:r>
      <w:r>
        <w:br/>
      </w:r>
      <w:r>
        <w:rPr>
          <w:rStyle w:val="VerbatimChar"/>
        </w:rPr>
        <w:t xml:space="preserve">## Moran I statistic standard deviate = 5.9589, p-value = 1.269e-09</w:t>
      </w:r>
      <w:r>
        <w:br/>
      </w:r>
      <w:r>
        <w:rPr>
          <w:rStyle w:val="VerbatimChar"/>
        </w:rPr>
        <w:t xml:space="preserve">## alternative hypothesis: greater</w:t>
      </w:r>
      <w:r>
        <w:br/>
      </w:r>
      <w:r>
        <w:rPr>
          <w:rStyle w:val="VerbatimChar"/>
        </w:rPr>
        <w:t xml:space="preserve">## sample estimates:</w:t>
      </w:r>
      <w:r>
        <w:br/>
      </w:r>
      <w:r>
        <w:rPr>
          <w:rStyle w:val="VerbatimChar"/>
        </w:rPr>
        <w:t xml:space="preserve">## Moran I statistic       Expectation          Variance </w:t>
      </w:r>
      <w:r>
        <w:br/>
      </w:r>
      <w:r>
        <w:rPr>
          <w:rStyle w:val="VerbatimChar"/>
        </w:rPr>
        <w:t xml:space="preserve">##       0.316941893      -0.005813953       0.002933655</w:t>
      </w:r>
    </w:p>
    <w:p>
      <w:pPr>
        <w:pStyle w:val="SourceCode"/>
      </w:pPr>
      <w:r>
        <w:rPr>
          <w:rStyle w:val="NormalTok"/>
        </w:rPr>
        <w:t xml:space="preserve">spdep</w:t>
      </w:r>
      <w:r>
        <w:rPr>
          <w:rStyle w:val="SpecialCharTok"/>
        </w:rPr>
        <w:t xml:space="preserve">::</w:t>
      </w:r>
      <w:r>
        <w:rPr>
          <w:rStyle w:val="FunctionTok"/>
        </w:rPr>
        <w:t xml:space="preserve">geary.test</w:t>
      </w:r>
      <w:r>
        <w:rPr>
          <w:rStyle w:val="NormalTok"/>
        </w:rPr>
        <w:t xml:space="preserve">(resids_glm_th[nonzero_con],</w:t>
      </w:r>
      <w:r>
        <w:br/>
      </w:r>
      <w:r>
        <w:rPr>
          <w:rStyle w:val="NormalTok"/>
        </w:rPr>
        <w:t xml:space="preserve">                  </w:t>
      </w:r>
      <w:r>
        <w:rPr>
          <w:rStyle w:val="AttributeTok"/>
        </w:rPr>
        <w:t xml:space="preserve">listw =</w:t>
      </w:r>
      <w:r>
        <w:rPr>
          <w:rStyle w:val="NormalTok"/>
        </w:rPr>
        <w:t xml:space="preserve"> spdep</w:t>
      </w:r>
      <w:r>
        <w:rPr>
          <w:rStyle w:val="SpecialCharTok"/>
        </w:rPr>
        <w:t xml:space="preserve">::</w:t>
      </w:r>
      <w:r>
        <w:rPr>
          <w:rStyle w:val="FunctionTok"/>
        </w:rPr>
        <w:t xml:space="preserve">nb2listw</w:t>
      </w:r>
      <w:r>
        <w:rPr>
          <w:rStyle w:val="NormalTok"/>
        </w:rPr>
        <w:t xml:space="preserve">(nb_con_nonzero))</w:t>
      </w:r>
    </w:p>
    <w:p>
      <w:pPr>
        <w:pStyle w:val="SourceCode"/>
      </w:pPr>
      <w:r>
        <w:rPr>
          <w:rStyle w:val="VerbatimChar"/>
        </w:rPr>
        <w:t xml:space="preserve">## </w:t>
      </w:r>
      <w:r>
        <w:br/>
      </w:r>
      <w:r>
        <w:rPr>
          <w:rStyle w:val="VerbatimChar"/>
        </w:rPr>
        <w:t xml:space="preserve">##  Geary C test under randomisation</w:t>
      </w:r>
      <w:r>
        <w:br/>
      </w:r>
      <w:r>
        <w:rPr>
          <w:rStyle w:val="VerbatimChar"/>
        </w:rPr>
        <w:t xml:space="preserve">## </w:t>
      </w:r>
      <w:r>
        <w:br/>
      </w:r>
      <w:r>
        <w:rPr>
          <w:rStyle w:val="VerbatimChar"/>
        </w:rPr>
        <w:t xml:space="preserve">## data:  resids_glm_th[nonzero_con] </w:t>
      </w:r>
      <w:r>
        <w:br/>
      </w:r>
      <w:r>
        <w:rPr>
          <w:rStyle w:val="VerbatimChar"/>
        </w:rPr>
        <w:t xml:space="preserve">## weights: spdep::nb2listw(nb_con_nonzero)   </w:t>
      </w:r>
      <w:r>
        <w:br/>
      </w:r>
      <w:r>
        <w:rPr>
          <w:rStyle w:val="VerbatimChar"/>
        </w:rPr>
        <w:t xml:space="preserve">## </w:t>
      </w:r>
      <w:r>
        <w:br/>
      </w:r>
      <w:r>
        <w:rPr>
          <w:rStyle w:val="VerbatimChar"/>
        </w:rPr>
        <w:t xml:space="preserve">## Geary C statistic standard deviate = 4.3576, p-value = 6.576e-06</w:t>
      </w:r>
      <w:r>
        <w:br/>
      </w:r>
      <w:r>
        <w:rPr>
          <w:rStyle w:val="VerbatimChar"/>
        </w:rPr>
        <w:t xml:space="preserve">## alternative hypothesis: Expectation greater than statistic</w:t>
      </w:r>
      <w:r>
        <w:br/>
      </w:r>
      <w:r>
        <w:rPr>
          <w:rStyle w:val="VerbatimChar"/>
        </w:rPr>
        <w:t xml:space="preserve">## sample estimates:</w:t>
      </w:r>
      <w:r>
        <w:br/>
      </w:r>
      <w:r>
        <w:rPr>
          <w:rStyle w:val="VerbatimChar"/>
        </w:rPr>
        <w:t xml:space="preserve">## Geary C statistic       Expectation          Variance </w:t>
      </w:r>
      <w:r>
        <w:br/>
      </w:r>
      <w:r>
        <w:rPr>
          <w:rStyle w:val="VerbatimChar"/>
        </w:rPr>
        <w:t xml:space="preserve">##       0.731735532       1.000000000       0.003789984</w:t>
      </w:r>
    </w:p>
    <w:p>
      <w:pPr>
        <w:pStyle w:val="FirstParagraph"/>
      </w:pPr>
      <w:r>
        <w:t xml:space="preserve">In both cases, we find evidence for spatial autocorrelation. However, we must stress out this result does not refer to all the regional territory, but only to a subset of all municipalities (</w:t>
      </w:r>
      <m:oMath>
        <m:r>
          <m:t>173</m:t>
        </m:r>
      </m:oMath>
      <w:r>
        <w:t xml:space="preserve"> </w:t>
      </w:r>
      <w:r>
        <w:t xml:space="preserve">over</w:t>
      </w:r>
      <w:r>
        <w:t xml:space="preserve"> </w:t>
      </w:r>
      <m:oMath>
        <m:r>
          <m:t>257</m:t>
        </m:r>
      </m:oMath>
      <w:r>
        <w:t xml:space="preserve">)</w:t>
      </w:r>
    </w:p>
    <w:p>
      <w:pPr>
        <w:pStyle w:val="BodyText"/>
      </w:pPr>
      <w:r>
        <w:t xml:space="preserve">Based on the autocorrelation evidence, though it has only been assessed for a subset of all municipalities, we try implementing some simple spatial models by adding a conditionally autoregressive latent effect, say</w:t>
      </w:r>
      <w:r>
        <w:t xml:space="preserve"> </w:t>
      </w:r>
      <m:oMath>
        <m:r>
          <m:t>z</m:t>
        </m:r>
      </m:oMath>
      <w:r>
        <w:t xml:space="preserve">, to the linear predictor</w:t>
      </w:r>
    </w:p>
    <w:p>
      <w:pPr>
        <w:pStyle w:val="BodyText"/>
      </w:pPr>
    </w:p>
    <w:p>
      <w:pPr>
        <w:pStyle w:val="BodyText"/>
      </w:pPr>
      <w:r>
        <w:t xml:space="preserve">We test a total of four models, all of which have a prior distribution depending on the spatial structure of the underlying graph, in this case the Apulia region.</w:t>
      </w:r>
    </w:p>
    <w:p>
      <w:pPr>
        <w:pStyle w:val="BodyText"/>
      </w:pPr>
      <w:r>
        <w:t xml:space="preserve">We describe the spatial structure starting from municipality neighbourhood, and introduce the neighbourhood matrix</w:t>
      </w:r>
      <w:r>
        <w:t xml:space="preserve"> </w:t>
      </w:r>
      <m:oMath>
        <m:r>
          <m:t>W</m:t>
        </m:r>
      </m:oMath>
      <w:r>
        <w:t xml:space="preserve">, whose generic element</w:t>
      </w:r>
      <w:r>
        <w:t xml:space="preserve"> </w:t>
      </w:r>
      <m:oMath>
        <m:sSub>
          <m:e>
            <m:r>
              <m:t>w</m:t>
            </m:r>
          </m:e>
          <m:sub>
            <m:r>
              <m:t>i</m:t>
            </m:r>
            <m:r>
              <m:t>j</m:t>
            </m:r>
          </m:sub>
        </m:sSub>
      </m:oMath>
      <w:r>
        <w:t xml:space="preserve"> </w:t>
      </w:r>
      <w:r>
        <w:t xml:space="preserve">takes value</w:t>
      </w:r>
      <w:r>
        <w:t xml:space="preserve"> </w:t>
      </w:r>
      <m:oMath>
        <m:r>
          <m:t>1</m:t>
        </m:r>
      </m:oMath>
      <w:r>
        <w:t xml:space="preserve"> </w:t>
      </w:r>
      <w:r>
        <w:t xml:space="preserve">if municipalities</w:t>
      </w:r>
      <w:r>
        <w:t xml:space="preserve"> </w:t>
      </w:r>
      <m:oMath>
        <m:r>
          <m:t>i</m:t>
        </m:r>
      </m:oMath>
      <w:r>
        <w:t xml:space="preserve"> </w:t>
      </w:r>
      <w:r>
        <w:t xml:space="preserve">and</w:t>
      </w:r>
      <w:r>
        <w:t xml:space="preserve"> </w:t>
      </w:r>
      <m:oMath>
        <m:r>
          <m:t>j</m:t>
        </m:r>
      </m:oMath>
      <w:r>
        <w:t xml:space="preserve"> </w:t>
      </w:r>
      <w:r>
        <w:t xml:space="preserve">are neighbours and</w:t>
      </w:r>
      <w:r>
        <w:t xml:space="preserve"> </w:t>
      </w:r>
      <m:oMath>
        <m:r>
          <m:t>0</m:t>
        </m:r>
      </m:oMath>
      <w:r>
        <w:t xml:space="preserve"> </w:t>
      </w:r>
      <w:r>
        <w:t xml:space="preserve">otherwise. For each</w:t>
      </w:r>
      <w:r>
        <w:t xml:space="preserve"> </w:t>
      </w:r>
      <m:oMath>
        <m:r>
          <m:t>i</m:t>
        </m:r>
        <m:r>
          <m:rPr>
            <m:sty m:val="p"/>
          </m:rPr>
          <m:t>∈</m:t>
        </m:r>
        <m:d>
          <m:dPr>
            <m:begChr m:val="["/>
            <m:endChr m:val="]"/>
            <m:sepChr m:val=""/>
            <m:grow/>
          </m:dPr>
          <m:e>
            <m:r>
              <m:t>1</m:t>
            </m:r>
            <m:r>
              <m:rPr>
                <m:sty m:val="p"/>
              </m:rPr>
              <m:t>,</m:t>
            </m:r>
            <m:r>
              <m:t>n</m:t>
            </m:r>
          </m:e>
        </m:d>
      </m:oMath>
      <w:r>
        <w:t xml:space="preserve">,</w:t>
      </w:r>
      <w:r>
        <w:t xml:space="preserve"> </w:t>
      </w:r>
      <m:oMath>
        <m:sSub>
          <m:e>
            <m:r>
              <m:t>d</m:t>
            </m:r>
          </m:e>
          <m:sub>
            <m:r>
              <m:t>i</m:t>
            </m:r>
          </m:sub>
        </m:sSub>
        <m:box>
          <m:boxPr>
            <m:opEmu m:val="on"/>
          </m:boxPr>
          <m:e>
            <m:r>
              <m:rPr>
                <m:sty m:val="p"/>
              </m:rPr>
              <m:t>:=</m:t>
            </m:r>
          </m:e>
        </m:box>
        <m:nary>
          <m:naryPr>
            <m:chr m:val="∑"/>
            <m:limLoc m:val="undOvr"/>
            <m:subHide m:val="off"/>
            <m:supHide m:val="off"/>
          </m:naryPr>
          <m:sub>
            <m:r>
              <m:t>j</m:t>
            </m:r>
            <m:r>
              <m:rPr>
                <m:sty m:val="p"/>
              </m:rPr>
              <m:t>=</m:t>
            </m:r>
            <m:r>
              <m:t>1</m:t>
            </m:r>
          </m:sub>
          <m:sup>
            <m:r>
              <m:t>n</m:t>
            </m:r>
          </m:sup>
          <m:e>
            <m:sSub>
              <m:e>
                <m:r>
                  <m:t>w</m:t>
                </m:r>
              </m:e>
              <m:sub>
                <m:r>
                  <m:t>i</m:t>
                </m:r>
                <m:r>
                  <m:t>j</m:t>
                </m:r>
              </m:sub>
            </m:sSub>
          </m:e>
        </m:nary>
      </m:oMath>
      <w:r>
        <w:t xml:space="preserve"> </w:t>
      </w:r>
      <w:r>
        <w:t xml:space="preserve">is the number of neigbours of</w:t>
      </w:r>
      <w:r>
        <w:t xml:space="preserve"> </w:t>
      </w:r>
      <m:oMath>
        <m:r>
          <m:t>i</m:t>
        </m:r>
      </m:oMath>
      <w:r>
        <w:t xml:space="preserve">-th municipality. Plase notice we have have</w:t>
      </w:r>
      <w:r>
        <w:t xml:space="preserve"> </w:t>
      </w:r>
      <m:oMath>
        <m:r>
          <m:t>n</m:t>
        </m:r>
        <m:r>
          <m:rPr>
            <m:sty m:val="p"/>
          </m:rPr>
          <m:t>=</m:t>
        </m:r>
        <m:r>
          <m:t>256</m:t>
        </m:r>
      </m:oMath>
      <w:r>
        <w:t xml:space="preserve">.</w:t>
      </w:r>
    </w:p>
    <w:p>
      <w:pPr>
        <w:pStyle w:val="BodyText"/>
      </w:pPr>
      <w:r>
        <w:t xml:space="preserve">For all models, we define</w:t>
      </w:r>
      <w:r>
        <w:t xml:space="preserve"> </w:t>
      </w:r>
      <m:oMath>
        <m:sSup>
          <m:e>
            <m:r>
              <m:t>σ</m:t>
            </m:r>
          </m:e>
          <m:sup>
            <m:r>
              <m:t>2</m:t>
            </m:r>
          </m:sup>
        </m:sSup>
      </m:oMath>
      <w:r>
        <w:t xml:space="preserve"> </w:t>
      </w:r>
      <w:r>
        <w:t xml:space="preserve">as the scale parameter of the latent effect, and in order to avoid overfitting we set a PC-prior on it with rate parameter</w:t>
      </w:r>
      <w:r>
        <w:t xml:space="preserve"> </w:t>
      </w:r>
      <m:oMath>
        <m:r>
          <m:t>λ</m:t>
        </m:r>
        <m:r>
          <m:rPr>
            <m:sty m:val="p"/>
          </m:rPr>
          <m:t>=</m:t>
        </m:r>
        <m:r>
          <m:t>1.5</m:t>
        </m:r>
      </m:oMath>
      <w:r>
        <w:t xml:space="preserve">, such that</w:t>
      </w:r>
      <w:r>
        <w:t xml:space="preserve"> </w:t>
      </w:r>
      <m:oMath>
        <m:r>
          <m:rPr>
            <m:sty m:val="p"/>
          </m:rPr>
          <m:t>P</m:t>
        </m:r>
        <m:r>
          <m:rPr>
            <m:sty m:val="p"/>
          </m:rPr>
          <m:t>r</m:t>
        </m:r>
        <m:r>
          <m:rPr>
            <m:sty m:val="p"/>
          </m:rPr>
          <m:t>o</m:t>
        </m:r>
        <m:r>
          <m:rPr>
            <m:sty m:val="p"/>
          </m:rPr>
          <m:t>b</m:t>
        </m:r>
        <m:d>
          <m:dPr>
            <m:begChr m:val="("/>
            <m:endChr m:val=")"/>
            <m:sepChr m:val=""/>
            <m:grow/>
          </m:dPr>
          <m:e>
            <m:r>
              <m:t>σ</m:t>
            </m:r>
            <m:r>
              <m:rPr>
                <m:sty m:val="p"/>
              </m:rPr>
              <m:t>&gt;</m:t>
            </m:r>
            <m:r>
              <m:t>λ</m:t>
            </m:r>
          </m:e>
        </m:d>
        <m:r>
          <m:rPr>
            <m:sty m:val="p"/>
          </m:rPr>
          <m:t>=</m:t>
        </m:r>
        <m:r>
          <m:t>0.01</m:t>
        </m:r>
      </m:oMath>
    </w:p>
    <w:p>
      <w:pPr>
        <w:pStyle w:val="BodyText"/>
      </w:pPr>
      <w:r>
        <w:t xml:space="preserve">Spatial models are computed by approximating the marginal posteriors of interest via the Integrated Nested Laplace Approximation (INLA), adopting the novel Variational Bayes Approach</w:t>
      </w:r>
      <w:r>
        <w:t xml:space="preserve"> </w:t>
      </w:r>
      <w:r>
        <w:t xml:space="preserve">.</w:t>
      </w:r>
    </w:p>
    <w:bookmarkStart w:id="37" w:name="icar-model"/>
    <w:p>
      <w:pPr>
        <w:pStyle w:val="Heading4"/>
      </w:pPr>
      <w:r>
        <w:t xml:space="preserve">ICAR model</w:t>
      </w:r>
    </w:p>
    <w:p>
      <w:pPr>
        <w:pStyle w:val="FirstParagraph"/>
      </w:pPr>
      <w:r>
        <w:t xml:space="preserve">The Intrinsic CAR model is the simplest formulation among spatial autoregressive models. The conditional distribution of each value</w:t>
      </w:r>
      <w:r>
        <w:t xml:space="preserve"> </w:t>
      </w:r>
      <m:oMath>
        <m:sSub>
          <m:e>
            <m:r>
              <m:t>z</m:t>
            </m:r>
          </m:e>
          <m:sub>
            <m:r>
              <m:t>i</m:t>
            </m:r>
          </m:sub>
        </m:sSub>
        <m:r>
          <m:rPr>
            <m:sty m:val="p"/>
          </m:rPr>
          <m:t>∣</m:t>
        </m:r>
        <m:sSub>
          <m:e>
            <m:r>
              <m:t>z</m:t>
            </m:r>
          </m:e>
          <m:sub>
            <m:r>
              <m:rPr>
                <m:sty m:val="p"/>
              </m:rPr>
              <m:t>−</m:t>
            </m:r>
            <m:r>
              <m:t>i</m:t>
            </m:r>
          </m:sub>
        </m:sSub>
      </m:oMath>
      <w:r>
        <w:t xml:space="preserve"> </w:t>
      </w:r>
      <w:r>
        <w:t xml:space="preserve">is:</w:t>
      </w:r>
    </w:p>
    <w:p>
      <w:pPr>
        <w:pStyle w:val="BodyText"/>
      </w:pPr>
    </w:p>
    <w:p>
      <w:pPr>
        <w:pStyle w:val="BodyText"/>
      </w:pPr>
      <w:r>
        <w:t xml:space="preserve">Since the joint distribution of</w:t>
      </w:r>
      <w:r>
        <w:t xml:space="preserve"> </w:t>
      </w:r>
      <m:oMath>
        <m:r>
          <m:t>z</m:t>
        </m:r>
      </m:oMath>
      <w:r>
        <w:t xml:space="preserve"> </w:t>
      </w:r>
      <w:r>
        <w:t xml:space="preserve">is improper, a sum-to-zero constraint is required for identifiability.</w:t>
      </w:r>
    </w:p>
    <w:bookmarkEnd w:id="37"/>
    <w:bookmarkStart w:id="38" w:name="pcar-model"/>
    <w:p>
      <w:pPr>
        <w:pStyle w:val="Heading4"/>
      </w:pPr>
      <w:r>
        <w:t xml:space="preserve">PCAR model</w:t>
      </w:r>
    </w:p>
    <w:p>
      <w:pPr>
        <w:pStyle w:val="FirstParagraph"/>
      </w:pPr>
      <w:r>
        <w:t xml:space="preserve">The intrinsic autoregressive model is relatively simple to interpret and to implement,</w:t>
      </w:r>
      <w:r>
        <w:t xml:space="preserve"> </w:t>
      </w:r>
      <w:r>
        <w:t xml:space="preserve">while also requiring the minimum number of additional parameter (either the scale or the precision).</w:t>
      </w:r>
    </w:p>
    <w:p>
      <w:pPr>
        <w:pStyle w:val="BodyText"/>
      </w:pPr>
      <w:r>
        <w:t xml:space="preserve">The drawback, however, is that we implicitly assume a deterministic spatial autocorrelation coefficient equal to 1.</w:t>
      </w:r>
      <w:r>
        <w:t xml:space="preserve"> </w:t>
      </w:r>
      <w:r>
        <w:t xml:space="preserve">When the autocorrelation is weak, setting an ICAR prior may be a form of misspecification.</w:t>
      </w:r>
    </w:p>
    <w:p>
      <w:pPr>
        <w:pStyle w:val="BodyText"/>
      </w:pPr>
      <w:r>
        <w:t xml:space="preserve">A generalisation of this model is the PCAR (proper CAR), which introduces an autocorrelation parameter</w:t>
      </w:r>
      <w:r>
        <w:t xml:space="preserve"> </w:t>
      </w:r>
      <m:oMath>
        <m:r>
          <m:t>α</m:t>
        </m:r>
      </m:oMath>
      <w:r>
        <w:t xml:space="preserve">:</w:t>
      </w:r>
    </w:p>
    <w:p>
      <w:pPr>
        <w:pStyle w:val="BodyText"/>
      </w:pPr>
    </w:p>
    <w:p>
      <w:pPr>
        <w:pStyle w:val="BodyText"/>
      </w:pPr>
      <w:r>
        <w:t xml:space="preserve">The</w:t>
      </w:r>
      <w:r>
        <w:t xml:space="preserve"> </w:t>
      </w:r>
      <w:r>
        <w:rPr>
          <w:rStyle w:val="VerbatimChar"/>
        </w:rPr>
        <w:t xml:space="preserve">R</w:t>
      </w:r>
      <w:r>
        <w:t xml:space="preserve"> </w:t>
      </w:r>
      <w:r>
        <w:t xml:space="preserve">code to implement the PCAR model in</w:t>
      </w:r>
      <w:r>
        <w:t xml:space="preserve"> </w:t>
      </w:r>
      <w:r>
        <w:rPr>
          <w:rStyle w:val="VerbatimChar"/>
        </w:rPr>
        <w:t xml:space="preserve">R-INLA</w:t>
      </w:r>
      <w:r>
        <w:t xml:space="preserve"> </w:t>
      </w:r>
      <w:r>
        <w:t xml:space="preserve">is in Appendix.</w:t>
      </w:r>
    </w:p>
    <w:p>
      <w:pPr>
        <w:pStyle w:val="BodyText"/>
      </w:pPr>
      <w:r>
        <w:t xml:space="preserve">We show the posterior summary for the autocorrelation coefficient.</w:t>
      </w:r>
    </w:p>
    <w:p>
      <w:pPr>
        <w:pStyle w:val="SourceCode"/>
      </w:pPr>
      <w:r>
        <w:rPr>
          <w:rStyle w:val="VerbatimChar"/>
        </w:rPr>
        <w:t xml:space="preserve">## Mean            0.812698 </w:t>
      </w:r>
      <w:r>
        <w:br/>
      </w:r>
      <w:r>
        <w:rPr>
          <w:rStyle w:val="VerbatimChar"/>
        </w:rPr>
        <w:t xml:space="preserve">## Stdev           0.137317 </w:t>
      </w:r>
      <w:r>
        <w:br/>
      </w:r>
      <w:r>
        <w:rPr>
          <w:rStyle w:val="VerbatimChar"/>
        </w:rPr>
        <w:t xml:space="preserve">## Quantile  0.025 0.456104 </w:t>
      </w:r>
      <w:r>
        <w:br/>
      </w:r>
      <w:r>
        <w:rPr>
          <w:rStyle w:val="VerbatimChar"/>
        </w:rPr>
        <w:t xml:space="preserve">## Quantile  0.25  0.744349 </w:t>
      </w:r>
      <w:r>
        <w:br/>
      </w:r>
      <w:r>
        <w:rPr>
          <w:rStyle w:val="VerbatimChar"/>
        </w:rPr>
        <w:t xml:space="preserve">## Quantile  0.5   0.849084 </w:t>
      </w:r>
      <w:r>
        <w:br/>
      </w:r>
      <w:r>
        <w:rPr>
          <w:rStyle w:val="VerbatimChar"/>
        </w:rPr>
        <w:t xml:space="preserve">## Quantile  0.75  0.916071 </w:t>
      </w:r>
      <w:r>
        <w:br/>
      </w:r>
      <w:r>
        <w:rPr>
          <w:rStyle w:val="VerbatimChar"/>
        </w:rPr>
        <w:t xml:space="preserve">## Quantile  0.975 0.974667</w:t>
      </w:r>
    </w:p>
    <w:bookmarkEnd w:id="38"/>
    <w:bookmarkStart w:id="39" w:name="bym-model"/>
    <w:p>
      <w:pPr>
        <w:pStyle w:val="Heading4"/>
      </w:pPr>
      <w:r>
        <w:t xml:space="preserve">BYM model</w:t>
      </w:r>
    </w:p>
    <w:p>
      <w:pPr>
        <w:pStyle w:val="FirstParagraph"/>
      </w:pPr>
      <w:r>
        <w:t xml:space="preserve">Perhaps, our data are generated by a process dominated from noise. We can thus try a different path: the BYM model. On a preliminary stance, we keep trusting in the accuracy of the Laplace approximation and stick to INLA. On a later stage, it would be more rigorous to compare INLA results to the posteriors of a model estimated with MCMC.</w:t>
      </w:r>
    </w:p>
    <w:p>
      <w:pPr>
        <w:pStyle w:val="BodyText"/>
      </w:pPr>
      <w:r>
        <w:t xml:space="preserve">The BYM model we employ follows the parametrisation of</w:t>
      </w:r>
      <w:r>
        <w:t xml:space="preserve"> </w:t>
      </w:r>
      <w:r>
        <w:t xml:space="preserve">(Riebler et al. 2016)</w:t>
      </w:r>
      <w:r>
        <w:t xml:space="preserve">:</w:t>
      </w:r>
    </w:p>
    <w:p>
      <w:pPr>
        <w:pStyle w:val="BodyText"/>
      </w:pPr>
    </w:p>
    <w:p>
      <w:pPr>
        <w:pStyle w:val="BodyText"/>
      </w:pPr>
      <w:r>
        <w:t xml:space="preserve">where</w:t>
      </w:r>
      <w:r>
        <w:t xml:space="preserve"> </w:t>
      </w:r>
      <m:oMath>
        <m:r>
          <m:t>u</m:t>
        </m:r>
      </m:oMath>
      <w:r>
        <w:t xml:space="preserve"> </w:t>
      </w:r>
      <w:r>
        <w:t xml:space="preserve">is an ICAR field,</w:t>
      </w:r>
      <w:r>
        <w:t xml:space="preserve"> </w:t>
      </w:r>
      <m:oMath>
        <m:r>
          <m:t>v</m:t>
        </m:r>
      </m:oMath>
      <w:r>
        <w:t xml:space="preserve"> </w:t>
      </w:r>
      <w:r>
        <w:t xml:space="preserve">is an IID standard Gaussian white noise i.e. </w:t>
      </w:r>
      <m:oMath>
        <m:r>
          <m:t>v</m:t>
        </m:r>
        <m:r>
          <m:rPr>
            <m:sty m:val="p"/>
          </m:rPr>
          <m:t>∼</m:t>
        </m:r>
        <m:r>
          <m:t>N</m:t>
        </m:r>
        <m:d>
          <m:dPr>
            <m:begChr m:val="("/>
            <m:endChr m:val=")"/>
            <m:sepChr m:val=""/>
            <m:grow/>
          </m:dPr>
          <m:e>
            <m:r>
              <m:t>0</m:t>
            </m:r>
            <m:r>
              <m:rPr>
                <m:sty m:val="p"/>
              </m:rPr>
              <m:t>,</m:t>
            </m:r>
            <m:r>
              <m:t>I</m:t>
            </m:r>
          </m:e>
        </m:d>
      </m:oMath>
      <w:r>
        <w:t xml:space="preserve">, and</w:t>
      </w:r>
      <w:r>
        <w:t xml:space="preserve"> </w:t>
      </w:r>
      <m:oMath>
        <m:r>
          <m:t>ϕ</m:t>
        </m:r>
      </m:oMath>
      <w:r>
        <w:t xml:space="preserve"> </w:t>
      </w:r>
      <w:r>
        <w:t xml:space="preserve">is a mixing parameter</w:t>
      </w:r>
      <w:r>
        <w:t xml:space="preserve"> </w:t>
      </w:r>
      <m:oMath>
        <m:r>
          <m:rPr>
            <m:sty m:val="p"/>
          </m:rPr>
          <m:t>∈</m:t>
        </m:r>
        <m:d>
          <m:dPr>
            <m:begChr m:val="["/>
            <m:endChr m:val="]"/>
            <m:sepChr m:val=""/>
            <m:grow/>
          </m:dPr>
          <m:e>
            <m:r>
              <m:t>0</m:t>
            </m:r>
            <m:r>
              <m:rPr>
                <m:sty m:val="p"/>
              </m:rPr>
              <m:t>,</m:t>
            </m:r>
            <m:r>
              <m:t>1</m:t>
            </m:r>
          </m:e>
        </m:d>
      </m:oMath>
      <w:r>
        <w:t xml:space="preserve">.</w:t>
      </w:r>
    </w:p>
    <w:bookmarkEnd w:id="39"/>
    <w:bookmarkStart w:id="40" w:name="leroux-model"/>
    <w:p>
      <w:pPr>
        <w:pStyle w:val="Heading4"/>
      </w:pPr>
      <w:r>
        <w:t xml:space="preserve">Leroux model</w:t>
      </w:r>
    </w:p>
    <w:p>
      <w:pPr>
        <w:pStyle w:val="FirstParagraph"/>
      </w:pPr>
      <w:r>
        <w:t xml:space="preserve">As an alternative to take into account both structured and unstructured latent effects, we also test the Leroux autoregressive model</w:t>
      </w:r>
      <w:r>
        <w:t xml:space="preserve"> </w:t>
      </w:r>
      <w:r>
        <w:t xml:space="preserve">(Leroux, Lei, and Breslow 2000)</w:t>
      </w:r>
      <w:r>
        <w:t xml:space="preserve">. In this case, the local prior for</w:t>
      </w:r>
      <w:r>
        <w:t xml:space="preserve"> </w:t>
      </w:r>
      <m:oMath>
        <m:sSub>
          <m:e>
            <m:r>
              <m:t>z</m:t>
            </m:r>
          </m:e>
          <m:sub>
            <m:r>
              <m:t>i</m:t>
            </m:r>
          </m:sub>
        </m:sSub>
      </m:oMath>
      <w:r>
        <w:t xml:space="preserve"> </w:t>
      </w:r>
      <w:r>
        <w:t xml:space="preserve">is</w:t>
      </w:r>
    </w:p>
    <w:p>
      <w:pPr>
        <w:pStyle w:val="BodyText"/>
      </w:pPr>
    </w:p>
    <w:p>
      <w:pPr>
        <w:pStyle w:val="BodyText"/>
      </w:pPr>
      <w:r>
        <w:t xml:space="preserve">Where</w:t>
      </w:r>
      <w:r>
        <w:t xml:space="preserve"> </w:t>
      </w:r>
      <m:oMath>
        <m:r>
          <m:t>ξ</m:t>
        </m:r>
        <m:r>
          <m:rPr>
            <m:sty m:val="p"/>
          </m:rPr>
          <m:t>∈</m:t>
        </m:r>
        <m:d>
          <m:dPr>
            <m:begChr m:val="["/>
            <m:endChr m:val="]"/>
            <m:sepChr m:val=""/>
            <m:grow/>
          </m:dPr>
          <m:e>
            <m:r>
              <m:t>0</m:t>
            </m:r>
            <m:r>
              <m:rPr>
                <m:sty m:val="p"/>
              </m:rPr>
              <m:t>,</m:t>
            </m:r>
            <m:r>
              <m:t>1</m:t>
            </m:r>
          </m:e>
        </m:d>
      </m:oMath>
      <w:r>
        <w:t xml:space="preserve"> </w:t>
      </w:r>
      <w:r>
        <w:t xml:space="preserve">is the mixing parameter. A more interesting representation of the Leroux model is the joint prior</w:t>
      </w:r>
    </w:p>
    <w:p>
      <w:pPr>
        <w:pStyle w:val="BodyText"/>
      </w:pPr>
      <m:oMathPara>
        <m:oMathParaPr>
          <m:jc m:val="center"/>
        </m:oMathParaPr>
        <m:oMath>
          <m:r>
            <m:t>z</m:t>
          </m:r>
          <m:r>
            <m:rPr>
              <m:sty m:val="p"/>
            </m:rPr>
            <m:t>∣</m:t>
          </m:r>
          <m:sSup>
            <m:e>
              <m:r>
                <m:t>σ</m:t>
              </m:r>
            </m:e>
            <m:sup>
              <m:r>
                <m:t>2</m:t>
              </m:r>
            </m:sup>
          </m:sSup>
          <m:r>
            <m:rPr>
              <m:sty m:val="p"/>
            </m:rPr>
            <m:t>,</m:t>
          </m:r>
          <m:r>
            <m:t>ξ</m:t>
          </m:r>
          <m:r>
            <m:rPr>
              <m:sty m:val="p"/>
            </m:rPr>
            <m:t>∼</m:t>
          </m:r>
          <m:r>
            <m:t>N</m:t>
          </m:r>
          <m:d>
            <m:dPr>
              <m:begChr m:val="("/>
              <m:endChr m:val=")"/>
              <m:sepChr m:val=""/>
              <m:grow/>
            </m:dPr>
            <m:e>
              <m:r>
                <m:t>0</m:t>
              </m:r>
              <m:r>
                <m:rPr>
                  <m:sty m:val="p"/>
                </m:rPr>
                <m:t>,</m:t>
              </m:r>
              <m:sSup>
                <m:e>
                  <m:r>
                    <m:t>σ</m:t>
                  </m:r>
                </m:e>
                <m:sup>
                  <m:r>
                    <m:t>2</m:t>
                  </m:r>
                </m:sup>
              </m:sSup>
              <m:sSup>
                <m:e>
                  <m:d>
                    <m:dPr>
                      <m:begChr m:val="["/>
                      <m:endChr m:val="]"/>
                      <m:sepChr m:val=""/>
                      <m:grow/>
                    </m:dPr>
                    <m:e>
                      <m:r>
                        <m:t>ξ</m:t>
                      </m:r>
                      <m:r>
                        <m:t>R</m:t>
                      </m:r>
                      <m:r>
                        <m:rPr>
                          <m:sty m:val="p"/>
                        </m:rPr>
                        <m:t>+</m:t>
                      </m:r>
                      <m:d>
                        <m:dPr>
                          <m:begChr m:val="("/>
                          <m:endChr m:val=")"/>
                          <m:sepChr m:val=""/>
                          <m:grow/>
                        </m:dPr>
                        <m:e>
                          <m:r>
                            <m:t>1</m:t>
                          </m:r>
                          <m:r>
                            <m:rPr>
                              <m:sty m:val="p"/>
                            </m:rPr>
                            <m:t>−</m:t>
                          </m:r>
                          <m:r>
                            <m:t>ξ</m:t>
                          </m:r>
                        </m:e>
                      </m:d>
                      <m:r>
                        <m:t>I</m:t>
                      </m:r>
                    </m:e>
                  </m:d>
                </m:e>
                <m:sup>
                  <m:r>
                    <m:rPr>
                      <m:sty m:val="p"/>
                    </m:rPr>
                    <m:t>−</m:t>
                  </m:r>
                  <m:r>
                    <m:t>1</m:t>
                  </m:r>
                </m:sup>
              </m:sSup>
            </m:e>
          </m:d>
        </m:oMath>
      </m:oMathPara>
    </w:p>
    <w:p>
      <w:pPr>
        <w:pStyle w:val="FirstParagraph"/>
      </w:pPr>
      <w:r>
        <w:t xml:space="preserve">where</w:t>
      </w:r>
      <w:r>
        <w:t xml:space="preserve"> </w:t>
      </w:r>
      <m:oMath>
        <m:r>
          <m:t>R</m:t>
        </m:r>
        <m:box>
          <m:boxPr>
            <m:opEmu m:val="on"/>
          </m:boxPr>
          <m:e>
            <m:r>
              <m:rPr>
                <m:sty m:val="p"/>
              </m:rPr>
              <m:t>:=</m:t>
            </m:r>
          </m:e>
        </m:box>
        <m:r>
          <m:t>D</m:t>
        </m:r>
        <m:r>
          <m:rPr>
            <m:sty m:val="p"/>
          </m:rPr>
          <m:t>−</m:t>
        </m:r>
        <m:r>
          <m:t>W</m:t>
        </m:r>
      </m:oMath>
      <w:r>
        <w:t xml:space="preserve"> </w:t>
      </w:r>
      <w:r>
        <w:t xml:space="preserve">is the graph Laplacian matrix,</w:t>
      </w:r>
      <w:r>
        <w:t xml:space="preserve"> </w:t>
      </w:r>
      <m:oMath>
        <m:r>
          <m:t>W</m:t>
        </m:r>
      </m:oMath>
      <w:r>
        <w:t xml:space="preserve"> </w:t>
      </w:r>
      <w:r>
        <w:t xml:space="preserve">is the neighbourhood matrix and</w:t>
      </w:r>
      <w:r>
        <w:t xml:space="preserve"> </w:t>
      </w:r>
      <m:oMath>
        <m:r>
          <m:t>D</m:t>
        </m:r>
      </m:oMath>
      <w:r>
        <w:t xml:space="preserve"> </w:t>
      </w:r>
      <w:r>
        <w:t xml:space="preserve">is the corresponding degree matrix.</w:t>
      </w:r>
    </w:p>
    <w:bookmarkEnd w:id="40"/>
    <w:bookmarkStart w:id="41" w:name="comparison"/>
    <w:p>
      <w:pPr>
        <w:pStyle w:val="Heading4"/>
      </w:pPr>
      <w:r>
        <w:t xml:space="preserve">Comparison</w:t>
      </w:r>
    </w:p>
    <w:p>
      <w:pPr>
        <w:pStyle w:val="FirstParagraph"/>
      </w:pPr>
      <w:r>
        <w:t xml:space="preserve">We briefly compare these four through the WAIC</w:t>
      </w:r>
      <w:r>
        <w:t xml:space="preserve"> </w:t>
      </w:r>
      <w:r>
        <w:t xml:space="preserve">(Gelman, Hwang, and Vehtari 2014)</w:t>
      </w:r>
      <w:r>
        <w:t xml:space="preserve">:</w:t>
      </w:r>
    </w:p>
    <w:p>
      <w:pPr>
        <w:pStyle w:val="SourceCode"/>
      </w:pPr>
      <w:r>
        <w:rPr>
          <w:rStyle w:val="VerbatimChar"/>
        </w:rPr>
        <w:t xml:space="preserve">## # A tibble: 5 × 5</w:t>
      </w:r>
      <w:r>
        <w:br/>
      </w:r>
      <w:r>
        <w:rPr>
          <w:rStyle w:val="VerbatimChar"/>
        </w:rPr>
        <w:t xml:space="preserve">##   Model  WAIC_Poisson WAIC_ZIP Eff_params_Poisson Eff_params_ZIP</w:t>
      </w:r>
      <w:r>
        <w:br/>
      </w:r>
      <w:r>
        <w:rPr>
          <w:rStyle w:val="VerbatimChar"/>
        </w:rPr>
        <w:t xml:space="preserve">##   &lt;chr&gt;         &lt;dbl&gt;    &lt;dbl&gt;              &lt;dbl&gt;          &lt;dbl&gt;</w:t>
      </w:r>
      <w:r>
        <w:br/>
      </w:r>
      <w:r>
        <w:rPr>
          <w:rStyle w:val="VerbatimChar"/>
        </w:rPr>
        <w:t xml:space="preserve">## 1 Null          1098.    1047.               20.4           18.1</w:t>
      </w:r>
      <w:r>
        <w:br/>
      </w:r>
      <w:r>
        <w:rPr>
          <w:rStyle w:val="VerbatimChar"/>
        </w:rPr>
        <w:t xml:space="preserve">## 2 ICAR           951.     963.               74.7           66.4</w:t>
      </w:r>
      <w:r>
        <w:br/>
      </w:r>
      <w:r>
        <w:rPr>
          <w:rStyle w:val="VerbatimChar"/>
        </w:rPr>
        <w:t xml:space="preserve">## 3 PCAR           947.     953.               76.8           65.0</w:t>
      </w:r>
      <w:r>
        <w:br/>
      </w:r>
      <w:r>
        <w:rPr>
          <w:rStyle w:val="VerbatimChar"/>
        </w:rPr>
        <w:t xml:space="preserve">## 4 BYM            943.     953.               75.3           65.1</w:t>
      </w:r>
      <w:r>
        <w:br/>
      </w:r>
      <w:r>
        <w:rPr>
          <w:rStyle w:val="VerbatimChar"/>
        </w:rPr>
        <w:t xml:space="preserve">## 5 Leroux         945.     952.               75.6           64.0</w:t>
      </w:r>
    </w:p>
    <w:p>
      <w:pPr>
        <w:pStyle w:val="FirstParagraph"/>
      </w:pPr>
      <w:r>
        <w:t xml:space="preserve">As we can see, models taking into account random noise have a better performance.</w:t>
      </w:r>
    </w:p>
    <w:bookmarkEnd w:id="41"/>
    <w:bookmarkEnd w:id="42"/>
    <w:bookmarkStart w:id="49" w:name="model-results"/>
    <w:p>
      <w:pPr>
        <w:pStyle w:val="Heading2"/>
      </w:pPr>
      <w:r>
        <w:t xml:space="preserve">Model results</w:t>
      </w:r>
    </w:p>
    <w:p>
      <w:pPr>
        <w:pStyle w:val="FirstParagraph"/>
      </w:pPr>
      <w:r>
        <w:t xml:space="preserve">Here, posterior estimates of</w:t>
      </w:r>
      <w:r>
        <w:t xml:space="preserve"> </w:t>
      </w:r>
      <m:oMath>
        <m:r>
          <m:t>β</m:t>
        </m:r>
      </m:oMath>
      <w:r>
        <w:t xml:space="preserve"> </w:t>
      </w:r>
      <w:r>
        <w:t xml:space="preserve">under the BYM model are shown. We compare the results assuming both the Poisson and the ZIP likelihood:</w:t>
      </w:r>
    </w:p>
    <w:p>
      <w:pPr>
        <w:pStyle w:val="SourceCode"/>
      </w:pPr>
      <w:r>
        <w:rPr>
          <w:rStyle w:val="VerbatimChar"/>
        </w:rPr>
        <w:t xml:space="preserve">##      Variable Mean_Pois Mean_ZIP SD_Pois SD_ZIP q0.025_Pois q0.025_ZIP</w:t>
      </w:r>
      <w:r>
        <w:br/>
      </w:r>
      <w:r>
        <w:rPr>
          <w:rStyle w:val="VerbatimChar"/>
        </w:rPr>
        <w:t xml:space="preserve">## 1 (Intercept)    -7.628   -7.533   0.066  0.069      -7.760     -7.671</w:t>
      </w:r>
      <w:r>
        <w:br/>
      </w:r>
      <w:r>
        <w:rPr>
          <w:rStyle w:val="VerbatimChar"/>
        </w:rPr>
        <w:t xml:space="preserve">## 2   TEP_th_22    -0.399   -0.433   0.078  0.072      -0.553     -0.575</w:t>
      </w:r>
      <w:r>
        <w:br/>
      </w:r>
      <w:r>
        <w:rPr>
          <w:rStyle w:val="VerbatimChar"/>
        </w:rPr>
        <w:t xml:space="preserve">## 3         ELI    -0.024   -0.028   0.064  0.058      -0.149     -0.142</w:t>
      </w:r>
      <w:r>
        <w:br/>
      </w:r>
      <w:r>
        <w:rPr>
          <w:rStyle w:val="VerbatimChar"/>
        </w:rPr>
        <w:t xml:space="preserve">## 4         PGR     0.138    0.108   0.073  0.068      -0.005     -0.026</w:t>
      </w:r>
      <w:r>
        <w:br/>
      </w:r>
      <w:r>
        <w:rPr>
          <w:rStyle w:val="VerbatimChar"/>
        </w:rPr>
        <w:t xml:space="preserve">## 5         UIS    -0.093   -0.081   0.068  0.061      -0.225     -0.199</w:t>
      </w:r>
      <w:r>
        <w:br/>
      </w:r>
      <w:r>
        <w:rPr>
          <w:rStyle w:val="VerbatimChar"/>
        </w:rPr>
        <w:t xml:space="preserve">## 6         ELL    -0.255   -0.215   0.085  0.078      -0.423     -0.371</w:t>
      </w:r>
      <w:r>
        <w:br/>
      </w:r>
      <w:r>
        <w:rPr>
          <w:rStyle w:val="VerbatimChar"/>
        </w:rPr>
        <w:t xml:space="preserve">## 7         PDI     0.006   -0.012   0.081  0.076      -0.154     -0.161</w:t>
      </w:r>
      <w:r>
        <w:br/>
      </w:r>
      <w:r>
        <w:rPr>
          <w:rStyle w:val="VerbatimChar"/>
        </w:rPr>
        <w:t xml:space="preserve">## 8          ER    -0.199   -0.180   0.101  0.092      -0.401     -0.365</w:t>
      </w:r>
      <w:r>
        <w:br/>
      </w:r>
      <w:r>
        <w:rPr>
          <w:rStyle w:val="VerbatimChar"/>
        </w:rPr>
        <w:t xml:space="preserve">##   q0.975_Pois q0.975_ZIP</w:t>
      </w:r>
      <w:r>
        <w:br/>
      </w:r>
      <w:r>
        <w:rPr>
          <w:rStyle w:val="VerbatimChar"/>
        </w:rPr>
        <w:t xml:space="preserve">## 1      -7.500     -7.400</w:t>
      </w:r>
      <w:r>
        <w:br/>
      </w:r>
      <w:r>
        <w:rPr>
          <w:rStyle w:val="VerbatimChar"/>
        </w:rPr>
        <w:t xml:space="preserve">## 2      -0.245     -0.293</w:t>
      </w:r>
      <w:r>
        <w:br/>
      </w:r>
      <w:r>
        <w:rPr>
          <w:rStyle w:val="VerbatimChar"/>
        </w:rPr>
        <w:t xml:space="preserve">## 3       0.102      0.087</w:t>
      </w:r>
      <w:r>
        <w:br/>
      </w:r>
      <w:r>
        <w:rPr>
          <w:rStyle w:val="VerbatimChar"/>
        </w:rPr>
        <w:t xml:space="preserve">## 4       0.282      0.243</w:t>
      </w:r>
      <w:r>
        <w:br/>
      </w:r>
      <w:r>
        <w:rPr>
          <w:rStyle w:val="VerbatimChar"/>
        </w:rPr>
        <w:t xml:space="preserve">## 5       0.041      0.039</w:t>
      </w:r>
      <w:r>
        <w:br/>
      </w:r>
      <w:r>
        <w:rPr>
          <w:rStyle w:val="VerbatimChar"/>
        </w:rPr>
        <w:t xml:space="preserve">## 6      -0.090     -0.065</w:t>
      </w:r>
      <w:r>
        <w:br/>
      </w:r>
      <w:r>
        <w:rPr>
          <w:rStyle w:val="VerbatimChar"/>
        </w:rPr>
        <w:t xml:space="preserve">## 7       0.165      0.138</w:t>
      </w:r>
      <w:r>
        <w:br/>
      </w:r>
      <w:r>
        <w:rPr>
          <w:rStyle w:val="VerbatimChar"/>
        </w:rPr>
        <w:t xml:space="preserve">## 8      -0.003     -0.003</w:t>
      </w:r>
    </w:p>
    <w:p>
      <w:pPr>
        <w:pStyle w:val="FirstParagraph"/>
      </w:pPr>
      <w:r>
        <w:drawing>
          <wp:inline>
            <wp:extent cx="4620126" cy="3696101"/>
            <wp:effectExtent b="0" l="0" r="0" t="0"/>
            <wp:docPr descr="" title="" id="44" name="Picture"/>
            <a:graphic>
              <a:graphicData uri="http://schemas.openxmlformats.org/drawingml/2006/picture">
                <pic:pic>
                  <pic:nvPicPr>
                    <pic:cNvPr descr="index_files/figure-docx/plot%20beta-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Estimations of</w:t>
      </w:r>
      <w:r>
        <w:t xml:space="preserve"> </w:t>
      </w:r>
      <m:oMath>
        <m:r>
          <m:t>β</m:t>
        </m:r>
      </m:oMath>
      <w:r>
        <w:t xml:space="preserve"> </w:t>
      </w:r>
      <w:r>
        <w:t xml:space="preserve">differ from the nonspatial model. For all variables, credibility intervals are wider due to increased uncertainty.</w:t>
      </w:r>
    </w:p>
    <w:p>
      <w:pPr>
        <w:numPr>
          <w:ilvl w:val="0"/>
          <w:numId w:val="1004"/>
        </w:numPr>
      </w:pPr>
      <w:r>
        <w:rPr>
          <w:rStyle w:val="VerbatimChar"/>
        </w:rPr>
        <w:t xml:space="preserve">TEP_th_22</w:t>
      </w:r>
      <w:r>
        <w:t xml:space="preserve"> </w:t>
      </w:r>
      <w:r>
        <w:t xml:space="preserve">The effect of the distance from the closest support center remains similar in mean and the interpretation is not altered.</w:t>
      </w:r>
    </w:p>
    <w:p>
      <w:pPr>
        <w:numPr>
          <w:ilvl w:val="0"/>
          <w:numId w:val="1004"/>
        </w:numPr>
      </w:pPr>
      <w:r>
        <w:rPr>
          <w:rStyle w:val="VerbatimChar"/>
        </w:rPr>
        <w:t xml:space="preserve">ELI</w:t>
      </w:r>
      <w:r>
        <w:t xml:space="preserve">: The effect of the incidence of low-productivity economic units is shrunk in mean while its variability increases</w:t>
      </w:r>
    </w:p>
    <w:p>
      <w:pPr>
        <w:numPr>
          <w:ilvl w:val="0"/>
          <w:numId w:val="1004"/>
        </w:numPr>
      </w:pPr>
      <w:r>
        <w:rPr>
          <w:rStyle w:val="VerbatimChar"/>
        </w:rPr>
        <w:t xml:space="preserve">PGR</w:t>
      </w:r>
      <w:r>
        <w:t xml:space="preserve">: The association with population growth rate is still positive and significantly</w:t>
      </w:r>
      <w:r>
        <w:t xml:space="preserve"> </w:t>
      </w:r>
      <m:oMath>
        <m:r>
          <m:rPr>
            <m:sty m:val="p"/>
          </m:rPr>
          <m:t>≠</m:t>
        </m:r>
        <m:r>
          <m:t>0</m:t>
        </m:r>
      </m:oMath>
    </w:p>
    <w:p>
      <w:pPr>
        <w:numPr>
          <w:ilvl w:val="0"/>
          <w:numId w:val="1004"/>
        </w:numPr>
      </w:pPr>
      <w:r>
        <w:rPr>
          <w:rStyle w:val="VerbatimChar"/>
        </w:rPr>
        <w:t xml:space="preserve">UIS</w:t>
      </w:r>
      <w:r>
        <w:t xml:space="preserve">: The association with the density of productive units appears not significant, due to increased variability</w:t>
      </w:r>
    </w:p>
    <w:p>
      <w:pPr>
        <w:numPr>
          <w:ilvl w:val="0"/>
          <w:numId w:val="1004"/>
        </w:numPr>
      </w:pPr>
      <w:r>
        <w:rPr>
          <w:rStyle w:val="VerbatimChar"/>
        </w:rPr>
        <w:t xml:space="preserve">ELL</w:t>
      </w:r>
      <w:r>
        <w:t xml:space="preserve">: The association with the incidence of low education levels, instead, is doubled in mean. We interpret this result as a strong</w:t>
      </w:r>
      <w:r>
        <w:t xml:space="preserve"> </w:t>
      </w:r>
      <w:r>
        <w:rPr>
          <w:i/>
          <w:iCs/>
        </w:rPr>
        <w:t xml:space="preserve">potential</w:t>
      </w:r>
      <w:r>
        <w:t xml:space="preserve"> </w:t>
      </w:r>
      <w:r>
        <w:t xml:space="preserve">impact of education on the chance that gender violence is reported</w:t>
      </w:r>
    </w:p>
    <w:p>
      <w:pPr>
        <w:numPr>
          <w:ilvl w:val="0"/>
          <w:numId w:val="1004"/>
        </w:numPr>
      </w:pPr>
      <w:r>
        <w:rPr>
          <w:rStyle w:val="VerbatimChar"/>
        </w:rPr>
        <w:t xml:space="preserve">PDI</w:t>
      </w:r>
      <w:r>
        <w:t xml:space="preserve">: The effect of structural dependency index is utterly negligible</w:t>
      </w:r>
    </w:p>
    <w:p>
      <w:pPr>
        <w:numPr>
          <w:ilvl w:val="0"/>
          <w:numId w:val="1004"/>
        </w:numPr>
      </w:pPr>
      <w:r>
        <w:rPr>
          <w:rStyle w:val="VerbatimChar"/>
        </w:rPr>
        <w:t xml:space="preserve">ER</w:t>
      </w:r>
      <w:r>
        <w:t xml:space="preserve">: The effect associated with employment rate is more than doubled in mean with respect to the nonspatial model. How to interpret this finding? Employment rate is clearly an indicator of economic development, hence the easiest interpretation is that - as it was with</w:t>
      </w:r>
      <w:r>
        <w:t xml:space="preserve"> </w:t>
      </w:r>
      <w:r>
        <w:rPr>
          <w:rStyle w:val="VerbatimChar"/>
        </w:rPr>
        <w:t xml:space="preserve">ELI</w:t>
      </w:r>
      <w:r>
        <w:t xml:space="preserve"> </w:t>
      </w:r>
      <w:r>
        <w:t xml:space="preserve">under the nonspatial model - in more developed areas there is a higher chance that gender violence is reported.</w:t>
      </w:r>
    </w:p>
    <w:p>
      <w:pPr>
        <w:pStyle w:val="FirstParagraph"/>
      </w:pPr>
      <w:r>
        <w:t xml:space="preserve">Lastly, we take a look at model hyperparameters:</w:t>
      </w:r>
    </w:p>
    <w:p>
      <w:pPr>
        <w:pStyle w:val="SourceCode"/>
      </w:pPr>
      <w:r>
        <w:rPr>
          <w:rStyle w:val="VerbatimChar"/>
        </w:rPr>
        <w:t xml:space="preserve">## Warning: Use of .data in tidyselect expressions was deprecated in tidyselect 1.2.0.</w:t>
      </w:r>
      <w:r>
        <w:br/>
      </w:r>
      <w:r>
        <w:rPr>
          <w:rStyle w:val="VerbatimChar"/>
        </w:rPr>
        <w:t xml:space="preserve">## ℹ Please use `"Variable"` instead of `.data$Variable`</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Variable      mean X0.025quant X0.5quant X0.975quant</w:t>
      </w:r>
      <w:r>
        <w:br/>
      </w:r>
      <w:r>
        <w:rPr>
          <w:rStyle w:val="VerbatimChar"/>
        </w:rPr>
        <w:t xml:space="preserve">## 1  Z_VAR_Pois 0.4015677  0.19232453 0.3805012   0.7319212</w:t>
      </w:r>
      <w:r>
        <w:br/>
      </w:r>
      <w:r>
        <w:rPr>
          <w:rStyle w:val="VerbatimChar"/>
        </w:rPr>
        <w:t xml:space="preserve">## 2 Mixing_Pois 0.5622810  0.15598929 0.5767496   0.9027436</w:t>
      </w:r>
      <w:r>
        <w:br/>
      </w:r>
      <w:r>
        <w:rPr>
          <w:rStyle w:val="VerbatimChar"/>
        </w:rPr>
        <w:t xml:space="preserve">## 3   Z_VAR_ZIP 2.2129098  1.10383840 1.7266560   6.3039328</w:t>
      </w:r>
      <w:r>
        <w:br/>
      </w:r>
      <w:r>
        <w:rPr>
          <w:rStyle w:val="VerbatimChar"/>
        </w:rPr>
        <w:t xml:space="preserve">## 4   Zero_Prob 0.0465307  0.01001952 0.0399863   0.1197553</w:t>
      </w:r>
      <w:r>
        <w:br/>
      </w:r>
      <w:r>
        <w:rPr>
          <w:rStyle w:val="VerbatimChar"/>
        </w:rPr>
        <w:t xml:space="preserve">## 5  Mixing_ZIP 0.3732839  0.01267082 0.3171261   0.9237414</w:t>
      </w:r>
    </w:p>
    <w:p>
      <w:pPr>
        <w:pStyle w:val="FirstParagraph"/>
      </w:pPr>
      <w:r>
        <w:t xml:space="preserve">Even though the value of the zero-inflation parameter is low, we can see deep differences in the structure of the latent effects: the precision parameter median of the ZIP model is almost double than under the Poisson model, while the mixing parameter is shrunk.</w:t>
      </w:r>
    </w:p>
    <w:p>
      <w:pPr>
        <w:pStyle w:val="BodyText"/>
      </w:pPr>
      <w:r>
        <w:t xml:space="preserve">For completeness, we show the hyperparameters posterior summary also for the Leroux model. The mixing parameter is not directly comparable. Neither does the precision parameter, since only under intrinsic models can the Laplacian matrix be scaled</w:t>
      </w:r>
      <w:r>
        <w:t xml:space="preserve"> </w:t>
      </w:r>
      <w:r>
        <w:rPr>
          <w:i/>
          <w:iCs/>
        </w:rPr>
        <w:t xml:space="preserve">a priori</w:t>
      </w:r>
      <w:r>
        <w:t xml:space="preserve">. That being said, we see the difference between the two likelihoods is analogous.</w:t>
      </w:r>
    </w:p>
    <w:p>
      <w:pPr>
        <w:pStyle w:val="SourceCode"/>
      </w:pPr>
      <w:r>
        <w:rPr>
          <w:rStyle w:val="VerbatimChar"/>
        </w:rPr>
        <w:t xml:space="preserve">##      Variable       mean X0.025quant  X0.5quant X0.975quant</w:t>
      </w:r>
      <w:r>
        <w:br/>
      </w:r>
      <w:r>
        <w:rPr>
          <w:rStyle w:val="VerbatimChar"/>
        </w:rPr>
        <w:t xml:space="preserve">## 1  Z_VAR_Pois 0.67625004  0.35695467 0.64713555   1.1614490</w:t>
      </w:r>
      <w:r>
        <w:br/>
      </w:r>
      <w:r>
        <w:rPr>
          <w:rStyle w:val="VerbatimChar"/>
        </w:rPr>
        <w:t xml:space="preserve">## 2 Mixing_Pois 0.51379013  0.14101467 0.51579437   0.8768433</w:t>
      </w:r>
      <w:r>
        <w:br/>
      </w:r>
      <w:r>
        <w:rPr>
          <w:rStyle w:val="VerbatimChar"/>
        </w:rPr>
        <w:t xml:space="preserve">## 3   Z_VAR_ZIP 2.46138228  1.13718100 1.93409675   6.9909591</w:t>
      </w:r>
      <w:r>
        <w:br/>
      </w:r>
      <w:r>
        <w:rPr>
          <w:rStyle w:val="VerbatimChar"/>
        </w:rPr>
        <w:t xml:space="preserve">## 4   Zero_Prob 0.04667846  0.01335169 0.04224466   0.1045616</w:t>
      </w:r>
      <w:r>
        <w:br/>
      </w:r>
      <w:r>
        <w:rPr>
          <w:rStyle w:val="VerbatimChar"/>
        </w:rPr>
        <w:t xml:space="preserve">## 5  Mixing_ZIP 0.40876712  0.07886457 0.38970047   0.8262556</w:t>
      </w:r>
    </w:p>
    <w:p>
      <w:pPr>
        <w:pStyle w:val="FirstParagraph"/>
      </w:pPr>
      <w:r>
        <w:t xml:space="preserve">It is, however, worth noticing how INLA manages to meet the regularity conditions to approximate the CPO more often than in the non-inflated model. Still, CPO must be re-computed manually before employing it as an evaluation metrics:</w:t>
      </w:r>
    </w:p>
    <w:p>
      <w:pPr>
        <w:pStyle w:val="SourceCode"/>
      </w:pPr>
      <w:r>
        <w:rPr>
          <w:rStyle w:val="FunctionTok"/>
        </w:rPr>
        <w:t xml:space="preserve">sum</w:t>
      </w:r>
      <w:r>
        <w:rPr>
          <w:rStyle w:val="NormalTok"/>
        </w:rPr>
        <w:t xml:space="preserve">(cav_bym_INLA</w:t>
      </w:r>
      <w:r>
        <w:rPr>
          <w:rStyle w:val="SpecialCharTok"/>
        </w:rPr>
        <w:t xml:space="preserve">$</w:t>
      </w:r>
      <w:r>
        <w:rPr>
          <w:rStyle w:val="NormalTok"/>
        </w:rPr>
        <w:t xml:space="preserve">cpo</w:t>
      </w:r>
      <w:r>
        <w:rPr>
          <w:rStyle w:val="SpecialCharTok"/>
        </w:rPr>
        <w:t xml:space="preserve">$</w:t>
      </w:r>
      <w:r>
        <w:rPr>
          <w:rStyle w:val="NormalTok"/>
        </w:rPr>
        <w:t xml:space="preserve">failure)</w:t>
      </w:r>
    </w:p>
    <w:p>
      <w:pPr>
        <w:pStyle w:val="SourceCode"/>
      </w:pPr>
      <w:r>
        <w:rPr>
          <w:rStyle w:val="VerbatimChar"/>
        </w:rPr>
        <w:t xml:space="preserve">## [1] 103.3472</w:t>
      </w:r>
    </w:p>
    <w:p>
      <w:pPr>
        <w:pStyle w:val="SourceCode"/>
      </w:pPr>
      <w:r>
        <w:rPr>
          <w:rStyle w:val="FunctionTok"/>
        </w:rPr>
        <w:t xml:space="preserve">sum</w:t>
      </w:r>
      <w:r>
        <w:rPr>
          <w:rStyle w:val="NormalTok"/>
        </w:rPr>
        <w:t xml:space="preserve">(cav_bym_INLA</w:t>
      </w:r>
      <w:r>
        <w:rPr>
          <w:rStyle w:val="SpecialCharTok"/>
        </w:rPr>
        <w:t xml:space="preserve">$</w:t>
      </w:r>
      <w:r>
        <w:rPr>
          <w:rStyle w:val="NormalTok"/>
        </w:rPr>
        <w:t xml:space="preserve">cpo</w:t>
      </w:r>
      <w:r>
        <w:rPr>
          <w:rStyle w:val="SpecialCharTok"/>
        </w:rPr>
        <w:t xml:space="preserve">$</w:t>
      </w:r>
      <w:r>
        <w:rPr>
          <w:rStyle w:val="NormalTok"/>
        </w:rPr>
        <w:t xml:space="preserve">failure </w:t>
      </w:r>
      <w:r>
        <w:rPr>
          <w:rStyle w:val="SpecialCharTok"/>
        </w:rPr>
        <w:t xml:space="preserve">&gt;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223</w:t>
      </w:r>
    </w:p>
    <w:p>
      <w:pPr>
        <w:pStyle w:val="SourceCode"/>
      </w:pPr>
      <w:r>
        <w:rPr>
          <w:rStyle w:val="FunctionTok"/>
        </w:rPr>
        <w:t xml:space="preserve">sum</w:t>
      </w:r>
      <w:r>
        <w:rPr>
          <w:rStyle w:val="NormalTok"/>
        </w:rPr>
        <w:t xml:space="preserve">(cav_bym_INLA_ZIP</w:t>
      </w:r>
      <w:r>
        <w:rPr>
          <w:rStyle w:val="SpecialCharTok"/>
        </w:rPr>
        <w:t xml:space="preserve">$</w:t>
      </w:r>
      <w:r>
        <w:rPr>
          <w:rStyle w:val="NormalTok"/>
        </w:rPr>
        <w:t xml:space="preserve">cpo</w:t>
      </w:r>
      <w:r>
        <w:rPr>
          <w:rStyle w:val="SpecialCharTok"/>
        </w:rPr>
        <w:t xml:space="preserve">$</w:t>
      </w:r>
      <w:r>
        <w:rPr>
          <w:rStyle w:val="NormalTok"/>
        </w:rPr>
        <w:t xml:space="preserve">failure)</w:t>
      </w:r>
    </w:p>
    <w:p>
      <w:pPr>
        <w:pStyle w:val="SourceCode"/>
      </w:pPr>
      <w:r>
        <w:rPr>
          <w:rStyle w:val="VerbatimChar"/>
        </w:rPr>
        <w:t xml:space="preserve">## [1] 16.35566</w:t>
      </w:r>
    </w:p>
    <w:p>
      <w:pPr>
        <w:pStyle w:val="SourceCode"/>
      </w:pPr>
      <w:r>
        <w:rPr>
          <w:rStyle w:val="FunctionTok"/>
        </w:rPr>
        <w:t xml:space="preserve">sum</w:t>
      </w:r>
      <w:r>
        <w:rPr>
          <w:rStyle w:val="NormalTok"/>
        </w:rPr>
        <w:t xml:space="preserve">(cav_bym_INLA_ZIP</w:t>
      </w:r>
      <w:r>
        <w:rPr>
          <w:rStyle w:val="SpecialCharTok"/>
        </w:rPr>
        <w:t xml:space="preserve">$</w:t>
      </w:r>
      <w:r>
        <w:rPr>
          <w:rStyle w:val="NormalTok"/>
        </w:rPr>
        <w:t xml:space="preserve">cpo</w:t>
      </w:r>
      <w:r>
        <w:rPr>
          <w:rStyle w:val="SpecialCharTok"/>
        </w:rPr>
        <w:t xml:space="preserve">$</w:t>
      </w:r>
      <w:r>
        <w:rPr>
          <w:rStyle w:val="NormalTok"/>
        </w:rPr>
        <w:t xml:space="preserve">failure </w:t>
      </w:r>
      <w:r>
        <w:rPr>
          <w:rStyle w:val="SpecialCharTok"/>
        </w:rPr>
        <w:t xml:space="preserve">&gt;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111</w:t>
      </w:r>
    </w:p>
    <w:p>
      <w:pPr>
        <w:pStyle w:val="SourceCode"/>
      </w:pPr>
      <w:r>
        <w:rPr>
          <w:rStyle w:val="FunctionTok"/>
        </w:rPr>
        <w:t xml:space="preserve">sum</w:t>
      </w:r>
      <w:r>
        <w:rPr>
          <w:rStyle w:val="NormalTok"/>
        </w:rPr>
        <w:t xml:space="preserve">(cav_leroux_INLA</w:t>
      </w:r>
      <w:r>
        <w:rPr>
          <w:rStyle w:val="SpecialCharTok"/>
        </w:rPr>
        <w:t xml:space="preserve">$</w:t>
      </w:r>
      <w:r>
        <w:rPr>
          <w:rStyle w:val="NormalTok"/>
        </w:rPr>
        <w:t xml:space="preserve">cpo</w:t>
      </w:r>
      <w:r>
        <w:rPr>
          <w:rStyle w:val="SpecialCharTok"/>
        </w:rPr>
        <w:t xml:space="preserve">$</w:t>
      </w:r>
      <w:r>
        <w:rPr>
          <w:rStyle w:val="NormalTok"/>
        </w:rPr>
        <w:t xml:space="preserve">failure)</w:t>
      </w:r>
    </w:p>
    <w:p>
      <w:pPr>
        <w:pStyle w:val="SourceCode"/>
      </w:pPr>
      <w:r>
        <w:rPr>
          <w:rStyle w:val="VerbatimChar"/>
        </w:rPr>
        <w:t xml:space="preserve">## [1] 109.6474</w:t>
      </w:r>
    </w:p>
    <w:p>
      <w:pPr>
        <w:pStyle w:val="SourceCode"/>
      </w:pPr>
      <w:r>
        <w:rPr>
          <w:rStyle w:val="FunctionTok"/>
        </w:rPr>
        <w:t xml:space="preserve">sum</w:t>
      </w:r>
      <w:r>
        <w:rPr>
          <w:rStyle w:val="NormalTok"/>
        </w:rPr>
        <w:t xml:space="preserve">(cav_leroux_INLA</w:t>
      </w:r>
      <w:r>
        <w:rPr>
          <w:rStyle w:val="SpecialCharTok"/>
        </w:rPr>
        <w:t xml:space="preserve">$</w:t>
      </w:r>
      <w:r>
        <w:rPr>
          <w:rStyle w:val="NormalTok"/>
        </w:rPr>
        <w:t xml:space="preserve">cpo</w:t>
      </w:r>
      <w:r>
        <w:rPr>
          <w:rStyle w:val="SpecialCharTok"/>
        </w:rPr>
        <w:t xml:space="preserve">$</w:t>
      </w:r>
      <w:r>
        <w:rPr>
          <w:rStyle w:val="NormalTok"/>
        </w:rPr>
        <w:t xml:space="preserve">failure </w:t>
      </w:r>
      <w:r>
        <w:rPr>
          <w:rStyle w:val="SpecialCharTok"/>
        </w:rPr>
        <w:t xml:space="preserve">&gt;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221</w:t>
      </w:r>
    </w:p>
    <w:p>
      <w:pPr>
        <w:pStyle w:val="SourceCode"/>
      </w:pPr>
      <w:r>
        <w:rPr>
          <w:rStyle w:val="FunctionTok"/>
        </w:rPr>
        <w:t xml:space="preserve">sum</w:t>
      </w:r>
      <w:r>
        <w:rPr>
          <w:rStyle w:val="NormalTok"/>
        </w:rPr>
        <w:t xml:space="preserve">(cav_leroux_INLA_ZIP</w:t>
      </w:r>
      <w:r>
        <w:rPr>
          <w:rStyle w:val="SpecialCharTok"/>
        </w:rPr>
        <w:t xml:space="preserve">$</w:t>
      </w:r>
      <w:r>
        <w:rPr>
          <w:rStyle w:val="NormalTok"/>
        </w:rPr>
        <w:t xml:space="preserve">cpo</w:t>
      </w:r>
      <w:r>
        <w:rPr>
          <w:rStyle w:val="SpecialCharTok"/>
        </w:rPr>
        <w:t xml:space="preserve">$</w:t>
      </w:r>
      <w:r>
        <w:rPr>
          <w:rStyle w:val="NormalTok"/>
        </w:rPr>
        <w:t xml:space="preserve">failure)</w:t>
      </w:r>
    </w:p>
    <w:p>
      <w:pPr>
        <w:pStyle w:val="SourceCode"/>
      </w:pPr>
      <w:r>
        <w:rPr>
          <w:rStyle w:val="VerbatimChar"/>
        </w:rPr>
        <w:t xml:space="preserve">## [1] 22.50318</w:t>
      </w:r>
    </w:p>
    <w:p>
      <w:pPr>
        <w:pStyle w:val="SourceCode"/>
      </w:pPr>
      <w:r>
        <w:rPr>
          <w:rStyle w:val="FunctionTok"/>
        </w:rPr>
        <w:t xml:space="preserve">sum</w:t>
      </w:r>
      <w:r>
        <w:rPr>
          <w:rStyle w:val="NormalTok"/>
        </w:rPr>
        <w:t xml:space="preserve">(cav_leroux_INLA_ZIP</w:t>
      </w:r>
      <w:r>
        <w:rPr>
          <w:rStyle w:val="SpecialCharTok"/>
        </w:rPr>
        <w:t xml:space="preserve">$</w:t>
      </w:r>
      <w:r>
        <w:rPr>
          <w:rStyle w:val="NormalTok"/>
        </w:rPr>
        <w:t xml:space="preserve">cpo</w:t>
      </w:r>
      <w:r>
        <w:rPr>
          <w:rStyle w:val="SpecialCharTok"/>
        </w:rPr>
        <w:t xml:space="preserve">$</w:t>
      </w:r>
      <w:r>
        <w:rPr>
          <w:rStyle w:val="NormalTok"/>
        </w:rPr>
        <w:t xml:space="preserve">failure </w:t>
      </w:r>
      <w:r>
        <w:rPr>
          <w:rStyle w:val="SpecialCharTok"/>
        </w:rPr>
        <w:t xml:space="preserve">&gt;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87</w:t>
      </w:r>
    </w:p>
    <w:p>
      <w:pPr>
        <w:pStyle w:val="FirstParagraph"/>
      </w:pPr>
      <w:r>
        <w:t xml:space="preserve">Lastly, we plot the estimated latent BYM effect under the Poisson model</w:t>
      </w:r>
      <w:r>
        <w:t xml:space="preserve"> </w:t>
      </w:r>
      <w:r>
        <w:drawing>
          <wp:inline>
            <wp:extent cx="4620126" cy="3696101"/>
            <wp:effectExtent b="0" l="0" r="0" t="0"/>
            <wp:docPr descr="" title="" id="47" name="Picture"/>
            <a:graphic>
              <a:graphicData uri="http://schemas.openxmlformats.org/drawingml/2006/picture">
                <pic:pic>
                  <pic:nvPicPr>
                    <pic:cNvPr descr="index_files/figure-docx/zhat%20bym-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Start w:id="50" w:name="X0737aa8c180eaaf2a50041c2f5a7286e9472eb6"/>
    <w:p>
      <w:pPr>
        <w:pStyle w:val="Heading2"/>
      </w:pPr>
      <w:r>
        <w:t xml:space="preserve">Weakness elements and possible developments</w:t>
      </w:r>
    </w:p>
    <w:p>
      <w:pPr>
        <w:pStyle w:val="FirstParagraph"/>
      </w:pPr>
      <w:r>
        <w:t xml:space="preserve">From this preliminary analysis, inference on spatial models is hindered by the dominance of random noise over structured spatial effects. This can be argued from the posterior distribution of the mixing parameter in the BYM model, other than from the low spatial autocorrelation parameter in the PCAR.</w:t>
      </w:r>
    </w:p>
    <w:p>
      <w:pPr>
        <w:pStyle w:val="BodyText"/>
      </w:pPr>
      <w:r>
        <w:t xml:space="preserve">This means that only to a small extent the variation in</w:t>
      </w:r>
      <w:r>
        <w:t xml:space="preserve"> </w:t>
      </w:r>
      <m:oMath>
        <m:r>
          <m:t>y</m:t>
        </m:r>
      </m:oMath>
      <w:r>
        <w:t xml:space="preserve"> </w:t>
      </w:r>
      <w:r>
        <w:t xml:space="preserve">not explained by covariates can be explained by spatial structure.</w:t>
      </w:r>
    </w:p>
    <w:p>
      <w:pPr>
        <w:pStyle w:val="BodyText"/>
      </w:pPr>
      <w:r>
        <w:t xml:space="preserve">On the other hand, it is difficult to assert</w:t>
      </w:r>
      <w:r>
        <w:t xml:space="preserve"> </w:t>
      </w:r>
      <w:r>
        <w:rPr>
          <w:i/>
          <w:iCs/>
        </w:rPr>
        <w:t xml:space="preserve">all</w:t>
      </w:r>
      <w:r>
        <w:t xml:space="preserve"> </w:t>
      </w:r>
      <w:r>
        <w:t xml:space="preserve">variation not explained by covariates is pure noise, otherwise we would have evidence for the lack of autocorrelation in residuals. We tested the hypothesis of no autocorrelation in GLM residuals by the Moran’s</w:t>
      </w:r>
      <w:r>
        <w:t xml:space="preserve"> </w:t>
      </w:r>
      <m:oMath>
        <m:r>
          <m:t>I</m:t>
        </m:r>
      </m:oMath>
      <w:r>
        <w:t xml:space="preserve"> </w:t>
      </w:r>
      <w:r>
        <w:t xml:space="preserve">test, but in doing so we had to only test the residuals of areas with nonzero counts.</w:t>
      </w:r>
    </w:p>
    <w:p>
      <w:pPr>
        <w:pStyle w:val="BodyText"/>
      </w:pPr>
      <w:r>
        <w:t xml:space="preserve">Moreover, spatial models are estimated using the INLA. While this is a broadly employed approach in epidemiology and in disease mapping, so far we did not assess how accurate the Laplace approximation has been.</w:t>
      </w:r>
    </w:p>
    <w:p>
      <w:pPr>
        <w:pStyle w:val="BodyText"/>
      </w:pPr>
      <w:r>
        <w:t xml:space="preserve">To do so, we should e.g. rerun the same models using MCMC methods, e.g. using</w:t>
      </w:r>
      <w:r>
        <w:t xml:space="preserve"> </w:t>
      </w:r>
      <w:r>
        <w:rPr>
          <w:rStyle w:val="VerbatimChar"/>
        </w:rPr>
        <w:t xml:space="preserve">R</w:t>
      </w:r>
      <w:r>
        <w:t xml:space="preserve"> </w:t>
      </w:r>
      <w:r>
        <w:t xml:space="preserve">libraries such as</w:t>
      </w:r>
      <w:r>
        <w:t xml:space="preserve"> </w:t>
      </w:r>
      <w:r>
        <w:rPr>
          <w:rStyle w:val="VerbatimChar"/>
        </w:rPr>
        <w:t xml:space="preserve">CARBayes</w:t>
      </w:r>
      <w:r>
        <w:t xml:space="preserve">, and replicating the same prior structure used.</w:t>
      </w:r>
    </w:p>
    <w:p>
      <w:pPr>
        <w:pStyle w:val="BodyText"/>
      </w:pPr>
      <w:r>
        <w:t xml:space="preserve">Lastly, we did</w:t>
      </w:r>
      <w:r>
        <w:t xml:space="preserve"> </w:t>
      </w:r>
      <w:r>
        <w:rPr>
          <w:i/>
          <w:iCs/>
        </w:rPr>
        <w:t xml:space="preserve">not</w:t>
      </w:r>
      <w:r>
        <w:t xml:space="preserve"> </w:t>
      </w:r>
      <w:r>
        <w:t xml:space="preserve">model the rate at which gender violence occurs, but the occurrence of violence reports. Higher occurrence of violence reports from a given territory may thus depend on two factors: either the higher occurrence of violence in that territory, or the ease in reporting violence for the residents.</w:t>
      </w:r>
    </w:p>
    <w:p>
      <w:pPr>
        <w:pStyle w:val="BodyText"/>
      </w:pPr>
      <w:r>
        <w:t xml:space="preserve">Whereas the easiest interpretation is that violence occurrence is underestimated in low-reporting areas, at the time being nothing prevents us from suspecting that the placement of support centers is at least partially strategic, i.e. the distribution of supporting centers is more dense in areas in which violence occurs, for some reason we don’t know, aa a higher frequence.</w:t>
      </w:r>
    </w:p>
    <w:bookmarkEnd w:id="50"/>
    <w:bookmarkStart w:id="51" w:name="appendix-the-waic"/>
    <w:p>
      <w:pPr>
        <w:pStyle w:val="Heading2"/>
      </w:pPr>
      <w:r>
        <w:t xml:space="preserve">Appendix: the WAIC</w:t>
      </w:r>
    </w:p>
    <w:p>
      <w:pPr>
        <w:pStyle w:val="FirstParagraph"/>
      </w:pPr>
      <w:r>
        <w:t xml:space="preserve">Following</w:t>
      </w:r>
      <w:r>
        <w:t xml:space="preserve"> </w:t>
      </w:r>
      <w:r>
        <w:t xml:space="preserve">, the WAIC is given by the sum of two components:</w:t>
      </w:r>
    </w:p>
    <w:p>
      <w:pPr>
        <w:pStyle w:val="BodyText"/>
      </w:pPr>
      <m:oMathPara>
        <m:oMathParaPr>
          <m:jc m:val="center"/>
        </m:oMathParaPr>
        <m:oMath>
          <m:r>
            <m:t>W</m:t>
          </m:r>
          <m:r>
            <m:t>A</m:t>
          </m:r>
          <m:r>
            <m:t>I</m:t>
          </m:r>
          <m:r>
            <m:t>C</m:t>
          </m:r>
          <m:box>
            <m:boxPr>
              <m:opEmu m:val="on"/>
            </m:boxPr>
            <m:e>
              <m:r>
                <m:rPr>
                  <m:sty m:val="p"/>
                </m:rPr>
                <m:t>:=</m:t>
              </m:r>
            </m:e>
          </m:box>
          <m:r>
            <m:t>2</m:t>
          </m:r>
          <m:nary>
            <m:naryPr>
              <m:chr m:val="∑"/>
              <m:limLoc m:val="undOvr"/>
              <m:subHide m:val="off"/>
              <m:supHide m:val="off"/>
            </m:naryPr>
            <m:sub>
              <m:r>
                <m:t>i</m:t>
              </m:r>
              <m:r>
                <m:rPr>
                  <m:sty m:val="p"/>
                </m:rPr>
                <m:t>=</m:t>
              </m:r>
              <m:r>
                <m:t>1</m:t>
              </m:r>
            </m:sub>
            <m:sup>
              <m:r>
                <m:t>n</m:t>
              </m:r>
            </m:sup>
            <m:e>
              <m:r>
                <m:rPr>
                  <m:sty m:val="p"/>
                </m:rPr>
                <m:t>V</m:t>
              </m:r>
              <m:r>
                <m:rPr>
                  <m:sty m:val="p"/>
                </m:rPr>
                <m:t>A</m:t>
              </m:r>
              <m:r>
                <m:rPr>
                  <m:sty m:val="p"/>
                </m:rPr>
                <m:t>R</m:t>
              </m:r>
            </m:e>
          </m:nary>
          <m:d>
            <m:dPr>
              <m:begChr m:val="["/>
              <m:endChr m:val="]"/>
              <m:sepChr m:val=""/>
              <m:grow/>
            </m:dPr>
            <m:e>
              <m:r>
                <m:rPr>
                  <m:sty m:val="p"/>
                </m:rPr>
                <m:t>ln</m:t>
              </m:r>
              <m:r>
                <m:t>p</m:t>
              </m:r>
              <m:d>
                <m:dPr>
                  <m:begChr m:val="("/>
                  <m:endChr m:val=")"/>
                  <m:sepChr m:val=""/>
                  <m:grow/>
                </m:dPr>
                <m:e>
                  <m:sSub>
                    <m:e>
                      <m:r>
                        <m:t>y</m:t>
                      </m:r>
                    </m:e>
                    <m:sub>
                      <m:r>
                        <m:t>i</m:t>
                      </m:r>
                    </m:sub>
                  </m:sSub>
                  <m:r>
                    <m:rPr>
                      <m:sty m:val="p"/>
                    </m:rPr>
                    <m:t>|</m:t>
                  </m:r>
                  <m:r>
                    <m:t>θ</m:t>
                  </m:r>
                </m:e>
              </m:d>
            </m:e>
          </m:d>
          <m:r>
            <m:rPr>
              <m:sty m:val="p"/>
            </m:rPr>
            <m:t>−</m:t>
          </m:r>
          <m:r>
            <m:t>2</m:t>
          </m:r>
          <m:nary>
            <m:naryPr>
              <m:chr m:val="∑"/>
              <m:limLoc m:val="undOvr"/>
              <m:subHide m:val="off"/>
              <m:supHide m:val="off"/>
            </m:naryPr>
            <m:sub>
              <m:r>
                <m:t>j</m:t>
              </m:r>
              <m:r>
                <m:rPr>
                  <m:sty m:val="p"/>
                </m:rPr>
                <m:t>=</m:t>
              </m:r>
              <m:r>
                <m:t>1</m:t>
              </m:r>
            </m:sub>
            <m:sup>
              <m:r>
                <m:t>n</m:t>
              </m:r>
            </m:sup>
            <m:e>
              <m:r>
                <m:rPr>
                  <m:sty m:val="p"/>
                </m:rPr>
                <m:t>ln</m:t>
              </m:r>
            </m:e>
          </m:nary>
          <m:r>
            <m:rPr>
              <m:sty m:val="p"/>
              <m:scr m:val="double-struck"/>
            </m:rPr>
            <m:t>E</m:t>
          </m:r>
          <m:d>
            <m:dPr>
              <m:begChr m:val="["/>
              <m:endChr m:val="]"/>
              <m:sepChr m:val=""/>
              <m:grow/>
            </m:dPr>
            <m:e>
              <m:r>
                <m:t>p</m:t>
              </m:r>
              <m:d>
                <m:dPr>
                  <m:begChr m:val="("/>
                  <m:endChr m:val=")"/>
                  <m:sepChr m:val=""/>
                  <m:grow/>
                </m:dPr>
                <m:e>
                  <m:sSub>
                    <m:e>
                      <m:r>
                        <m:t>y</m:t>
                      </m:r>
                    </m:e>
                    <m:sub>
                      <m:r>
                        <m:t>i</m:t>
                      </m:r>
                    </m:sub>
                  </m:sSub>
                  <m:r>
                    <m:rPr>
                      <m:sty m:val="p"/>
                    </m:rPr>
                    <m:t>|</m:t>
                  </m:r>
                  <m:r>
                    <m:t>θ</m:t>
                  </m:r>
                </m:e>
              </m:d>
            </m:e>
          </m:d>
        </m:oMath>
      </m:oMathPara>
    </w:p>
    <w:p>
      <w:pPr>
        <w:pStyle w:val="FirstParagraph"/>
      </w:pPr>
      <w:r>
        <w:t xml:space="preserve">Where</w:t>
      </w:r>
      <w:r>
        <w:t xml:space="preserve"> </w:t>
      </w:r>
      <m:oMath>
        <m:r>
          <m:t>θ</m:t>
        </m:r>
      </m:oMath>
      <w:r>
        <w:t xml:space="preserve"> </w:t>
      </w:r>
      <w:r>
        <w:t xml:space="preserve">is the full set of model parameters; the variance and the average are computed by integrating over the posterior of</w:t>
      </w:r>
      <w:r>
        <w:t xml:space="preserve"> </w:t>
      </w:r>
      <m:oMath>
        <m:r>
          <m:t>θ</m:t>
        </m:r>
      </m:oMath>
      <w:r>
        <w:t xml:space="preserve">.</w:t>
      </w:r>
      <w:r>
        <w:t xml:space="preserve"> </w:t>
      </w:r>
      <w:r>
        <w:t xml:space="preserve">The first addendum denotes the number of free parameters, while the second term is a measure for goodness of fit.</w:t>
      </w:r>
    </w:p>
    <w:bookmarkEnd w:id="51"/>
    <w:bookmarkStart w:id="52" w:name="X3694ea79e29bb1b4a61169c56957deaa5ead862"/>
    <w:p>
      <w:pPr>
        <w:pStyle w:val="Heading2"/>
      </w:pPr>
      <w:r>
        <w:t xml:space="preserve">Appendix: R code to implement the PCAR model in</w:t>
      </w:r>
      <w:r>
        <w:t xml:space="preserve"> </w:t>
      </w:r>
      <w:r>
        <w:rPr>
          <w:rStyle w:val="VerbatimChar"/>
        </w:rPr>
        <w:t xml:space="preserve">INLA</w:t>
      </w:r>
    </w:p>
    <w:p>
      <w:pPr>
        <w:pStyle w:val="FirstParagraph"/>
      </w:pPr>
      <w:r>
        <w:t xml:space="preserve">Although it is not readily implemented in</w:t>
      </w:r>
      <w:r>
        <w:t xml:space="preserve"> </w:t>
      </w:r>
      <w:r>
        <w:rPr>
          <w:rStyle w:val="VerbatimChar"/>
        </w:rPr>
        <w:t xml:space="preserve">R-INLA</w:t>
      </w:r>
      <w:r>
        <w:t xml:space="preserve"> </w:t>
      </w:r>
      <w:r>
        <w:t xml:space="preserve">(the</w:t>
      </w:r>
      <w:r>
        <w:t xml:space="preserve"> </w:t>
      </w:r>
      <w:r>
        <w:rPr>
          <w:rStyle w:val="VerbatimChar"/>
        </w:rPr>
        <w:t xml:space="preserve">"besagproper"</w:t>
      </w:r>
      <w:r>
        <w:t xml:space="preserve"> </w:t>
      </w:r>
      <w:r>
        <w:t xml:space="preserve">effect is actually the Leroux model) we may base the R code on the `INLAMSM`` package</w:t>
      </w:r>
      <w:r>
        <w:t xml:space="preserve"> </w:t>
      </w:r>
      <w:r>
        <w:t xml:space="preserve">(Palmí-Perales, Gómez-Rubio, and Martinez-Beneito 2021)</w:t>
      </w:r>
      <w:r>
        <w:t xml:space="preserve">:</w:t>
      </w:r>
    </w:p>
    <w:p>
      <w:pPr>
        <w:pStyle w:val="SourceCode"/>
      </w:pPr>
      <w:r>
        <w:rPr>
          <w:rStyle w:val="NormalTok"/>
        </w:rPr>
        <w:t xml:space="preserve">inla.rgeneric.PCAR.model </w:t>
      </w:r>
      <w:r>
        <w:rPr>
          <w:rStyle w:val="OtherTok"/>
        </w:rPr>
        <w:t xml:space="preserve">&lt;-</w:t>
      </w:r>
      <w:r>
        <w:rPr>
          <w:rStyle w:val="NormalTok"/>
        </w:rPr>
        <w:t xml:space="preserve"> </w:t>
      </w:r>
      <w:r>
        <w:br/>
      </w:r>
      <w:r>
        <w:rPr>
          <w:rStyle w:val="NormalTok"/>
        </w:rPr>
        <w:t xml:space="preserve">  </w:t>
      </w:r>
      <w:r>
        <w:rPr>
          <w:rStyle w:val="ControlFlowTok"/>
        </w:rPr>
        <w:t xml:space="preserve">function</w:t>
      </w:r>
      <w:r>
        <w:rPr>
          <w:rStyle w:val="NormalTok"/>
        </w:rPr>
        <w:t xml:space="preserve"> (</w:t>
      </w:r>
      <w:r>
        <w:rPr>
          <w:rStyle w:val="AttributeTok"/>
        </w:rPr>
        <w:t xml:space="preserve">cmd =</w:t>
      </w:r>
      <w:r>
        <w:rPr>
          <w:rStyle w:val="NormalTok"/>
        </w:rPr>
        <w:t xml:space="preserve"> </w:t>
      </w:r>
      <w:r>
        <w:rPr>
          <w:rStyle w:val="FunctionTok"/>
        </w:rPr>
        <w:t xml:space="preserve">c</w:t>
      </w:r>
      <w:r>
        <w:rPr>
          <w:rStyle w:val="NormalTok"/>
        </w:rPr>
        <w:t xml:space="preserve">(</w:t>
      </w:r>
      <w:r>
        <w:rPr>
          <w:rStyle w:val="StringTok"/>
        </w:rPr>
        <w:t xml:space="preserve">"graph"</w:t>
      </w:r>
      <w:r>
        <w:rPr>
          <w:rStyle w:val="NormalTok"/>
        </w:rPr>
        <w:t xml:space="preserve">, </w:t>
      </w:r>
      <w:r>
        <w:rPr>
          <w:rStyle w:val="StringTok"/>
        </w:rPr>
        <w:t xml:space="preserve">"Q"</w:t>
      </w:r>
      <w:r>
        <w:rPr>
          <w:rStyle w:val="NormalTok"/>
        </w:rPr>
        <w:t xml:space="preserve">, </w:t>
      </w:r>
      <w:r>
        <w:rPr>
          <w:rStyle w:val="StringTok"/>
        </w:rPr>
        <w:t xml:space="preserve">"mu"</w:t>
      </w:r>
      <w:r>
        <w:rPr>
          <w:rStyle w:val="NormalTok"/>
        </w:rPr>
        <w:t xml:space="preserve">, </w:t>
      </w:r>
      <w:r>
        <w:rPr>
          <w:rStyle w:val="StringTok"/>
        </w:rPr>
        <w:t xml:space="preserve">"initial"</w:t>
      </w:r>
      <w:r>
        <w:rPr>
          <w:rStyle w:val="NormalTok"/>
        </w:rPr>
        <w:t xml:space="preserve">, </w:t>
      </w:r>
      <w:r>
        <w:rPr>
          <w:rStyle w:val="StringTok"/>
        </w:rPr>
        <w:t xml:space="preserve">"log.norm.const"</w:t>
      </w:r>
      <w:r>
        <w:rPr>
          <w:rStyle w:val="NormalTok"/>
        </w:rPr>
        <w:t xml:space="preserve">, </w:t>
      </w:r>
      <w:r>
        <w:br/>
      </w:r>
      <w:r>
        <w:rPr>
          <w:rStyle w:val="NormalTok"/>
        </w:rPr>
        <w:t xml:space="preserve">                                              </w:t>
      </w:r>
      <w:r>
        <w:rPr>
          <w:rStyle w:val="StringTok"/>
        </w:rPr>
        <w:t xml:space="preserve">"log.prior"</w:t>
      </w:r>
      <w:r>
        <w:rPr>
          <w:rStyle w:val="NormalTok"/>
        </w:rPr>
        <w:t xml:space="preserve">, </w:t>
      </w:r>
      <w:r>
        <w:rPr>
          <w:rStyle w:val="StringTok"/>
        </w:rPr>
        <w:t xml:space="preserve">"quit"</w:t>
      </w:r>
      <w:r>
        <w:rPr>
          <w:rStyle w:val="NormalTok"/>
        </w:rPr>
        <w:t xml:space="preserve">), </w:t>
      </w:r>
      <w:r>
        <w:rPr>
          <w:rStyle w:val="AttributeTok"/>
        </w:rPr>
        <w:t xml:space="preserve">theta =</w:t>
      </w:r>
      <w:r>
        <w:rPr>
          <w:rStyle w:val="NormalTok"/>
        </w:rPr>
        <w:t xml:space="preserve"> </w:t>
      </w:r>
      <w:r>
        <w:rPr>
          <w:rStyle w:val="ConstantTok"/>
        </w:rPr>
        <w:t xml:space="preserve">NULL</w:t>
      </w:r>
      <w:r>
        <w:rPr>
          <w:rStyle w:val="NormalTok"/>
        </w:rPr>
        <w:t xml:space="preserve">) {</w:t>
      </w:r>
      <w:r>
        <w:br/>
      </w:r>
      <w:r>
        <w:rPr>
          <w:rStyle w:val="NormalTok"/>
        </w:rPr>
        <w:t xml:space="preserve">  interpret.theta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alpha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theta[</w:t>
      </w:r>
      <w:r>
        <w:rPr>
          <w:rStyle w:val="DecValTok"/>
        </w:rPr>
        <w:t xml:space="preserve">1</w:t>
      </w:r>
      <w:r>
        <w:rPr>
          <w:rStyle w:val="DataTypeTok"/>
        </w:rPr>
        <w:t xml:space="preserve">L</w:t>
      </w:r>
      <w:r>
        <w:rPr>
          <w:rStyle w:val="NormalTok"/>
        </w:rPr>
        <w:t xml:space="preserve">])) </w:t>
      </w:r>
      <w:r>
        <w:rPr>
          <w:rStyle w:val="CommentTok"/>
        </w:rPr>
        <w:t xml:space="preserve"># alpha modelled in logit scale</w:t>
      </w:r>
      <w:r>
        <w:br/>
      </w:r>
      <w:r>
        <w:rPr>
          <w:rStyle w:val="NormalTok"/>
        </w:rPr>
        <w:t xml:space="preserve">    mprec </w:t>
      </w:r>
      <w:r>
        <w:rPr>
          <w:rStyle w:val="OtherTok"/>
        </w:rPr>
        <w:t xml:space="preserve">&lt;-</w:t>
      </w:r>
      <w:r>
        <w:rPr>
          <w:rStyle w:val="NormalTok"/>
        </w:rPr>
        <w:t xml:space="preserve"> </w:t>
      </w:r>
      <w:r>
        <w:rPr>
          <w:rStyle w:val="FunctionTok"/>
        </w:rPr>
        <w:t xml:space="preserve">sapply</w:t>
      </w:r>
      <w:r>
        <w:rPr>
          <w:rStyle w:val="NormalTok"/>
        </w:rPr>
        <w:t xml:space="preserve">(theta[</w:t>
      </w:r>
      <w:r>
        <w:rPr>
          <w:rStyle w:val="DecValTok"/>
        </w:rPr>
        <w:t xml:space="preserve">2</w:t>
      </w:r>
      <w:r>
        <w:rPr>
          <w:rStyle w:val="DataTypeTok"/>
        </w:rPr>
        <w:t xml:space="preserve">L</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exp</w:t>
      </w:r>
      <w:r>
        <w:rPr>
          <w:rStyle w:val="NormalTok"/>
        </w:rPr>
        <w:t xml:space="preserve">(x)</w:t>
      </w:r>
      <w:r>
        <w:br/>
      </w:r>
      <w:r>
        <w:rPr>
          <w:rStyle w:val="NormalTok"/>
        </w:rPr>
        <w:t xml:space="preserve">    })</w:t>
      </w:r>
      <w:r>
        <w:br/>
      </w:r>
      <w:r>
        <w:rPr>
          <w:rStyle w:val="NormalTok"/>
        </w:rPr>
        <w:t xml:space="preserve">    PREC </w:t>
      </w:r>
      <w:r>
        <w:rPr>
          <w:rStyle w:val="OtherTok"/>
        </w:rPr>
        <w:t xml:space="preserve">&lt;-</w:t>
      </w:r>
      <w:r>
        <w:rPr>
          <w:rStyle w:val="NormalTok"/>
        </w:rPr>
        <w:t xml:space="preserve"> mprec</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alpha =</w:t>
      </w:r>
      <w:r>
        <w:rPr>
          <w:rStyle w:val="NormalTok"/>
        </w:rPr>
        <w:t xml:space="preserve"> alpha, </w:t>
      </w:r>
      <w:r>
        <w:rPr>
          <w:rStyle w:val="AttributeTok"/>
        </w:rPr>
        <w:t xml:space="preserve">mprec =</w:t>
      </w:r>
      <w:r>
        <w:rPr>
          <w:rStyle w:val="NormalTok"/>
        </w:rPr>
        <w:t xml:space="preserve"> mprec, </w:t>
      </w:r>
      <w:r>
        <w:rPr>
          <w:rStyle w:val="AttributeTok"/>
        </w:rPr>
        <w:t xml:space="preserve">PREC =</w:t>
      </w:r>
      <w:r>
        <w:rPr>
          <w:rStyle w:val="NormalTok"/>
        </w:rPr>
        <w:t xml:space="preserve"> PREC))</w:t>
      </w:r>
      <w:r>
        <w:br/>
      </w:r>
      <w:r>
        <w:rPr>
          <w:rStyle w:val="NormalTok"/>
        </w:rPr>
        <w:t xml:space="preserve">  }</w:t>
      </w:r>
      <w:r>
        <w:br/>
      </w:r>
      <w:r>
        <w:rPr>
          <w:rStyle w:val="NormalTok"/>
        </w:rPr>
        <w:t xml:space="preserve">  graph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G </w:t>
      </w:r>
      <w:r>
        <w:rPr>
          <w:rStyle w:val="OtherTok"/>
        </w:rPr>
        <w:t xml:space="preserve">&lt;-</w:t>
      </w:r>
      <w:r>
        <w:rPr>
          <w:rStyle w:val="NormalTok"/>
        </w:rPr>
        <w:t xml:space="preserve"> Matrix</w:t>
      </w:r>
      <w:r>
        <w:rPr>
          <w:rStyle w:val="SpecialCharTok"/>
        </w:rPr>
        <w:t xml:space="preserve">::</w:t>
      </w:r>
      <w:r>
        <w:rPr>
          <w:rStyle w:val="FunctionTok"/>
        </w:rPr>
        <w:t xml:space="preserve">Diagonal</w:t>
      </w:r>
      <w:r>
        <w:rPr>
          <w:rStyle w:val="NormalTok"/>
        </w:rPr>
        <w:t xml:space="preserve">(</w:t>
      </w:r>
      <w:r>
        <w:rPr>
          <w:rStyle w:val="FunctionTok"/>
        </w:rPr>
        <w:t xml:space="preserve">nrow</w:t>
      </w:r>
      <w:r>
        <w:rPr>
          <w:rStyle w:val="NormalTok"/>
        </w:rPr>
        <w:t xml:space="preserve">(W), </w:t>
      </w:r>
      <w:r>
        <w:rPr>
          <w:rStyle w:val="DecValTok"/>
        </w:rPr>
        <w:t xml:space="preserve">1</w:t>
      </w:r>
      <w:r>
        <w:rPr>
          <w:rStyle w:val="NormalTok"/>
        </w:rPr>
        <w:t xml:space="preserve">) </w:t>
      </w:r>
      <w:r>
        <w:rPr>
          <w:rStyle w:val="SpecialCharTok"/>
        </w:rPr>
        <w:t xml:space="preserve">+</w:t>
      </w:r>
      <w:r>
        <w:rPr>
          <w:rStyle w:val="NormalTok"/>
        </w:rPr>
        <w:t xml:space="preserve"> W</w:t>
      </w:r>
      <w:r>
        <w:br/>
      </w:r>
      <w:r>
        <w:rPr>
          <w:rStyle w:val="NormalTok"/>
        </w:rPr>
        <w:t xml:space="preserve">    </w:t>
      </w:r>
      <w:r>
        <w:rPr>
          <w:rStyle w:val="FunctionTok"/>
        </w:rPr>
        <w:t xml:space="preserve">return</w:t>
      </w:r>
      <w:r>
        <w:rPr>
          <w:rStyle w:val="NormalTok"/>
        </w:rPr>
        <w:t xml:space="preserve">(G)</w:t>
      </w:r>
      <w:r>
        <w:br/>
      </w:r>
      <w:r>
        <w:rPr>
          <w:rStyle w:val="NormalTok"/>
        </w:rPr>
        <w:t xml:space="preserve">  }</w:t>
      </w:r>
      <w:r>
        <w:br/>
      </w:r>
      <w:r>
        <w:rPr>
          <w:rStyle w:val="NormalTok"/>
        </w:rPr>
        <w:t xml:space="preserve">  Q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param </w:t>
      </w:r>
      <w:r>
        <w:rPr>
          <w:rStyle w:val="OtherTok"/>
        </w:rPr>
        <w:t xml:space="preserve">&lt;-</w:t>
      </w:r>
      <w:r>
        <w:rPr>
          <w:rStyle w:val="NormalTok"/>
        </w:rPr>
        <w:t xml:space="preserve"> </w:t>
      </w:r>
      <w:r>
        <w:rPr>
          <w:rStyle w:val="FunctionTok"/>
        </w:rPr>
        <w:t xml:space="preserve">interpret.theta</w:t>
      </w:r>
      <w:r>
        <w:rPr>
          <w:rStyle w:val="NormalTok"/>
        </w:rPr>
        <w:t xml:space="preserve">()</w:t>
      </w:r>
      <w:r>
        <w:br/>
      </w:r>
      <w:r>
        <w:rPr>
          <w:rStyle w:val="NormalTok"/>
        </w:rPr>
        <w:t xml:space="preserve">    Q </w:t>
      </w:r>
      <w:r>
        <w:rPr>
          <w:rStyle w:val="OtherTok"/>
        </w:rPr>
        <w:t xml:space="preserve">&lt;-</w:t>
      </w:r>
      <w:r>
        <w:rPr>
          <w:rStyle w:val="NormalTok"/>
        </w:rPr>
        <w:t xml:space="preserve"> param</w:t>
      </w:r>
      <w:r>
        <w:rPr>
          <w:rStyle w:val="SpecialCharTok"/>
        </w:rPr>
        <w:t xml:space="preserve">$</w:t>
      </w:r>
      <w:r>
        <w:rPr>
          <w:rStyle w:val="NormalTok"/>
        </w:rPr>
        <w:t xml:space="preserve">PREC </w:t>
      </w:r>
      <w:r>
        <w:rPr>
          <w:rStyle w:val="SpecialCharTok"/>
        </w:rPr>
        <w:t xml:space="preserve">*</w:t>
      </w:r>
      <w:r>
        <w:rPr>
          <w:rStyle w:val="NormalTok"/>
        </w:rPr>
        <w:t xml:space="preserve"> </w:t>
      </w:r>
      <w:r>
        <w:br/>
      </w:r>
      <w:r>
        <w:rPr>
          <w:rStyle w:val="NormalTok"/>
        </w:rPr>
        <w:t xml:space="preserve">      (Matrix</w:t>
      </w:r>
      <w:r>
        <w:rPr>
          <w:rStyle w:val="SpecialCharTok"/>
        </w:rPr>
        <w:t xml:space="preserve">::</w:t>
      </w:r>
      <w:r>
        <w:rPr>
          <w:rStyle w:val="FunctionTok"/>
        </w:rPr>
        <w:t xml:space="preserve">Diagonal</w:t>
      </w:r>
      <w:r>
        <w:rPr>
          <w:rStyle w:val="NormalTok"/>
        </w:rPr>
        <w:t xml:space="preserve">(</w:t>
      </w:r>
      <w:r>
        <w:rPr>
          <w:rStyle w:val="FunctionTok"/>
        </w:rPr>
        <w:t xml:space="preserve">nrow</w:t>
      </w:r>
      <w:r>
        <w:rPr>
          <w:rStyle w:val="NormalTok"/>
        </w:rPr>
        <w:t xml:space="preserve">(W), </w:t>
      </w:r>
      <w:r>
        <w:rPr>
          <w:rStyle w:val="FunctionTok"/>
        </w:rPr>
        <w:t xml:space="preserve">apply</w:t>
      </w:r>
      <w:r>
        <w:rPr>
          <w:rStyle w:val="NormalTok"/>
        </w:rPr>
        <w:t xml:space="preserve">(W, </w:t>
      </w:r>
      <w:r>
        <w:rPr>
          <w:rStyle w:val="DecValTok"/>
        </w:rPr>
        <w:t xml:space="preserve">1</w:t>
      </w:r>
      <w:r>
        <w:rPr>
          <w:rStyle w:val="NormalTok"/>
        </w:rPr>
        <w:t xml:space="preserve">, sum)) </w:t>
      </w:r>
      <w:r>
        <w:rPr>
          <w:rStyle w:val="SpecialCharTok"/>
        </w:rPr>
        <w:t xml:space="preserve">-</w:t>
      </w:r>
      <w:r>
        <w:rPr>
          <w:rStyle w:val="NormalTok"/>
        </w:rPr>
        <w:t xml:space="preserve"> param</w:t>
      </w:r>
      <w:r>
        <w:rPr>
          <w:rStyle w:val="SpecialCharTok"/>
        </w:rPr>
        <w:t xml:space="preserve">$</w:t>
      </w:r>
      <w:r>
        <w:rPr>
          <w:rStyle w:val="NormalTok"/>
        </w:rPr>
        <w:t xml:space="preserve">alpha </w:t>
      </w:r>
      <w:r>
        <w:rPr>
          <w:rStyle w:val="SpecialCharTok"/>
        </w:rPr>
        <w:t xml:space="preserve">*</w:t>
      </w:r>
      <w:r>
        <w:rPr>
          <w:rStyle w:val="NormalTok"/>
        </w:rPr>
        <w:t xml:space="preserve"> W)</w:t>
      </w:r>
      <w:r>
        <w:br/>
      </w:r>
      <w:r>
        <w:rPr>
          <w:rStyle w:val="NormalTok"/>
        </w:rPr>
        <w:t xml:space="preserve">    </w:t>
      </w:r>
      <w:r>
        <w:rPr>
          <w:rStyle w:val="FunctionTok"/>
        </w:rPr>
        <w:t xml:space="preserve">return</w:t>
      </w:r>
      <w:r>
        <w:rPr>
          <w:rStyle w:val="NormalTok"/>
        </w:rPr>
        <w:t xml:space="preserve">(Q)</w:t>
      </w:r>
      <w:r>
        <w:br/>
      </w:r>
      <w:r>
        <w:rPr>
          <w:rStyle w:val="NormalTok"/>
        </w:rPr>
        <w:t xml:space="preserve">  }</w:t>
      </w:r>
      <w:r>
        <w:br/>
      </w:r>
      <w:r>
        <w:rPr>
          <w:rStyle w:val="NormalTok"/>
        </w:rPr>
        <w:t xml:space="preserve">  mu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numeric</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log.norm.const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val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return</w:t>
      </w:r>
      <w:r>
        <w:rPr>
          <w:rStyle w:val="NormalTok"/>
        </w:rPr>
        <w:t xml:space="preserve">(val)</w:t>
      </w:r>
      <w:r>
        <w:br/>
      </w:r>
      <w:r>
        <w:rPr>
          <w:rStyle w:val="NormalTok"/>
        </w:rPr>
        <w:t xml:space="preserve">  }</w:t>
      </w:r>
      <w:r>
        <w:br/>
      </w:r>
      <w:r>
        <w:rPr>
          <w:rStyle w:val="NormalTok"/>
        </w:rPr>
        <w:t xml:space="preserve">  log.prior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param </w:t>
      </w:r>
      <w:r>
        <w:rPr>
          <w:rStyle w:val="OtherTok"/>
        </w:rPr>
        <w:t xml:space="preserve">&lt;-</w:t>
      </w:r>
      <w:r>
        <w:rPr>
          <w:rStyle w:val="NormalTok"/>
        </w:rPr>
        <w:t xml:space="preserve"> </w:t>
      </w:r>
      <w:r>
        <w:rPr>
          <w:rStyle w:val="FunctionTok"/>
        </w:rPr>
        <w:t xml:space="preserve">interpret.theta</w:t>
      </w:r>
      <w:r>
        <w:rPr>
          <w:rStyle w:val="NormalTok"/>
        </w:rPr>
        <w:t xml:space="preserve">()</w:t>
      </w:r>
      <w:r>
        <w:br/>
      </w:r>
      <w:r>
        <w:rPr>
          <w:rStyle w:val="NormalTok"/>
        </w:rPr>
        <w:t xml:space="preserve">    val </w:t>
      </w:r>
      <w:r>
        <w:rPr>
          <w:rStyle w:val="OtherTok"/>
        </w:rPr>
        <w:t xml:space="preserve">&lt;-</w:t>
      </w:r>
      <w:r>
        <w:rPr>
          <w:rStyle w:val="NormalTok"/>
        </w:rPr>
        <w:t xml:space="preserve"> </w:t>
      </w:r>
      <w:r>
        <w:rPr>
          <w:rStyle w:val="SpecialCharTok"/>
        </w:rPr>
        <w:t xml:space="preserve">-</w:t>
      </w:r>
      <w:r>
        <w:rPr>
          <w:rStyle w:val="NormalTok"/>
        </w:rPr>
        <w:t xml:space="preserve">theta[</w:t>
      </w:r>
      <w:r>
        <w:rPr>
          <w:rStyle w:val="DecValTok"/>
        </w:rPr>
        <w:t xml:space="preserve">1</w:t>
      </w:r>
      <w:r>
        <w:rPr>
          <w:rStyle w:val="DataTypeTok"/>
        </w:rPr>
        <w:t xml:space="preserve">L</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theta[</w:t>
      </w:r>
      <w:r>
        <w:rPr>
          <w:rStyle w:val="DecValTok"/>
        </w:rPr>
        <w:t xml:space="preserve">1</w:t>
      </w:r>
      <w:r>
        <w:rPr>
          <w:rStyle w:val="DataTypeTok"/>
        </w:rPr>
        <w:t xml:space="preserve">L</w:t>
      </w:r>
      <w:r>
        <w:rPr>
          <w:rStyle w:val="NormalTok"/>
        </w:rPr>
        <w:t xml:space="preserve">]))</w:t>
      </w:r>
      <w:r>
        <w:br/>
      </w:r>
      <w:r>
        <w:rPr>
          <w:rStyle w:val="NormalTok"/>
        </w:rPr>
        <w:t xml:space="preserve">    </w:t>
      </w:r>
      <w:r>
        <w:rPr>
          <w:rStyle w:val="CommentTok"/>
        </w:rPr>
        <w:t xml:space="preserve"># # PC prior</w:t>
      </w:r>
      <w:r>
        <w:br/>
      </w:r>
      <w:r>
        <w:rPr>
          <w:rStyle w:val="NormalTok"/>
        </w:rPr>
        <w:t xml:space="preserve">    val </w:t>
      </w:r>
      <w:r>
        <w:rPr>
          <w:rStyle w:val="OtherTok"/>
        </w:rPr>
        <w:t xml:space="preserve">&lt;-</w:t>
      </w:r>
      <w:r>
        <w:rPr>
          <w:rStyle w:val="NormalTok"/>
        </w:rPr>
        <w:t xml:space="preserve"> val </w:t>
      </w:r>
      <w:r>
        <w:rPr>
          <w:rStyle w:val="SpecialCharTok"/>
        </w:rPr>
        <w:t xml:space="preserve">+</w:t>
      </w:r>
      <w:r>
        <w:rPr>
          <w:rStyle w:val="NormalTok"/>
        </w:rPr>
        <w:t xml:space="preserve"> </w:t>
      </w:r>
      <w:r>
        <w:rPr>
          <w:rStyle w:val="FunctionTok"/>
        </w:rPr>
        <w:t xml:space="preserve">log</w:t>
      </w:r>
      <w:r>
        <w:rPr>
          <w:rStyle w:val="NormalTok"/>
        </w:rPr>
        <w:t xml:space="preserve">(lambda</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theta[</w:t>
      </w:r>
      <w:r>
        <w:rPr>
          <w:rStyle w:val="DecValTok"/>
        </w:rPr>
        <w:t xml:space="preserve">2</w:t>
      </w:r>
      <w:r>
        <w:rPr>
          <w:rStyle w:val="DataTypeTok"/>
        </w:rPr>
        <w:t xml:space="preserve">L</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(lambda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theta[</w:t>
      </w:r>
      <w:r>
        <w:rPr>
          <w:rStyle w:val="DecValTok"/>
        </w:rPr>
        <w:t xml:space="preserve">2</w:t>
      </w:r>
      <w:r>
        <w:rPr>
          <w:rStyle w:val="DataTypeTok"/>
        </w:rPr>
        <w:t xml:space="preserve">L</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CommentTok"/>
        </w:rPr>
        <w:t xml:space="preserve"># # Gamma(1, 5e-5), default prior:</w:t>
      </w:r>
      <w:r>
        <w:br/>
      </w:r>
      <w:r>
        <w:rPr>
          <w:rStyle w:val="NormalTok"/>
        </w:rPr>
        <w:t xml:space="preserve">    </w:t>
      </w:r>
      <w:r>
        <w:rPr>
          <w:rStyle w:val="CommentTok"/>
        </w:rPr>
        <w:t xml:space="preserve">#val &lt;- val + dgamma(exp(theta[2L]), shape = 1, rate = 5e-5, log = T) + theta[2L]</w:t>
      </w:r>
      <w:r>
        <w:br/>
      </w:r>
      <w:r>
        <w:rPr>
          <w:rStyle w:val="NormalTok"/>
        </w:rPr>
        <w:t xml:space="preserve">    </w:t>
      </w:r>
      <w:r>
        <w:rPr>
          <w:rStyle w:val="CommentTok"/>
        </w:rPr>
        <w:t xml:space="preserve"># # Uniform prior on the standard deviation</w:t>
      </w:r>
      <w:r>
        <w:br/>
      </w:r>
      <w:r>
        <w:rPr>
          <w:rStyle w:val="NormalTok"/>
        </w:rPr>
        <w:t xml:space="preserve">    </w:t>
      </w:r>
      <w:r>
        <w:rPr>
          <w:rStyle w:val="CommentTok"/>
        </w:rPr>
        <w:t xml:space="preserve">#val &lt;- val - sum(theta[2L])/2 - k * log(2)</w:t>
      </w:r>
      <w:r>
        <w:br/>
      </w:r>
      <w:r>
        <w:rPr>
          <w:rStyle w:val="NormalTok"/>
        </w:rPr>
        <w:t xml:space="preserve">    </w:t>
      </w:r>
      <w:r>
        <w:rPr>
          <w:rStyle w:val="FunctionTok"/>
        </w:rPr>
        <w:t xml:space="preserve">return</w:t>
      </w:r>
      <w:r>
        <w:rPr>
          <w:rStyle w:val="NormalTok"/>
        </w:rPr>
        <w:t xml:space="preserve">(val)</w:t>
      </w:r>
      <w:r>
        <w:br/>
      </w:r>
      <w:r>
        <w:rPr>
          <w:rStyle w:val="NormalTok"/>
        </w:rPr>
        <w:t xml:space="preserve">  }</w:t>
      </w:r>
      <w:r>
        <w:br/>
      </w:r>
      <w:r>
        <w:rPr>
          <w:rStyle w:val="NormalTok"/>
        </w:rPr>
        <w:t xml:space="preserve">  initial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w:t>
      </w:r>
      <w:r>
        <w:br/>
      </w:r>
      <w:r>
        <w:rPr>
          <w:rStyle w:val="NormalTok"/>
        </w:rPr>
        <w:t xml:space="preserve">  }</w:t>
      </w:r>
      <w:r>
        <w:br/>
      </w:r>
      <w:r>
        <w:rPr>
          <w:rStyle w:val="NormalTok"/>
        </w:rPr>
        <w:t xml:space="preserve">  quit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invisible</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as.integer</w:t>
      </w:r>
      <w:r>
        <w:rPr>
          <w:rStyle w:val="NormalTok"/>
        </w:rPr>
        <w:t xml:space="preserve">(R.version</w:t>
      </w:r>
      <w:r>
        <w:rPr>
          <w:rStyle w:val="SpecialCharTok"/>
        </w:rPr>
        <w:t xml:space="preserve">$</w:t>
      </w:r>
      <w:r>
        <w:rPr>
          <w:rStyle w:val="NormalTok"/>
        </w:rPr>
        <w:t xml:space="preserve">major) </w:t>
      </w:r>
      <w:r>
        <w:rPr>
          <w:rStyle w:val="SpecialCharTok"/>
        </w:rPr>
        <w:t xml:space="preserve">&gt;</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length</w:t>
      </w:r>
      <w:r>
        <w:rPr>
          <w:rStyle w:val="NormalTok"/>
        </w:rPr>
        <w:t xml:space="preserve">(theta)) </w:t>
      </w:r>
      <w:r>
        <w:br/>
      </w:r>
      <w:r>
        <w:rPr>
          <w:rStyle w:val="NormalTok"/>
        </w:rPr>
        <w:t xml:space="preserve">      theta </w:t>
      </w:r>
      <w:r>
        <w:rPr>
          <w:rStyle w:val="OtherTok"/>
        </w:rPr>
        <w:t xml:space="preserve">=</w:t>
      </w:r>
      <w:r>
        <w:rPr>
          <w:rStyle w:val="NormalTok"/>
        </w:rPr>
        <w:t xml:space="preserve"> </w:t>
      </w:r>
      <w:r>
        <w:rPr>
          <w:rStyle w:val="FunctionTok"/>
        </w:rPr>
        <w:t xml:space="preserve">initial</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(theta)) {</w:t>
      </w:r>
      <w:r>
        <w:br/>
      </w:r>
      <w:r>
        <w:rPr>
          <w:rStyle w:val="NormalTok"/>
        </w:rPr>
        <w:t xml:space="preserve">      theta </w:t>
      </w:r>
      <w:r>
        <w:rPr>
          <w:rStyle w:val="OtherTok"/>
        </w:rPr>
        <w:t xml:space="preserve">&lt;-</w:t>
      </w:r>
      <w:r>
        <w:rPr>
          <w:rStyle w:val="NormalTok"/>
        </w:rPr>
        <w:t xml:space="preserve"> </w:t>
      </w:r>
      <w:r>
        <w:rPr>
          <w:rStyle w:val="FunctionTok"/>
        </w:rPr>
        <w:t xml:space="preserve">initial</w:t>
      </w:r>
      <w:r>
        <w:rPr>
          <w:rStyle w:val="NormalTok"/>
        </w:rPr>
        <w:t xml:space="preserve">()</w:t>
      </w:r>
      <w:r>
        <w:br/>
      </w:r>
      <w:r>
        <w:rPr>
          <w:rStyle w:val="NormalTok"/>
        </w:rPr>
        <w:t xml:space="preserve">    }</w:t>
      </w:r>
      <w:r>
        <w:br/>
      </w:r>
      <w:r>
        <w:rPr>
          <w:rStyle w:val="NormalTok"/>
        </w:rPr>
        <w:t xml:space="preserve">  }</w:t>
      </w:r>
      <w:r>
        <w:br/>
      </w:r>
      <w:r>
        <w:rPr>
          <w:rStyle w:val="NormalTok"/>
        </w:rPr>
        <w:t xml:space="preserve">  val </w:t>
      </w:r>
      <w:r>
        <w:rPr>
          <w:rStyle w:val="OtherTok"/>
        </w:rPr>
        <w:t xml:space="preserve">&lt;-</w:t>
      </w:r>
      <w:r>
        <w:rPr>
          <w:rStyle w:val="NormalTok"/>
        </w:rPr>
        <w:t xml:space="preserve"> </w:t>
      </w:r>
      <w:r>
        <w:rPr>
          <w:rStyle w:val="FunctionTok"/>
        </w:rPr>
        <w:t xml:space="preserve">do.call</w:t>
      </w:r>
      <w:r>
        <w:rPr>
          <w:rStyle w:val="NormalTok"/>
        </w:rPr>
        <w:t xml:space="preserve">(</w:t>
      </w:r>
      <w:r>
        <w:rPr>
          <w:rStyle w:val="FunctionTok"/>
        </w:rPr>
        <w:t xml:space="preserve">match.arg</w:t>
      </w:r>
      <w:r>
        <w:rPr>
          <w:rStyle w:val="NormalTok"/>
        </w:rPr>
        <w:t xml:space="preserve">(cmd), </w:t>
      </w:r>
      <w:r>
        <w:rPr>
          <w:rStyle w:val="AttributeTok"/>
        </w:rPr>
        <w:t xml:space="preserve">args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return</w:t>
      </w:r>
      <w:r>
        <w:rPr>
          <w:rStyle w:val="NormalTok"/>
        </w:rPr>
        <w:t xml:space="preserve">(val)</w:t>
      </w:r>
      <w:r>
        <w:br/>
      </w:r>
      <w:r>
        <w:rPr>
          <w:rStyle w:val="NormalTok"/>
        </w:rPr>
        <w:t xml:space="preserve">  }</w:t>
      </w:r>
      <w:r>
        <w:br/>
      </w:r>
      <w:r>
        <w:br/>
      </w:r>
      <w:r>
        <w:rPr>
          <w:rStyle w:val="NormalTok"/>
        </w:rPr>
        <w:t xml:space="preserve">PCAR.model </w:t>
      </w:r>
      <w:r>
        <w:rPr>
          <w:rStyle w:val="OtherTok"/>
        </w:rPr>
        <w:t xml:space="preserve">&lt;-</w:t>
      </w:r>
      <w:r>
        <w:rPr>
          <w:rStyle w:val="NormalTok"/>
        </w:rPr>
        <w:t xml:space="preserve"> </w:t>
      </w:r>
      <w:r>
        <w:rPr>
          <w:rStyle w:val="ControlFlowTok"/>
        </w:rPr>
        <w:t xml:space="preserve">function</w:t>
      </w:r>
      <w:r>
        <w:rPr>
          <w:rStyle w:val="NormalTok"/>
        </w:rPr>
        <w:t xml:space="preserve">(...) INLA</w:t>
      </w:r>
      <w:r>
        <w:rPr>
          <w:rStyle w:val="SpecialCharTok"/>
        </w:rPr>
        <w:t xml:space="preserve">::</w:t>
      </w:r>
      <w:r>
        <w:rPr>
          <w:rStyle w:val="FunctionTok"/>
        </w:rPr>
        <w:t xml:space="preserve">inla.rgeneric.define</w:t>
      </w:r>
      <w:r>
        <w:rPr>
          <w:rStyle w:val="NormalTok"/>
        </w:rPr>
        <w:t xml:space="preserve">(inla.rgeneric.PCAR.model, ...)</w:t>
      </w:r>
    </w:p>
    <w:bookmarkEnd w:id="52"/>
    <w:bookmarkStart w:id="61" w:name="bibliography"/>
    <w:p>
      <w:pPr>
        <w:pStyle w:val="Heading2"/>
      </w:pPr>
      <w:r>
        <w:t xml:space="preserve">Bibliography</w:t>
      </w:r>
    </w:p>
    <w:bookmarkStart w:id="60" w:name="refs"/>
    <w:bookmarkStart w:id="54" w:name="ref-GelmanWAIC"/>
    <w:p>
      <w:pPr>
        <w:pStyle w:val="Bibliography"/>
      </w:pPr>
      <w:r>
        <w:t xml:space="preserve">Gelman, Andrew, Jessica Hwang, and Aki Vehtari. 2014.</w:t>
      </w:r>
      <w:r>
        <w:t xml:space="preserve"> </w:t>
      </w:r>
      <w:r>
        <w:t xml:space="preserve">“Understanding Predictive Information Criteria for Bayesian Models.”</w:t>
      </w:r>
      <w:r>
        <w:t xml:space="preserve"> </w:t>
      </w:r>
      <w:r>
        <w:rPr>
          <w:i/>
          <w:iCs/>
        </w:rPr>
        <w:t xml:space="preserve">Statistics and Computing</w:t>
      </w:r>
      <w:r>
        <w:t xml:space="preserve"> </w:t>
      </w:r>
      <w:r>
        <w:t xml:space="preserve">24 (6): 997–1016.</w:t>
      </w:r>
      <w:r>
        <w:t xml:space="preserve"> </w:t>
      </w:r>
      <w:hyperlink r:id="rId53">
        <w:r>
          <w:rPr>
            <w:rStyle w:val="Hyperlink"/>
          </w:rPr>
          <w:t xml:space="preserve">https://doi.org/10.1007/S11222-013-9416-2</w:t>
        </w:r>
      </w:hyperlink>
      <w:r>
        <w:t xml:space="preserve">.</w:t>
      </w:r>
    </w:p>
    <w:bookmarkEnd w:id="54"/>
    <w:bookmarkStart w:id="56" w:name="ref-Leroux"/>
    <w:p>
      <w:pPr>
        <w:pStyle w:val="Bibliography"/>
      </w:pPr>
      <w:r>
        <w:t xml:space="preserve">Leroux, Brian G., Xingye Lei, and Norman Breslow. 2000.</w:t>
      </w:r>
      <w:r>
        <w:t xml:space="preserve"> </w:t>
      </w:r>
      <w:r>
        <w:t xml:space="preserve">“Estimation of Disease Rates in Small Areas: A New Mixed Model for Spatial Dependence.”</w:t>
      </w:r>
      <w:r>
        <w:t xml:space="preserve"> </w:t>
      </w:r>
      <w:r>
        <w:t xml:space="preserve">In</w:t>
      </w:r>
      <w:r>
        <w:t xml:space="preserve"> </w:t>
      </w:r>
      <w:r>
        <w:rPr>
          <w:i/>
          <w:iCs/>
        </w:rPr>
        <w:t xml:space="preserve">Statistical Models in Epidemiology, the Environment, and Clinical Trials</w:t>
      </w:r>
      <w:r>
        <w:t xml:space="preserve">, edited by M. Elizabeth Halloran and Donald Berry, 179–91. New York, NY: Springer New York. https://doi.org/</w:t>
      </w:r>
      <w:hyperlink r:id="rId55">
        <w:r>
          <w:rPr>
            <w:rStyle w:val="Hyperlink"/>
          </w:rPr>
          <w:t xml:space="preserve">https://doi.org/10.1007/978-1-4612-1284-3_4</w:t>
        </w:r>
      </w:hyperlink>
      <w:r>
        <w:t xml:space="preserve">.</w:t>
      </w:r>
    </w:p>
    <w:bookmarkEnd w:id="56"/>
    <w:bookmarkStart w:id="58" w:name="ref-INLAMSM"/>
    <w:p>
      <w:pPr>
        <w:pStyle w:val="Bibliography"/>
      </w:pPr>
      <w:r>
        <w:t xml:space="preserve">Palmí-Perales, Francisco, Virgilio Gómez-Rubio, and Miguel A. Martinez-Beneito. 2021.</w:t>
      </w:r>
      <w:r>
        <w:t xml:space="preserve"> </w:t>
      </w:r>
      <w:r>
        <w:t xml:space="preserve">“Bayesian Multivariate Spatial Models for Lattice Data with INLA.”</w:t>
      </w:r>
      <w:r>
        <w:t xml:space="preserve"> </w:t>
      </w:r>
      <w:r>
        <w:rPr>
          <w:i/>
          <w:iCs/>
        </w:rPr>
        <w:t xml:space="preserve">Journal of Statistical Software</w:t>
      </w:r>
      <w:r>
        <w:t xml:space="preserve"> </w:t>
      </w:r>
      <w:r>
        <w:t xml:space="preserve">98 (2): 1–29.</w:t>
      </w:r>
      <w:r>
        <w:t xml:space="preserve"> </w:t>
      </w:r>
      <w:hyperlink r:id="rId57">
        <w:r>
          <w:rPr>
            <w:rStyle w:val="Hyperlink"/>
          </w:rPr>
          <w:t xml:space="preserve">https://doi.org/10.18637/jss.v098.i02</w:t>
        </w:r>
      </w:hyperlink>
      <w:r>
        <w:t xml:space="preserve">.</w:t>
      </w:r>
    </w:p>
    <w:bookmarkEnd w:id="58"/>
    <w:bookmarkStart w:id="59" w:name="ref-BYM2"/>
    <w:p>
      <w:pPr>
        <w:pStyle w:val="Bibliography"/>
      </w:pPr>
      <w:r>
        <w:t xml:space="preserve">Riebler, Andrea, Sigrunn H Sørbye, Daniel Simpson, and Håvard Rue. 2016.</w:t>
      </w:r>
      <w:r>
        <w:t xml:space="preserve"> </w:t>
      </w:r>
      <w:r>
        <w:t xml:space="preserve">“An Intuitive Bayesian Spatial Model for Disease Mapping That Accounts for Scaling.”</w:t>
      </w:r>
      <w:r>
        <w:t xml:space="preserve"> </w:t>
      </w:r>
      <w:r>
        <w:rPr>
          <w:i/>
          <w:iCs/>
        </w:rPr>
        <w:t xml:space="preserve">Statistical Methods in Medical Research</w:t>
      </w:r>
      <w:r>
        <w:t xml:space="preserve"> </w:t>
      </w:r>
      <w:r>
        <w:t xml:space="preserve">25 (4): 1145–65.</w:t>
      </w:r>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43" Target="media/rId43.png" /><Relationship Type="http://schemas.openxmlformats.org/officeDocument/2006/relationships/image" Id="rId30" Target="media/rId30.png" /><Relationship Type="http://schemas.openxmlformats.org/officeDocument/2006/relationships/image" Id="rId46" Target="media/rId46.png" /><Relationship Type="http://schemas.openxmlformats.org/officeDocument/2006/relationships/hyperlink" Id="rId55" Target="https://doi.org/10.1007/978-1-4612-1284-3_4" TargetMode="External" /><Relationship Type="http://schemas.openxmlformats.org/officeDocument/2006/relationships/hyperlink" Id="rId53" Target="https://doi.org/10.1007/S11222-013-9416-2" TargetMode="External" /><Relationship Type="http://schemas.openxmlformats.org/officeDocument/2006/relationships/hyperlink" Id="rId57" Target="https://doi.org/10.18637/jss.v098.i02" TargetMode="External" /><Relationship Type="http://schemas.openxmlformats.org/officeDocument/2006/relationships/hyperlink" Id="rId20" Target="https://github.com/lcef97/CAV_Puglia/blob/main/CAV_2022.R" TargetMode="External" /><Relationship Type="http://schemas.openxmlformats.org/officeDocument/2006/relationships/hyperlink" Id="rId25" Target="https://github.com/lcef97/CAV_Puglia/blob/main/Metadata/Indice_composito_fragilita_PUGLIA_2021.xlsx"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1007/978-1-4612-1284-3_4" TargetMode="External" /><Relationship Type="http://schemas.openxmlformats.org/officeDocument/2006/relationships/hyperlink" Id="rId53" Target="https://doi.org/10.1007/S11222-013-9416-2" TargetMode="External" /><Relationship Type="http://schemas.openxmlformats.org/officeDocument/2006/relationships/hyperlink" Id="rId57" Target="https://doi.org/10.18637/jss.v098.i02" TargetMode="External" /><Relationship Type="http://schemas.openxmlformats.org/officeDocument/2006/relationships/hyperlink" Id="rId20" Target="https://github.com/lcef97/CAV_Puglia/blob/main/CAV_2022.R" TargetMode="External" /><Relationship Type="http://schemas.openxmlformats.org/officeDocument/2006/relationships/hyperlink" Id="rId25" Target="https://github.com/lcef97/CAV_Puglia/blob/main/Metadata/Indice_composito_fragilita_PUGLIA_2021.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analysis of accesses to support centers for gender-based violence in Apulia</dc:title>
  <dc:creator/>
  <cp:keywords/>
  <dcterms:created xsi:type="dcterms:W3CDTF">2025-02-07T17:32:45Z</dcterms:created>
  <dcterms:modified xsi:type="dcterms:W3CDTF">2025-02-07T17:32:45Z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ies>
</file>