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Dragon: resource-efficient sequence alignment against millions of prokaryotic genomes using graph-based compressed indexing</w:t>
      </w:r>
    </w:p>
    <w:p>
      <w:pPr>
        <w:pStyle w:val="Author"/>
      </w:pPr>
      <w:r>
        <w:t xml:space="preserve">Author One</w:t>
      </w:r>
      <w:r>
        <w:rPr>
          <w:vertAlign w:val="superscript"/>
        </w:rPr>
        <w:t xml:space="preserve">1,*</w:t>
      </w:r>
      <w:r>
        <w:t xml:space="preserve">,</w:t>
      </w:r>
      <w:r>
        <w:t xml:space="preserve"> </w:t>
      </w:r>
      <w:r>
        <w:t xml:space="preserve">Author Two</w:t>
      </w:r>
      <w:r>
        <w:rPr>
          <w:vertAlign w:val="superscript"/>
        </w:rPr>
        <w:t xml:space="preserve">1</w:t>
      </w:r>
      <w:r>
        <w:t xml:space="preserve">,</w:t>
      </w:r>
      <w:r>
        <w:t xml:space="preserve"> </w:t>
      </w:r>
      <w:r>
        <w:t xml:space="preserve">Author Three</w:t>
      </w:r>
      <w:r>
        <w:rPr>
          <w:vertAlign w:val="superscript"/>
        </w:rPr>
        <w:t xml:space="preserve">2</w:t>
      </w:r>
      <w:r>
        <w:br/>
      </w:r>
      <w:r>
        <w:rPr>
          <w:vertAlign w:val="superscript"/>
        </w:rPr>
        <w:t xml:space="preserve">1</w:t>
      </w:r>
      <w:r>
        <w:t xml:space="preserve">Department of Computer Science, University</w:t>
      </w:r>
      <w:r>
        <w:br/>
      </w:r>
      <w:r>
        <w:rPr>
          <w:vertAlign w:val="superscript"/>
        </w:rPr>
        <w:t xml:space="preserve">2</w:t>
      </w:r>
      <w:r>
        <w:t xml:space="preserve">Department of Microbiology, University</w:t>
      </w:r>
      <w:r>
        <w:br/>
      </w:r>
      <w:r>
        <w:rPr>
          <w:vertAlign w:val="superscript"/>
        </w:rPr>
        <w:t xml:space="preserve">*</w:t>
      </w:r>
      <w:r>
        <w:t xml:space="preserve">Corresponding author: email@university.edu</w:t>
      </w:r>
    </w:p>
    <w:p>
      <w:pPr>
        <w:pStyle w:val="AbstractTitle"/>
      </w:pPr>
      <w:r>
        <w:t xml:space="preserve">Abstract</w:t>
      </w:r>
    </w:p>
    <w:p>
      <w:pPr>
        <w:pStyle w:val="Abstract"/>
      </w:pPr>
      <w:r>
        <w:t xml:space="preserve">The rapid growth of microbial genome databases—now exceeding two million prokaryotic assemblies—has outpaced the capabilities of existing sequence alignment tools. While LexicMap (2025) achieved scalable alignment against millions of genomes, it requires 5.46 TB of disk space and up to 25 GB of RAM per query. Here we present Dragon, a sequence alignment tool that exploits the massive redundancy among prokaryotic genomes through three key innovations: (1) a colored compacted de Bruijn graph that collapses shared sequence across genomes, storing each unique region once; (2) a run-length FM-index over the collapsed unitig text, achieving space proportional to BWT runs rather than total text length; and (3) a graph-aware colinear chaining algorithm with information-weighted candidate filtering and ML-trained seed scoring that improves within-species resolution. On a benchmark of 2.34 million prokaryotic genomes from GenBank and RefSeq, Dragon achieves comparable sensitivity to LexicMap while reducing disk usage by approximately 50-fold (~100 GB vs. 5.46 TB) and peak query RAM by approximately 5-fold (</w:t>
      </w:r>
      <m:oMath>
        <m:r>
          <m:rPr>
            <m:sty m:val="p"/>
          </m:rPr>
          <m:t>&lt;</m:t>
        </m:r>
      </m:oMath>
      <w:r>
        <w:t xml:space="preserve">4 GB vs. 4–25 GB). Beyond alignment, Dragon provides built-in surveillance capabilities: per-query species prevalence tables, ANI distribution statistics, and graph-context subgraph visualisation for genomic context analysis (plasmid vs. chromosome, mobile element proximity). Dragon supports incremental index updates—adding new genomes without full rebuild—and operates in both laptop (</w:t>
      </w:r>
      <m:oMath>
        <m:r>
          <m:rPr>
            <m:sty m:val="p"/>
          </m:rPr>
          <m:t>≤</m:t>
        </m:r>
      </m:oMath>
      <w:r>
        <w:t xml:space="preserve">8 GB RAM) and workstation modes, enabling million-genome-scale sequence searches on consumer-grade hardware.</w:t>
      </w:r>
    </w:p>
    <w:p>
      <w:pPr>
        <w:pStyle w:val="FirstParagraph"/>
      </w:pPr>
      <w:r>
        <w:rPr>
          <w:b/>
          <w:bCs/>
        </w:rPr>
        <w:t xml:space="preserve">Keywords:</w:t>
      </w:r>
      <w:r>
        <w:t xml:space="preserve"> </w:t>
      </w:r>
      <w:r>
        <w:t xml:space="preserve">sequence alignment, FM-index, de Bruijn graph, prokaryotic genomes, pangenomics, low-resource bioinformatics</w:t>
      </w:r>
    </w:p>
    <w:bookmarkStart w:id="20" w:name="introduction"/>
    <w:p>
      <w:pPr>
        <w:pStyle w:val="Heading1"/>
      </w:pPr>
      <w:r>
        <w:t xml:space="preserve">Introduction</w:t>
      </w:r>
    </w:p>
    <w:p>
      <w:pPr>
        <w:pStyle w:val="FirstParagraph"/>
      </w:pPr>
      <w:r>
        <w:t xml:space="preserve">The global corpus of prokaryotic genome sequences is expanding at an unprecedented rate. Public databases such as GenBank, the Genome Taxonomy Database (GTDB), and the AllTheBacteria initiative now collectively host over two million assembled prokaryotic genomes</w:t>
      </w:r>
      <w:r>
        <w:t xml:space="preserve"> </w:t>
      </w:r>
      <w:r>
        <w:t xml:space="preserve">. Searching a query sequence—a gene, plasmid, antimicrobial resistance determinant, or long sequencing read—against this corpus is fundamental to microbial genomics, enabling applications ranging from outbreak surveillance to novel gene discovery.</w:t>
      </w:r>
    </w:p>
    <w:p>
      <w:pPr>
        <w:pStyle w:val="BodyText"/>
      </w:pPr>
      <w:r>
        <w:t xml:space="preserve">Existing tools span a spectrum of speed-sensitivity trade-offs. BLASTn</w:t>
      </w:r>
      <w:r>
        <w:t xml:space="preserve"> </w:t>
      </w:r>
      <w:r>
        <w:t xml:space="preserve"> </w:t>
      </w:r>
      <w:r>
        <w:t xml:space="preserve">remains the gold standard for sensitivity but does not scale beyond thousands of genomes. Minimap2</w:t>
      </w:r>
      <w:r>
        <w:t xml:space="preserve"> </w:t>
      </w:r>
      <w:r>
        <w:t xml:space="preserve"> </w:t>
      </w:r>
      <w:r>
        <w:t xml:space="preserve">provides fast alignment for long reads but its memory grows linearly with database size. MMseqs2</w:t>
      </w:r>
      <w:r>
        <w:t xml:space="preserve"> </w:t>
      </w:r>
      <w:r>
        <w:t xml:space="preserve"> </w:t>
      </w:r>
      <w:r>
        <w:t xml:space="preserve">achieves high throughput through k-mer prefiltering but its nucleotide search mode is less established than its protein capabilities. Sketch-based methods such as sourmash</w:t>
      </w:r>
      <w:r>
        <w:t xml:space="preserve"> </w:t>
      </w:r>
      <w:r>
        <w:t xml:space="preserve"> </w:t>
      </w:r>
      <w:r>
        <w:t xml:space="preserve">and Mash</w:t>
      </w:r>
      <w:r>
        <w:t xml:space="preserve"> </w:t>
      </w:r>
      <w:r>
        <w:t xml:space="preserve"> </w:t>
      </w:r>
      <w:r>
        <w:t xml:space="preserve">enable rapid containment queries but do not produce base-level alignments. LexicMap</w:t>
      </w:r>
      <w:r>
        <w:t xml:space="preserve"> </w:t>
      </w:r>
      <w:r>
        <w:t xml:space="preserve"> </w:t>
      </w:r>
      <w:r>
        <w:t xml:space="preserve">recently achieved alignment against 2.34 million genomes by constructing a set of 20,000 probe k-mers that sample the database via prefix matching, storing seeds in a hierarchical on-disk index. However, LexicMap’s index occupies 5.46 TB of disk space and queries consume 4–25 GB of RAM, placing it beyond the reach of many researchers, particularly in low-resource settings.</w:t>
      </w:r>
    </w:p>
    <w:p>
      <w:pPr>
        <w:pStyle w:val="BodyText"/>
      </w:pPr>
      <w:r>
        <w:t xml:space="preserve">A key observation is that these tools index each genome independently, ignoring the massive redundancy among closely related organisms. Within a single bacterial species, genomes typically share</w:t>
      </w:r>
      <w:r>
        <w:t xml:space="preserve"> </w:t>
      </w:r>
      <m:oMath>
        <m:r>
          <m:rPr>
            <m:sty m:val="p"/>
          </m:rPr>
          <m:t>&gt;</m:t>
        </m:r>
      </m:oMath>
      <w:r>
        <w:t xml:space="preserve">95% average nucleotide identity (ANI). Across two million prokaryotic assemblies, the majority of sequence content is duplicated hundreds or thousands of times. This redundancy represents a major opportunity for compression.</w:t>
      </w:r>
    </w:p>
    <w:p>
      <w:pPr>
        <w:pStyle w:val="BodyText"/>
      </w:pPr>
      <w:r>
        <w:t xml:space="preserve">Here we present Dragon, which exploits genome redundancy through a combination of graph theory and compressed text indexing. Dragon’s architecture rests on three pillars:</w:t>
      </w:r>
    </w:p>
    <w:p>
      <w:pPr>
        <w:numPr>
          <w:ilvl w:val="0"/>
          <w:numId w:val="1001"/>
        </w:numPr>
      </w:pPr>
      <w:r>
        <w:rPr>
          <w:b/>
          <w:bCs/>
        </w:rPr>
        <w:t xml:space="preserve">Colored compacted de Bruijn graph (ccdBG):</w:t>
      </w:r>
      <w:r>
        <w:t xml:space="preserve"> </w:t>
      </w:r>
      <w:r>
        <w:t xml:space="preserve">All reference genomes are collapsed into a graph where each unique sequence region (unitig) is stored once, annotated with the set of genomes containing it. For two million prokaryotic genomes totaling ~10 Tbp, the ccdBG contains ~5 Gbp of unique unitig sequence—a 2,000-fold reduction.</w:t>
      </w:r>
    </w:p>
    <w:p>
      <w:pPr>
        <w:numPr>
          <w:ilvl w:val="0"/>
          <w:numId w:val="1001"/>
        </w:numPr>
      </w:pPr>
      <w:r>
        <w:rPr>
          <w:b/>
          <w:bCs/>
        </w:rPr>
        <w:t xml:space="preserve">Run-length FM-index (r-index):</w:t>
      </w:r>
      <w:r>
        <w:t xml:space="preserve"> </w:t>
      </w:r>
      <w:r>
        <w:t xml:space="preserve">The concatenated unitig sequences are indexed using a BWT-based index whose space is proportional to the number of BWT runs (</w:t>
      </w:r>
      <m:oMath>
        <m:r>
          <m:t>r</m:t>
        </m:r>
      </m:oMath>
      <w:r>
        <w:t xml:space="preserve">), not the text length (</w:t>
      </w:r>
      <m:oMath>
        <m:r>
          <m:t>n</m:t>
        </m:r>
      </m:oMath>
      <w:r>
        <w:t xml:space="preserve">). Because related genomes produce repetitive unitig sequences,</w:t>
      </w:r>
      <w:r>
        <w:t xml:space="preserve"> </w:t>
      </w:r>
      <m:oMath>
        <m:r>
          <m:t>r</m:t>
        </m:r>
        <m:r>
          <m:rPr>
            <m:sty m:val="p"/>
          </m:rPr>
          <m:t>/</m:t>
        </m:r>
        <m:r>
          <m:t>n</m:t>
        </m:r>
      </m:oMath>
      <w:r>
        <w:t xml:space="preserve"> </w:t>
      </w:r>
      <w:r>
        <w:t xml:space="preserve">is typically 0.01–0.1, yielding an additional 10–100-fold compression over standard FM-indices.</w:t>
      </w:r>
    </w:p>
    <w:p>
      <w:pPr>
        <w:numPr>
          <w:ilvl w:val="0"/>
          <w:numId w:val="1001"/>
        </w:numPr>
      </w:pPr>
      <w:r>
        <w:rPr>
          <w:b/>
          <w:bCs/>
        </w:rPr>
        <w:t xml:space="preserve">Graph-aware colinear chaining:</w:t>
      </w:r>
      <w:r>
        <w:t xml:space="preserve"> </w:t>
      </w:r>
      <w:r>
        <w:t xml:space="preserve">Rather than chaining seeds in linear coordinate space (as in LexicMap and Minimap2), Dragon chains seeds along genome paths through the de Bruijn graph. This naturally handles structural variation and produces more accurate alignments at the same seed density.</w:t>
      </w:r>
    </w:p>
    <w:bookmarkEnd w:id="20"/>
    <w:bookmarkStart w:id="32" w:name="results"/>
    <w:p>
      <w:pPr>
        <w:pStyle w:val="Heading1"/>
      </w:pPr>
      <w:r>
        <w:t xml:space="preserve">Results</w:t>
      </w:r>
    </w:p>
    <w:bookmarkStart w:id="22" w:name="Xa3d0254e06c6ef4e356e406b960f35d3573ac86"/>
    <w:p>
      <w:pPr>
        <w:pStyle w:val="Heading2"/>
      </w:pPr>
      <w:r>
        <w:t xml:space="preserve">Dragon’s architecture exploits genome redundancy</w:t>
      </w:r>
    </w:p>
    <w:p>
      <w:pPr>
        <w:pStyle w:val="FirstParagraph"/>
      </w:pPr>
      <w:r>
        <w:t xml:space="preserve">Dragon’s index construction proceeds in six stages (Figure </w:t>
      </w:r>
      <w:hyperlink w:anchor="fig:architecture">
        <w:r>
          <w:rPr>
            <w:rStyle w:val="Hyperlink"/>
          </w:rPr>
          <w:t xml:space="preserve">1</w:t>
        </w:r>
      </w:hyperlink>
      <w:r>
        <w:t xml:space="preserve">). First, all reference genomes are processed by GGCAT</w:t>
      </w:r>
      <w:r>
        <w:t xml:space="preserve"> </w:t>
      </w:r>
      <w:r>
        <w:t xml:space="preserve"> </w:t>
      </w:r>
      <w:r>
        <w:t xml:space="preserve">to build a colored compacted de Bruijn graph with</w:t>
      </w:r>
      <w:r>
        <w:t xml:space="preserve"> </w:t>
      </w:r>
      <m:oMath>
        <m:r>
          <m:t>k</m:t>
        </m:r>
        <m:r>
          <m:rPr>
            <m:sty m:val="p"/>
          </m:rPr>
          <m:t>=</m:t>
        </m:r>
        <m:r>
          <m:t>31</m:t>
        </m:r>
      </m:oMath>
      <w:r>
        <w:t xml:space="preserve">. Each node (unitig) represents a maximal non-branching path in the graph, and each unitig is annotated with a Roaring Bitmap</w:t>
      </w:r>
      <w:r>
        <w:t xml:space="preserve"> </w:t>
      </w:r>
      <w:r>
        <w:t xml:space="preserve"> </w:t>
      </w:r>
      <w:r>
        <w:t xml:space="preserve">encoding the set of genomes that contain it. Second, the unitig sequences are concatenated with separator characters and indexed using a run-length FM-index. Third, a genome path index is constructed that records, for each genome, the ordered sequence of unitig identifiers traversed when walking the genome through the graph. This path is delta-encoded and reference-compressed within species clusters to minimize storage. Fourth, a</w:t>
      </w:r>
      <w:r>
        <w:t xml:space="preserve"> </w:t>
      </w:r>
      <w:r>
        <w:rPr>
          <w:i/>
          <w:iCs/>
        </w:rPr>
        <w:t xml:space="preserve">specificity index</w:t>
      </w:r>
      <w:r>
        <w:t xml:space="preserve"> </w:t>
      </w:r>
      <w:r>
        <w:t xml:space="preserve">is built by scanning the colour index to identify genome-private unitigs (present in</w:t>
      </w:r>
      <w:r>
        <w:t xml:space="preserve"> </w:t>
      </w:r>
      <m:oMath>
        <m:r>
          <m:rPr>
            <m:sty m:val="p"/>
          </m:rPr>
          <m:t>≤</m:t>
        </m:r>
        <m:r>
          <m:t>3</m:t>
        </m:r>
      </m:oMath>
      <w:r>
        <w:t xml:space="preserve"> </w:t>
      </w:r>
      <w:r>
        <w:t xml:space="preserve">genomes). For each genome, the set of its private unitig IDs is stored as a Roaring Bitmap, enabling</w:t>
      </w:r>
      <w:r>
        <w:t xml:space="preserve"> </w:t>
      </w:r>
      <m:oMath>
        <m:r>
          <m:t>O</m:t>
        </m:r>
        <m:d>
          <m:dPr>
            <m:begChr m:val="("/>
            <m:endChr m:val=")"/>
            <m:sepChr m:val=""/>
            <m:grow/>
          </m:dPr>
          <m:e>
            <m:r>
              <m:t>1</m:t>
            </m:r>
          </m:e>
        </m:d>
      </m:oMath>
      <w:r>
        <w:t xml:space="preserve"> </w:t>
      </w:r>
      <w:r>
        <w:t xml:space="preserve">intersection queries during search to quantify strain-specific evidence.</w:t>
      </w:r>
    </w:p>
    <w:p>
      <w:pPr>
        <w:pStyle w:val="BodyText"/>
      </w:pPr>
      <w:r>
        <w:t xml:space="preserve">Table </w:t>
      </w:r>
      <w:hyperlink w:anchor="tab:index_size">
        <w:r>
          <w:rPr>
            <w:rStyle w:val="Hyperlink"/>
          </w:rPr>
          <w:t xml:space="preserve">1</w:t>
        </w:r>
      </w:hyperlink>
      <w:r>
        <w:t xml:space="preserve"> </w:t>
      </w:r>
      <w:r>
        <w:t xml:space="preserve">compares Dragon’s index size against existing tools across three database scales. At the full scale of 2.34 million prokaryotic genomes, Dragon’s index occupies approximately 100 GB—a 50-fold reduction from LexicMap’s 5.46 TB.</w:t>
      </w:r>
    </w:p>
    <w:bookmarkStart w:id="21" w:name="tab:index_size"/>
    <w:p>
      <w:pPr>
        <w:pStyle w:val="TableCaption"/>
      </w:pPr>
      <w:r>
        <w:t xml:space="preserve">Index size comparison across database scales.</w:t>
      </w:r>
    </w:p>
    <w:tbl>
      <w:tblPr>
        <w:tblStyle w:val="Table"/>
        <w:tblW w:type="auto" w:w="0"/>
        <w:tblLook w:firstRow="1" w:lastRow="0" w:firstColumn="0" w:lastColumn="0" w:noHBand="0" w:noVBand="0" w:val="0020"/>
        <w:tblCaption w:val="Index size comparison across database scales."/>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right"/>
            </w:pPr>
            <w:r>
              <w:rPr>
                <w:b/>
                <w:bCs/>
              </w:rPr>
              <w:t xml:space="preserve">500 genomes</w:t>
            </w:r>
          </w:p>
        </w:tc>
        <w:tc>
          <w:tcPr/>
          <w:p>
            <w:pPr>
              <w:pStyle w:val="Compact"/>
              <w:jc w:val="right"/>
            </w:pPr>
            <w:r>
              <w:rPr>
                <w:b/>
                <w:bCs/>
              </w:rPr>
              <w:t xml:space="preserve">85K genomes</w:t>
            </w:r>
          </w:p>
        </w:tc>
        <w:tc>
          <w:tcPr/>
          <w:p>
            <w:pPr>
              <w:pStyle w:val="Compact"/>
              <w:jc w:val="right"/>
            </w:pPr>
            <w:r>
              <w:rPr>
                <w:b/>
                <w:bCs/>
              </w:rPr>
              <w:t xml:space="preserve">2.34M genomes</w:t>
            </w:r>
          </w:p>
        </w:tc>
      </w:tr>
      <w:tr>
        <w:tc>
          <w:tcPr/>
          <w:p>
            <w:pPr>
              <w:pStyle w:val="Compact"/>
              <w:jc w:val="left"/>
            </w:pPr>
            <w:r>
              <w:t xml:space="preserve">Dragon</w:t>
            </w:r>
          </w:p>
        </w:tc>
        <w:tc>
          <w:tcPr/>
          <w:p>
            <w:pPr>
              <w:pStyle w:val="Compact"/>
              <w:jc w:val="right"/>
            </w:pPr>
            <w:r>
              <w:t xml:space="preserve">1.5 GB</w:t>
            </w:r>
          </w:p>
        </w:tc>
        <w:tc>
          <w:tcPr/>
          <w:p>
            <w:pPr>
              <w:pStyle w:val="Compact"/>
              <w:jc w:val="right"/>
            </w:pPr>
            <w:r>
              <w:t xml:space="preserve">15 GB</w:t>
            </w:r>
          </w:p>
        </w:tc>
        <w:tc>
          <w:tcPr/>
          <w:p>
            <w:pPr>
              <w:pStyle w:val="Compact"/>
              <w:jc w:val="right"/>
            </w:pPr>
            <w:r>
              <w:t xml:space="preserve">~100 GB</w:t>
            </w:r>
          </w:p>
        </w:tc>
      </w:tr>
      <w:tr>
        <w:tc>
          <w:tcPr/>
          <w:p>
            <w:pPr>
              <w:pStyle w:val="Compact"/>
              <w:jc w:val="left"/>
            </w:pPr>
            <w:r>
              <w:t xml:space="preserve">LexicMap</w:t>
            </w:r>
          </w:p>
        </w:tc>
        <w:tc>
          <w:tcPr/>
          <w:p>
            <w:pPr>
              <w:pStyle w:val="Compact"/>
              <w:jc w:val="right"/>
            </w:pPr>
            <w:r>
              <w:t xml:space="preserve">10 GB</w:t>
            </w:r>
          </w:p>
        </w:tc>
        <w:tc>
          <w:tcPr/>
          <w:p>
            <w:pPr>
              <w:pStyle w:val="Compact"/>
              <w:jc w:val="right"/>
            </w:pPr>
            <w:r>
              <w:t xml:space="preserve">200 GB</w:t>
            </w:r>
          </w:p>
        </w:tc>
        <w:tc>
          <w:tcPr/>
          <w:p>
            <w:pPr>
              <w:pStyle w:val="Compact"/>
              <w:jc w:val="right"/>
            </w:pPr>
            <w:r>
              <w:t xml:space="preserve">5,460 GB</w:t>
            </w:r>
          </w:p>
        </w:tc>
      </w:tr>
      <w:tr>
        <w:tc>
          <w:tcPr/>
          <w:p>
            <w:pPr>
              <w:pStyle w:val="Compact"/>
              <w:jc w:val="left"/>
            </w:pPr>
            <w:r>
              <w:t xml:space="preserve">Minimap2</w:t>
            </w:r>
          </w:p>
        </w:tc>
        <w:tc>
          <w:tcPr/>
          <w:p>
            <w:pPr>
              <w:pStyle w:val="Compact"/>
              <w:jc w:val="right"/>
            </w:pPr>
            <w:r>
              <w:t xml:space="preserve">2 GB</w:t>
            </w:r>
          </w:p>
        </w:tc>
        <w:tc>
          <w:tcPr/>
          <w:p>
            <w:pPr>
              <w:pStyle w:val="Compact"/>
              <w:jc w:val="right"/>
            </w:pPr>
            <w:r>
              <w:t xml:space="preserve">50 GB</w:t>
            </w:r>
          </w:p>
        </w:tc>
        <w:tc>
          <w:tcPr/>
          <w:p>
            <w:pPr>
              <w:pStyle w:val="Compact"/>
              <w:jc w:val="right"/>
            </w:pPr>
            <w:r>
              <w:t xml:space="preserve">N/A</w:t>
            </w:r>
            <w:r>
              <w:rPr>
                <w:vertAlign w:val="superscript"/>
              </w:rPr>
              <w:t xml:space="preserve">a</w:t>
            </w:r>
          </w:p>
        </w:tc>
      </w:tr>
      <w:tr>
        <w:tc>
          <w:tcPr/>
          <w:p>
            <w:pPr>
              <w:pStyle w:val="Compact"/>
              <w:jc w:val="left"/>
            </w:pPr>
            <w:r>
              <w:t xml:space="preserve">BLASTn</w:t>
            </w:r>
          </w:p>
        </w:tc>
        <w:tc>
          <w:tcPr/>
          <w:p>
            <w:pPr>
              <w:pStyle w:val="Compact"/>
              <w:jc w:val="right"/>
            </w:pPr>
            <w:r>
              <w:t xml:space="preserve">3 GB</w:t>
            </w:r>
          </w:p>
        </w:tc>
        <w:tc>
          <w:tcPr/>
          <w:p>
            <w:pPr>
              <w:pStyle w:val="Compact"/>
              <w:jc w:val="right"/>
            </w:pPr>
            <w:r>
              <w:t xml:space="preserve">80 GB</w:t>
            </w:r>
          </w:p>
        </w:tc>
        <w:tc>
          <w:tcPr/>
          <w:p>
            <w:pPr>
              <w:pStyle w:val="Compact"/>
              <w:jc w:val="right"/>
            </w:pPr>
            <w:r>
              <w:t xml:space="preserve">N/A</w:t>
            </w:r>
            <w:r>
              <w:rPr>
                <w:vertAlign w:val="superscript"/>
              </w:rPr>
              <w:t xml:space="preserve">a</w:t>
            </w:r>
          </w:p>
        </w:tc>
      </w:tr>
      <w:tr>
        <w:tc>
          <w:tcPr/>
          <w:p>
            <w:pPr>
              <w:pStyle w:val="Compact"/>
              <w:jc w:val="left"/>
            </w:pPr>
            <w:r>
              <w:t xml:space="preserve">MMseqs2</w:t>
            </w:r>
          </w:p>
        </w:tc>
        <w:tc>
          <w:tcPr/>
          <w:p>
            <w:pPr>
              <w:pStyle w:val="Compact"/>
              <w:jc w:val="right"/>
            </w:pPr>
            <w:r>
              <w:t xml:space="preserve">2 GB</w:t>
            </w:r>
          </w:p>
        </w:tc>
        <w:tc>
          <w:tcPr/>
          <w:p>
            <w:pPr>
              <w:pStyle w:val="Compact"/>
              <w:jc w:val="right"/>
            </w:pPr>
            <w:r>
              <w:t xml:space="preserve">40 GB</w:t>
            </w:r>
          </w:p>
        </w:tc>
        <w:tc>
          <w:tcPr/>
          <w:p>
            <w:pPr>
              <w:pStyle w:val="Compact"/>
              <w:jc w:val="right"/>
            </w:pPr>
            <w:r>
              <w:t xml:space="preserve">N/A</w:t>
            </w:r>
            <w:r>
              <w:rPr>
                <w:vertAlign w:val="superscript"/>
              </w:rPr>
              <w:t xml:space="preserve">a</w:t>
            </w:r>
          </w:p>
        </w:tc>
      </w:tr>
      <w:tr>
        <w:tc>
          <w:tcPr>
            <w:gridSpan w:val="4"/>
          </w:tcPr>
          <w:p>
            <w:pPr>
              <w:pStyle w:val="Compact"/>
              <w:jc w:val="left"/>
            </w:pPr>
            <w:r>
              <w:rPr>
                <w:vertAlign w:val="superscript"/>
              </w:rPr>
              <w:t xml:space="preserve">a</w:t>
            </w:r>
            <w:r>
              <w:t xml:space="preserve">Tool does not scale to this database size.</w:t>
            </w:r>
          </w:p>
        </w:tc>
      </w:tr>
    </w:tbl>
    <w:bookmarkEnd w:id="21"/>
    <w:bookmarkEnd w:id="22"/>
    <w:bookmarkStart w:id="23" w:name="X6684b83f9c4c28a19c4ffe304ba2d07595e381c"/>
    <w:p>
      <w:pPr>
        <w:pStyle w:val="Heading2"/>
      </w:pPr>
      <w:r>
        <w:t xml:space="preserve">Dragon achieves comparable sensitivity with lower resources</w:t>
      </w:r>
    </w:p>
    <w:p>
      <w:pPr>
        <w:pStyle w:val="FirstParagraph"/>
      </w:pPr>
      <w:r>
        <w:t xml:space="preserve">We benchmarked Dragon against seven tools (LexicMap, Minimap2, BLASTn, MMseqs2, COBS, sourmash, and skani) using a controlled simulation framework (Methods). One thousand gene-like subsequences (500–5,000 bp) were extracted from 100 diverse genomes and mutated at six divergence levels (0–15%).</w:t>
      </w:r>
    </w:p>
    <w:p>
      <w:pPr>
        <w:pStyle w:val="BodyText"/>
      </w:pPr>
      <w:r>
        <w:t xml:space="preserve">Figure </w:t>
      </w:r>
      <w:hyperlink w:anchor="fig:sensitivity">
        <w:r>
          <w:rPr>
            <w:rStyle w:val="Hyperlink"/>
          </w:rPr>
          <w:t xml:space="preserve">2</w:t>
        </w:r>
      </w:hyperlink>
      <w:r>
        <w:t xml:space="preserve"> </w:t>
      </w:r>
      <w:r>
        <w:t xml:space="preserve">shows sensitivity (recall) as a function of sequence divergence. At 0% divergence, all alignment-capable tools achieve</w:t>
      </w:r>
      <w:r>
        <w:t xml:space="preserve"> </w:t>
      </w:r>
      <m:oMath>
        <m:r>
          <m:rPr>
            <m:sty m:val="p"/>
          </m:rPr>
          <m:t>&gt;</m:t>
        </m:r>
      </m:oMath>
      <w:r>
        <w:t xml:space="preserve">95% sensitivity. Dragon maintains</w:t>
      </w:r>
      <w:r>
        <w:t xml:space="preserve"> </w:t>
      </w:r>
      <m:oMath>
        <m:r>
          <m:rPr>
            <m:sty m:val="p"/>
          </m:rPr>
          <m:t>&gt;</m:t>
        </m:r>
      </m:oMath>
      <w:r>
        <w:t xml:space="preserve">90% sensitivity up to 10% divergence, comparable to LexicMap and BLASTn, and substantially outperforming k-mer containment methods (COBS, sourmash). At 15% divergence, Dragon’s sensitivity degrades to ~80%, similar to LexicMap (78%) and below BLASTn (88%), reflecting the trade-off between seed specificity (31-mer seeds) and mutation tolerance.</w:t>
      </w:r>
    </w:p>
    <w:bookmarkEnd w:id="23"/>
    <w:bookmarkStart w:id="25" w:name="X936d405b3bd70a5bd517ddc5f4af6a2ecf7f595"/>
    <w:p>
      <w:pPr>
        <w:pStyle w:val="Heading2"/>
      </w:pPr>
      <w:r>
        <w:t xml:space="preserve">Dragon scales to millions of genomes on consumer hardware</w:t>
      </w:r>
    </w:p>
    <w:p>
      <w:pPr>
        <w:pStyle w:val="FirstParagraph"/>
      </w:pPr>
      <w:r>
        <w:t xml:space="preserve">A central motivation for Dragon is enabling large-scale searches on modest hardware. Table </w:t>
      </w:r>
      <w:hyperlink w:anchor="tab:resources">
        <w:r>
          <w:rPr>
            <w:rStyle w:val="Hyperlink"/>
          </w:rPr>
          <w:t xml:space="preserve">2</w:t>
        </w:r>
      </w:hyperlink>
      <w:r>
        <w:t xml:space="preserve"> </w:t>
      </w:r>
      <w:r>
        <w:t xml:space="preserve">reports peak query RAM across database scales. Dragon’s RAM usage remains below 4 GB even at the 2.34-million-genome scale, compared to LexicMap’s 4–25 GB (depending on query type) and Minimap2’s linear scaling.</w:t>
      </w:r>
    </w:p>
    <w:bookmarkStart w:id="24" w:name="tab:resources"/>
    <w:p>
      <w:pPr>
        <w:pStyle w:val="TableCaption"/>
      </w:pPr>
      <w:r>
        <w:t xml:space="preserve">Peak query RAM (GB) comparison.</w:t>
      </w:r>
    </w:p>
    <w:tbl>
      <w:tblPr>
        <w:tblStyle w:val="Table"/>
        <w:tblW w:type="auto" w:w="0"/>
        <w:tblLook w:firstRow="1" w:lastRow="0" w:firstColumn="0" w:lastColumn="0" w:noHBand="0" w:noVBand="0" w:val="0020"/>
        <w:tblCaption w:val="Peak query RAM (GB) comparison."/>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right"/>
            </w:pPr>
            <w:r>
              <w:rPr>
                <w:b/>
                <w:bCs/>
              </w:rPr>
              <w:t xml:space="preserve">500 genomes</w:t>
            </w:r>
          </w:p>
        </w:tc>
        <w:tc>
          <w:tcPr/>
          <w:p>
            <w:pPr>
              <w:pStyle w:val="Compact"/>
              <w:jc w:val="right"/>
            </w:pPr>
            <w:r>
              <w:rPr>
                <w:b/>
                <w:bCs/>
              </w:rPr>
              <w:t xml:space="preserve">85K genomes</w:t>
            </w:r>
          </w:p>
        </w:tc>
        <w:tc>
          <w:tcPr/>
          <w:p>
            <w:pPr>
              <w:pStyle w:val="Compact"/>
              <w:jc w:val="right"/>
            </w:pPr>
            <w:r>
              <w:rPr>
                <w:b/>
                <w:bCs/>
              </w:rPr>
              <w:t xml:space="preserve">2.34M genomes</w:t>
            </w:r>
          </w:p>
        </w:tc>
      </w:tr>
      <w:tr>
        <w:tc>
          <w:tcPr/>
          <w:p>
            <w:pPr>
              <w:pStyle w:val="Compact"/>
              <w:jc w:val="left"/>
            </w:pPr>
            <w:r>
              <w:t xml:space="preserve">Dragon</w:t>
            </w:r>
          </w:p>
        </w:tc>
        <w:tc>
          <w:tcPr/>
          <w:p>
            <w:pPr>
              <w:pStyle w:val="Compact"/>
              <w:jc w:val="right"/>
            </w:pPr>
            <w:r>
              <w:t xml:space="preserve">0.3</w:t>
            </w:r>
          </w:p>
        </w:tc>
        <w:tc>
          <w:tcPr/>
          <w:p>
            <w:pPr>
              <w:pStyle w:val="Compact"/>
              <w:jc w:val="right"/>
            </w:pPr>
            <w:r>
              <w:t xml:space="preserve">1.5</w:t>
            </w:r>
          </w:p>
        </w:tc>
        <w:tc>
          <w:tcPr/>
          <w:p>
            <w:pPr>
              <w:pStyle w:val="Compact"/>
              <w:jc w:val="right"/>
            </w:pPr>
            <w:r>
              <w:t xml:space="preserve">3.5</w:t>
            </w:r>
          </w:p>
        </w:tc>
      </w:tr>
      <w:tr>
        <w:tc>
          <w:tcPr/>
          <w:p>
            <w:pPr>
              <w:pStyle w:val="Compact"/>
              <w:jc w:val="left"/>
            </w:pPr>
            <w:r>
              <w:t xml:space="preserve">LexicMap</w:t>
            </w:r>
          </w:p>
        </w:tc>
        <w:tc>
          <w:tcPr/>
          <w:p>
            <w:pPr>
              <w:pStyle w:val="Compact"/>
              <w:jc w:val="right"/>
            </w:pPr>
            <w:r>
              <w:t xml:space="preserve">1.0</w:t>
            </w:r>
          </w:p>
        </w:tc>
        <w:tc>
          <w:tcPr/>
          <w:p>
            <w:pPr>
              <w:pStyle w:val="Compact"/>
              <w:jc w:val="right"/>
            </w:pPr>
            <w:r>
              <w:t xml:space="preserve">4.0</w:t>
            </w:r>
          </w:p>
        </w:tc>
        <w:tc>
          <w:tcPr/>
          <w:p>
            <w:pPr>
              <w:pStyle w:val="Compact"/>
              <w:jc w:val="right"/>
            </w:pPr>
            <w:r>
              <w:t xml:space="preserve">4–25</w:t>
            </w:r>
          </w:p>
        </w:tc>
      </w:tr>
      <w:tr>
        <w:tc>
          <w:tcPr/>
          <w:p>
            <w:pPr>
              <w:pStyle w:val="Compact"/>
              <w:jc w:val="left"/>
            </w:pPr>
            <w:r>
              <w:t xml:space="preserve">Minimap2</w:t>
            </w:r>
          </w:p>
        </w:tc>
        <w:tc>
          <w:tcPr/>
          <w:p>
            <w:pPr>
              <w:pStyle w:val="Compact"/>
              <w:jc w:val="right"/>
            </w:pPr>
            <w:r>
              <w:t xml:space="preserve">1.5</w:t>
            </w:r>
          </w:p>
        </w:tc>
        <w:tc>
          <w:tcPr/>
          <w:p>
            <w:pPr>
              <w:pStyle w:val="Compact"/>
              <w:jc w:val="right"/>
            </w:pPr>
            <w:r>
              <w:t xml:space="preserve">8.0</w:t>
            </w:r>
          </w:p>
        </w:tc>
        <w:tc>
          <w:tcPr/>
          <w:p>
            <w:pPr>
              <w:pStyle w:val="Compact"/>
              <w:jc w:val="right"/>
            </w:pPr>
            <w:r>
              <w:t xml:space="preserve">N/A</w:t>
            </w:r>
          </w:p>
        </w:tc>
      </w:tr>
      <w:tr>
        <w:tc>
          <w:tcPr/>
          <w:p>
            <w:pPr>
              <w:pStyle w:val="Compact"/>
              <w:jc w:val="left"/>
            </w:pPr>
            <w:r>
              <w:t xml:space="preserve">BLASTn</w:t>
            </w:r>
          </w:p>
        </w:tc>
        <w:tc>
          <w:tcPr/>
          <w:p>
            <w:pPr>
              <w:pStyle w:val="Compact"/>
              <w:jc w:val="right"/>
            </w:pPr>
            <w:r>
              <w:t xml:space="preserve">0.5</w:t>
            </w:r>
          </w:p>
        </w:tc>
        <w:tc>
          <w:tcPr/>
          <w:p>
            <w:pPr>
              <w:pStyle w:val="Compact"/>
              <w:jc w:val="right"/>
            </w:pPr>
            <w:r>
              <w:t xml:space="preserve">4.0</w:t>
            </w:r>
          </w:p>
        </w:tc>
        <w:tc>
          <w:tcPr/>
          <w:p>
            <w:pPr>
              <w:pStyle w:val="Compact"/>
              <w:jc w:val="right"/>
            </w:pPr>
            <w:r>
              <w:t xml:space="preserve">N/A</w:t>
            </w:r>
          </w:p>
        </w:tc>
      </w:tr>
      <w:tr>
        <w:tc>
          <w:tcPr/>
          <w:p>
            <w:pPr>
              <w:pStyle w:val="Compact"/>
              <w:jc w:val="left"/>
            </w:pPr>
            <w:r>
              <w:t xml:space="preserve">sourmash</w:t>
            </w:r>
          </w:p>
        </w:tc>
        <w:tc>
          <w:tcPr/>
          <w:p>
            <w:pPr>
              <w:pStyle w:val="Compact"/>
              <w:jc w:val="right"/>
            </w:pPr>
            <w:r>
              <w:t xml:space="preserve">0.2</w:t>
            </w:r>
          </w:p>
        </w:tc>
        <w:tc>
          <w:tcPr/>
          <w:p>
            <w:pPr>
              <w:pStyle w:val="Compact"/>
              <w:jc w:val="right"/>
            </w:pPr>
            <w:r>
              <w:t xml:space="preserve">0.8</w:t>
            </w:r>
          </w:p>
        </w:tc>
        <w:tc>
          <w:tcPr/>
          <w:p>
            <w:pPr>
              <w:pStyle w:val="Compact"/>
              <w:jc w:val="right"/>
            </w:pPr>
            <w:r>
              <w:t xml:space="preserve">2.0</w:t>
            </w:r>
          </w:p>
        </w:tc>
      </w:tr>
    </w:tbl>
    <w:bookmarkEnd w:id="24"/>
    <w:p>
      <w:pPr>
        <w:pStyle w:val="BodyText"/>
      </w:pPr>
      <w:r>
        <w:t xml:space="preserve">On a consumer laptop (Apple M2, 16 GB RAM, 512 GB SSD), Dragon successfully indexed and queried 85,000 GTDB representative genomes with a peak RAM of 1.5 GB during query and 3 GB during index construction. By contrast, LexicMap’s 200 GB index for the same database exceeds the SSD capacity of many laptops.</w:t>
      </w:r>
    </w:p>
    <w:bookmarkEnd w:id="25"/>
    <w:bookmarkStart w:id="26" w:name="X2c4d9b1a561941e9d5dbc93d60aea1dce595f61"/>
    <w:p>
      <w:pPr>
        <w:pStyle w:val="Heading2"/>
      </w:pPr>
      <w:r>
        <w:t xml:space="preserve">Read simulation reveals robustness to sequencing errors</w:t>
      </w:r>
    </w:p>
    <w:p>
      <w:pPr>
        <w:pStyle w:val="FirstParagraph"/>
      </w:pPr>
      <w:r>
        <w:t xml:space="preserve">To assess Dragon’s performance on realistic long-read data, we simulated Oxford Nanopore reads using Badread</w:t>
      </w:r>
      <w:r>
        <w:t xml:space="preserve"> </w:t>
      </w:r>
      <w:r>
        <w:t xml:space="preserve"> </w:t>
      </w:r>
      <w:r>
        <w:t xml:space="preserve">from 50 genomes at read identities ranging from 85% to 99%. Dragon maintained</w:t>
      </w:r>
      <w:r>
        <w:t xml:space="preserve"> </w:t>
      </w:r>
      <m:oMath>
        <m:r>
          <m:rPr>
            <m:sty m:val="p"/>
          </m:rPr>
          <m:t>&gt;</m:t>
        </m:r>
      </m:oMath>
      <w:r>
        <w:t xml:space="preserve">85% sensitivity at 90% read identity and</w:t>
      </w:r>
      <w:r>
        <w:t xml:space="preserve"> </w:t>
      </w:r>
      <m:oMath>
        <m:r>
          <m:rPr>
            <m:sty m:val="p"/>
          </m:rPr>
          <m:t>&gt;</m:t>
        </m:r>
      </m:oMath>
      <w:r>
        <w:t xml:space="preserve">95% sensitivity at 95% identity, demonstrating that its variable-length seed matching (extending FM-index backward search until the SA interval is empty) provides sufficient error tolerance for modern long-read data.</w:t>
      </w:r>
    </w:p>
    <w:bookmarkEnd w:id="26"/>
    <w:bookmarkStart w:id="27" w:name="batch-query-performance"/>
    <w:p>
      <w:pPr>
        <w:pStyle w:val="Heading2"/>
      </w:pPr>
      <w:r>
        <w:t xml:space="preserve">Batch query performance</w:t>
      </w:r>
    </w:p>
    <w:p>
      <w:pPr>
        <w:pStyle w:val="FirstParagraph"/>
      </w:pPr>
      <w:r>
        <w:t xml:space="preserve">Dragon’s FM-index architecture is inherently batch-friendly: multiple queries can be processed in parallel over the shared, read-only, memory-mapped index using Rust’s</w:t>
      </w:r>
      <w:r>
        <w:t xml:space="preserve"> </w:t>
      </w:r>
      <w:r>
        <w:rPr>
          <w:rStyle w:val="VerbatimChar"/>
        </w:rPr>
        <w:t xml:space="preserve">rayon</w:t>
      </w:r>
      <w:r>
        <w:t xml:space="preserve"> </w:t>
      </w:r>
      <w:r>
        <w:t xml:space="preserve">parallel iterator library. Searching 1,003 antimicrobial resistance (AMR) genes from the CARD database against 85,000 GTDB genomes completed in 12 minutes using 8 threads, compared to LexicMap’s estimated several hours for the same task. This improvement stems from Dragon’s ability to amortize index loading across queries, whereas LexicMap’s probe-based approach requires per-query seed regeneration.</w:t>
      </w:r>
    </w:p>
    <w:bookmarkEnd w:id="27"/>
    <w:bookmarkStart w:id="28" w:name="X7e9ba5532dc2f0d80c3f18af78d1801c0454ab5"/>
    <w:p>
      <w:pPr>
        <w:pStyle w:val="Heading2"/>
      </w:pPr>
      <w:r>
        <w:t xml:space="preserve">Case study: antimicrobial resistance gene surveillance</w:t>
      </w:r>
    </w:p>
    <w:p>
      <w:pPr>
        <w:pStyle w:val="FirstParagraph"/>
      </w:pPr>
      <w:r>
        <w:t xml:space="preserve">As a practical demonstration, we searched the CARD AMR gene database (1,003 genes) against the GTDB r220 representative genomes. Dragon identified 45,231 high-confidence matches (</w:t>
      </w:r>
      <m:oMath>
        <m:r>
          <m:rPr>
            <m:sty m:val="p"/>
          </m:rPr>
          <m:t>&gt;</m:t>
        </m:r>
      </m:oMath>
      <w:r>
        <w:t xml:space="preserve">80% identity,</w:t>
      </w:r>
      <w:r>
        <w:t xml:space="preserve"> </w:t>
      </w:r>
      <m:oMath>
        <m:r>
          <m:rPr>
            <m:sty m:val="p"/>
          </m:rPr>
          <m:t>&gt;</m:t>
        </m:r>
      </m:oMath>
      <w:r>
        <w:t xml:space="preserve">80% query coverage) across 12,487 genomes spanning 8,234 species. The search completed in 12 minutes on 8 threads with 1.8 GB peak RAM.</w:t>
      </w:r>
    </w:p>
    <w:bookmarkEnd w:id="28"/>
    <w:bookmarkStart w:id="29" w:name="surveillance-ready-output"/>
    <w:p>
      <w:pPr>
        <w:pStyle w:val="Heading2"/>
      </w:pPr>
      <w:r>
        <w:t xml:space="preserve">Surveillance-ready output</w:t>
      </w:r>
    </w:p>
    <w:p>
      <w:pPr>
        <w:pStyle w:val="FirstParagraph"/>
      </w:pPr>
      <w:r>
        <w:t xml:space="preserve">Dragon provides a built-in</w:t>
      </w:r>
      <w:r>
        <w:t xml:space="preserve"> </w:t>
      </w:r>
      <w:r>
        <w:rPr>
          <w:rStyle w:val="VerbatimChar"/>
        </w:rPr>
        <w:t xml:space="preserve">dragon summarize</w:t>
      </w:r>
      <w:r>
        <w:t xml:space="preserve"> </w:t>
      </w:r>
      <w:r>
        <w:t xml:space="preserve">subcommand that transforms raw alignment output into surveillance-ready reports. Given PAF alignments, it produces:</w:t>
      </w:r>
    </w:p>
    <w:p>
      <w:pPr>
        <w:numPr>
          <w:ilvl w:val="0"/>
          <w:numId w:val="1002"/>
        </w:numPr>
      </w:pPr>
      <w:r>
        <w:rPr>
          <w:b/>
          <w:bCs/>
        </w:rPr>
        <w:t xml:space="preserve">Species-level prevalence tables:</w:t>
      </w:r>
      <w:r>
        <w:t xml:space="preserve"> </w:t>
      </w:r>
      <w:r>
        <w:t xml:space="preserve">For each query (e.g., an AMR gene), the fraction of database genomes matching at each species level, enabling rapid assessment of gene distribution across taxa.</w:t>
      </w:r>
    </w:p>
    <w:p>
      <w:pPr>
        <w:numPr>
          <w:ilvl w:val="0"/>
          <w:numId w:val="1002"/>
        </w:numPr>
      </w:pPr>
      <w:r>
        <w:rPr>
          <w:b/>
          <w:bCs/>
        </w:rPr>
        <w:t xml:space="preserve">ANI distribution statistics:</w:t>
      </w:r>
      <w:r>
        <w:t xml:space="preserve"> </w:t>
      </w:r>
      <w:r>
        <w:t xml:space="preserve">Mean, median, standard deviation, minimum, and maximum nucleotide identity per species, quantifying sequence diversity among hits.</w:t>
      </w:r>
    </w:p>
    <w:p>
      <w:pPr>
        <w:numPr>
          <w:ilvl w:val="0"/>
          <w:numId w:val="1002"/>
        </w:numPr>
      </w:pPr>
      <w:r>
        <w:rPr>
          <w:b/>
          <w:bCs/>
        </w:rPr>
        <w:t xml:space="preserve">Aggregate cross-query summaries:</w:t>
      </w:r>
      <w:r>
        <w:t xml:space="preserve"> </w:t>
      </w:r>
      <w:r>
        <w:t xml:space="preserve">When multiple queries are searched (e.g., a panel of AMR genes), Dragon aggregates species presence across all queries to identify taxa carrying multiple resistance determinants.</w:t>
      </w:r>
    </w:p>
    <w:p>
      <w:pPr>
        <w:numPr>
          <w:ilvl w:val="0"/>
          <w:numId w:val="1002"/>
        </w:numPr>
      </w:pPr>
      <w:r>
        <w:rPr>
          <w:b/>
          <w:bCs/>
        </w:rPr>
        <w:t xml:space="preserve">Graph-context subgraphs:</w:t>
      </w:r>
      <w:r>
        <w:t xml:space="preserve"> </w:t>
      </w:r>
      <w:r>
        <w:t xml:space="preserve">The</w:t>
      </w:r>
      <w:r>
        <w:t xml:space="preserve"> </w:t>
      </w:r>
      <w:r>
        <w:rPr>
          <w:rStyle w:val="VerbatimChar"/>
        </w:rPr>
        <w:t xml:space="preserve">–format gfa</w:t>
      </w:r>
      <w:r>
        <w:t xml:space="preserve"> </w:t>
      </w:r>
      <w:r>
        <w:t xml:space="preserve">output extracts induced subgraphs around each hit, annotating unitigs with information content (genome specificity), private-marker status, and Bandage-compatible colour tags (</w:t>
      </w:r>
      <w:r>
        <w:t xml:space="preserve">red</w:t>
      </w:r>
      <w:r>
        <w:t xml:space="preserve"> = hit,</w:t>
      </w:r>
      <w:r>
        <w:t xml:space="preserve"> </w:t>
      </w:r>
      <w:r>
        <w:t xml:space="preserve">green</w:t>
      </w:r>
      <w:r>
        <w:t xml:space="preserve"> = strain-specific context, grey = core genome). This enables visual assessment of genomic context—e.g., whether an AMR gene resides on a plasmid-like or chromosomal region.</w:t>
      </w:r>
    </w:p>
    <w:p>
      <w:pPr>
        <w:pStyle w:val="FirstParagraph"/>
      </w:pPr>
      <w:r>
        <w:t xml:space="preserve">Output is available in TSV (for spreadsheets and pipelines) and JSON (for programmatic consumption), supporting integration into automated surveillance workflows.</w:t>
      </w:r>
    </w:p>
    <w:bookmarkEnd w:id="29"/>
    <w:bookmarkStart w:id="30" w:name="incremental-index-updates"/>
    <w:p>
      <w:pPr>
        <w:pStyle w:val="Heading2"/>
      </w:pPr>
      <w:r>
        <w:t xml:space="preserve">Incremental index updates</w:t>
      </w:r>
    </w:p>
    <w:p>
      <w:pPr>
        <w:pStyle w:val="FirstParagraph"/>
      </w:pPr>
      <w:r>
        <w:t xml:space="preserve">A practical challenge for surveillance databases is incorporating newly sequenced genomes without rebuilding the entire index. Dragon supports incremental updates via an overlay architecture. The</w:t>
      </w:r>
      <w:r>
        <w:t xml:space="preserve"> </w:t>
      </w:r>
      <w:r>
        <w:rPr>
          <w:rStyle w:val="VerbatimChar"/>
        </w:rPr>
        <w:t xml:space="preserve">dragon update</w:t>
      </w:r>
      <w:r>
        <w:t xml:space="preserve"> </w:t>
      </w:r>
      <w:r>
        <w:t xml:space="preserve">command builds a lightweight overlay index from new genomes and stores it alongside the base index:</w:t>
      </w:r>
    </w:p>
    <w:p>
      <w:pPr>
        <w:pStyle w:val="SourceCode"/>
      </w:pPr>
      <w:r>
        <w:rPr>
          <w:rStyle w:val="VerbatimChar"/>
        </w:rPr>
        <w:t xml:space="preserve">dragon update --index /data/refseq_index --genomes /data/new_genomes/</w:t>
      </w:r>
    </w:p>
    <w:p>
      <w:pPr>
        <w:pStyle w:val="FirstParagraph"/>
      </w:pPr>
      <w:r>
        <w:t xml:space="preserve">Queries automatically search both the base index and all overlays, merging results by score with deduplication. An overlay manifest (</w:t>
      </w:r>
      <w:r>
        <w:rPr>
          <w:rStyle w:val="VerbatimChar"/>
        </w:rPr>
        <w:t xml:space="preserve">overlay_manifest.json</w:t>
      </w:r>
      <w:r>
        <w:t xml:space="preserve">) tracks genome ID offsets and overlay state. When overlays exceed 10% of the base genome count, Dragon warns that compaction (</w:t>
      </w:r>
      <w:r>
        <w:rPr>
          <w:rStyle w:val="VerbatimChar"/>
        </w:rPr>
        <w:t xml:space="preserve">dragon compact</w:t>
      </w:r>
      <w:r>
        <w:t xml:space="preserve">) would restore optimal performance by rebuilding a single unified index.</w:t>
      </w:r>
    </w:p>
    <w:p>
      <w:pPr>
        <w:pStyle w:val="BodyText"/>
      </w:pPr>
      <w:r>
        <w:t xml:space="preserve">This approach has</w:t>
      </w:r>
      <w:r>
        <w:t xml:space="preserve"> </w:t>
      </w:r>
      <m:oMath>
        <m:r>
          <m:t>O</m:t>
        </m:r>
        <m:d>
          <m:dPr>
            <m:begChr m:val="("/>
            <m:endChr m:val=")"/>
            <m:sepChr m:val=""/>
            <m:grow/>
          </m:dPr>
          <m:e>
            <m:r>
              <m:t>K</m:t>
            </m:r>
          </m:e>
        </m:d>
      </m:oMath>
      <w:r>
        <w:t xml:space="preserve"> </w:t>
      </w:r>
      <w:r>
        <w:t xml:space="preserve">query overhead for</w:t>
      </w:r>
      <w:r>
        <w:t xml:space="preserve"> </w:t>
      </w:r>
      <m:oMath>
        <m:r>
          <m:t>K</m:t>
        </m:r>
      </m:oMath>
      <w:r>
        <w:t xml:space="preserve"> </w:t>
      </w:r>
      <w:r>
        <w:t xml:space="preserve">overlays (typically 1–5), amortised cost of</w:t>
      </w:r>
      <w:r>
        <w:t xml:space="preserve"> </w:t>
      </w:r>
      <m:oMath>
        <m:r>
          <m:t>O</m:t>
        </m:r>
        <m:d>
          <m:dPr>
            <m:begChr m:val="("/>
            <m:endChr m:val=")"/>
            <m:sepChr m:val=""/>
            <m:grow/>
          </m:dPr>
          <m:e>
            <m:r>
              <m:t>G</m:t>
            </m:r>
          </m:e>
        </m:d>
      </m:oMath>
      <w:r>
        <w:t xml:space="preserve"> </w:t>
      </w:r>
      <w:r>
        <w:t xml:space="preserve">per batch update (where</w:t>
      </w:r>
      <w:r>
        <w:t xml:space="preserve"> </w:t>
      </w:r>
      <m:oMath>
        <m:r>
          <m:t>G</m:t>
        </m:r>
      </m:oMath>
      <w:r>
        <w:t xml:space="preserve"> </w:t>
      </w:r>
      <w:r>
        <w:t xml:space="preserve">is the number of new genomes), and zero downtime—the base index remains queryable during overlay construction.</w:t>
      </w:r>
    </w:p>
    <w:bookmarkEnd w:id="30"/>
    <w:bookmarkStart w:id="31" w:name="X6e4ffaaaef8a5f717c86744f87fc6873ee16542"/>
    <w:p>
      <w:pPr>
        <w:pStyle w:val="Heading2"/>
      </w:pPr>
      <w:r>
        <w:t xml:space="preserve">Hardware profiles for constrained deployment</w:t>
      </w:r>
    </w:p>
    <w:p>
      <w:pPr>
        <w:pStyle w:val="FirstParagraph"/>
      </w:pPr>
      <w:r>
        <w:t xml:space="preserve">Dragon formalises two hardware profiles that control resource usage across all operations:</w:t>
      </w:r>
    </w:p>
    <w:p>
      <w:pPr>
        <w:numPr>
          <w:ilvl w:val="0"/>
          <w:numId w:val="1003"/>
        </w:numPr>
      </w:pPr>
      <w:r>
        <w:rPr>
          <w:b/>
          <w:bCs/>
        </w:rPr>
        <w:t xml:space="preserve">Laptop mode</w:t>
      </w:r>
      <w:r>
        <w:t xml:space="preserve"> </w:t>
      </w:r>
      <w:r>
        <w:t xml:space="preserve">(</w:t>
      </w:r>
      <m:oMath>
        <m:r>
          <m:rPr>
            <m:sty m:val="p"/>
          </m:rPr>
          <m:t>≤</m:t>
        </m:r>
      </m:oMath>
      <w:r>
        <w:t xml:space="preserve">8 GB RAM,</w:t>
      </w:r>
      <w:r>
        <w:t xml:space="preserve"> </w:t>
      </w:r>
      <m:oMath>
        <m:r>
          <m:rPr>
            <m:sty m:val="p"/>
          </m:rPr>
          <m:t>≤</m:t>
        </m:r>
      </m:oMath>
      <w:r>
        <w:t xml:space="preserve">4 threads): Enables external-memory suffix array construction, reduces candidate limits, and caps seed frequency. Designed for field deployments and resource-constrained settings.</w:t>
      </w:r>
    </w:p>
    <w:p>
      <w:pPr>
        <w:numPr>
          <w:ilvl w:val="0"/>
          <w:numId w:val="1003"/>
        </w:numPr>
      </w:pPr>
      <w:r>
        <w:rPr>
          <w:b/>
          <w:bCs/>
        </w:rPr>
        <w:t xml:space="preserve">Workstation mode</w:t>
      </w:r>
      <w:r>
        <w:t xml:space="preserve"> </w:t>
      </w:r>
      <w:r>
        <w:t xml:space="preserve">(64–128 GB RAM, all CPUs): Full resources with in-memory construction. Designed for lab servers and cloud instances.</w:t>
      </w:r>
    </w:p>
    <w:p>
      <w:pPr>
        <w:pStyle w:val="FirstParagraph"/>
      </w:pPr>
      <w:r>
        <w:t xml:space="preserve">Profiles are selected via</w:t>
      </w:r>
      <w:r>
        <w:t xml:space="preserve"> </w:t>
      </w:r>
      <w:r>
        <w:rPr>
          <w:rStyle w:val="VerbatimChar"/>
        </w:rPr>
        <w:t xml:space="preserve">–profile laptop</w:t>
      </w:r>
      <w:r>
        <w:t xml:space="preserve"> </w:t>
      </w:r>
      <w:r>
        <w:t xml:space="preserve">or</w:t>
      </w:r>
      <w:r>
        <w:t xml:space="preserve"> </w:t>
      </w:r>
      <w:r>
        <w:rPr>
          <w:rStyle w:val="VerbatimChar"/>
        </w:rPr>
        <w:t xml:space="preserve">–profile workstation</w:t>
      </w:r>
      <w:r>
        <w:t xml:space="preserve"> </w:t>
      </w:r>
      <w:r>
        <w:t xml:space="preserve">and can be overridden with explicit</w:t>
      </w:r>
      <w:r>
        <w:t xml:space="preserve"> </w:t>
      </w:r>
      <w:r>
        <w:rPr>
          <w:rStyle w:val="VerbatimChar"/>
        </w:rPr>
        <w:t xml:space="preserve">–max-ram</w:t>
      </w:r>
      <w:r>
        <w:t xml:space="preserve"> </w:t>
      </w:r>
      <w:r>
        <w:t xml:space="preserve">and</w:t>
      </w:r>
      <w:r>
        <w:t xml:space="preserve"> </w:t>
      </w:r>
      <w:r>
        <w:rPr>
          <w:rStyle w:val="VerbatimChar"/>
        </w:rPr>
        <w:t xml:space="preserve">–threads</w:t>
      </w:r>
      <w:r>
        <w:t xml:space="preserve"> </w:t>
      </w:r>
      <w:r>
        <w:t xml:space="preserve">flags.</w:t>
      </w:r>
    </w:p>
    <w:bookmarkEnd w:id="31"/>
    <w:bookmarkEnd w:id="32"/>
    <w:bookmarkStart w:id="33" w:name="discussion"/>
    <w:p>
      <w:pPr>
        <w:pStyle w:val="Heading1"/>
      </w:pPr>
      <w:r>
        <w:t xml:space="preserve">Discussion</w:t>
      </w:r>
    </w:p>
    <w:p>
      <w:pPr>
        <w:pStyle w:val="FirstParagraph"/>
      </w:pPr>
      <w:r>
        <w:t xml:space="preserve">Dragon demonstrates that exploiting genome redundancy through graph-based indexing and compressed text indices can reduce the resource requirements of large-scale sequence alignment by one to two orders of magnitude, without sacrificing sensitivity.</w:t>
      </w:r>
    </w:p>
    <w:p>
      <w:pPr>
        <w:pStyle w:val="BodyText"/>
      </w:pPr>
      <w:r>
        <w:rPr>
          <w:b/>
          <w:bCs/>
        </w:rPr>
        <w:t xml:space="preserve">Graph-based redundancy elimination.</w:t>
      </w:r>
      <w:r>
        <w:t xml:space="preserve"> </w:t>
      </w:r>
      <w:r>
        <w:t xml:space="preserve">The colored compacted de Bruijn graph is the primary driver of Dragon’s space efficiency. By storing each unique 31-mer context once and annotating it with genome membership, Dragon avoids the</w:t>
      </w:r>
      <w:r>
        <w:t xml:space="preserve"> </w:t>
      </w:r>
      <m:oMath>
        <m:r>
          <m:t>O</m:t>
        </m:r>
        <m:d>
          <m:dPr>
            <m:begChr m:val="("/>
            <m:endChr m:val=")"/>
            <m:sepChr m:val=""/>
            <m:grow/>
          </m:dPr>
          <m:e>
            <m:r>
              <m:t>N</m:t>
            </m:r>
            <m:r>
              <m:rPr>
                <m:sty m:val="p"/>
              </m:rPr>
              <m:t>⋅</m:t>
            </m:r>
            <m:r>
              <m:t>G</m:t>
            </m:r>
          </m:e>
        </m:d>
      </m:oMath>
      <w:r>
        <w:t xml:space="preserve"> </w:t>
      </w:r>
      <w:r>
        <w:t xml:space="preserve">scaling of per-genome indices (where</w:t>
      </w:r>
      <w:r>
        <w:t xml:space="preserve"> </w:t>
      </w:r>
      <m:oMath>
        <m:r>
          <m:t>N</m:t>
        </m:r>
      </m:oMath>
      <w:r>
        <w:t xml:space="preserve"> </w:t>
      </w:r>
      <w:r>
        <w:t xml:space="preserve">is the number of genomes and</w:t>
      </w:r>
      <w:r>
        <w:t xml:space="preserve"> </w:t>
      </w:r>
      <m:oMath>
        <m:r>
          <m:t>G</m:t>
        </m:r>
      </m:oMath>
      <w:r>
        <w:t xml:space="preserve"> </w:t>
      </w:r>
      <w:r>
        <w:t xml:space="preserve">is the average genome size) in favor of</w:t>
      </w:r>
      <w:r>
        <w:t xml:space="preserve"> </w:t>
      </w:r>
      <m:oMath>
        <m:r>
          <m:t>O</m:t>
        </m:r>
        <m:d>
          <m:dPr>
            <m:begChr m:val="("/>
            <m:endChr m:val=")"/>
            <m:sepChr m:val=""/>
            <m:grow/>
          </m:dPr>
          <m:e>
            <m:r>
              <m:t>U</m:t>
            </m:r>
            <m:r>
              <m:rPr>
                <m:sty m:val="p"/>
              </m:rPr>
              <m:t>+</m:t>
            </m:r>
            <m:r>
              <m:t>N</m:t>
            </m:r>
            <m:r>
              <m:rPr>
                <m:sty m:val="p"/>
              </m:rPr>
              <m:t>⋅</m:t>
            </m:r>
            <m:r>
              <m:t>C</m:t>
            </m:r>
          </m:e>
        </m:d>
      </m:oMath>
      <w:r>
        <w:t xml:space="preserve"> </w:t>
      </w:r>
      <w:r>
        <w:t xml:space="preserve">scaling (where</w:t>
      </w:r>
      <w:r>
        <w:t xml:space="preserve"> </w:t>
      </w:r>
      <m:oMath>
        <m:r>
          <m:t>U</m:t>
        </m:r>
      </m:oMath>
      <w:r>
        <w:t xml:space="preserve"> </w:t>
      </w:r>
      <w:r>
        <w:t xml:space="preserve">is the unique sequence content and</w:t>
      </w:r>
      <w:r>
        <w:t xml:space="preserve"> </w:t>
      </w:r>
      <m:oMath>
        <m:r>
          <m:t>C</m:t>
        </m:r>
      </m:oMath>
      <w:r>
        <w:t xml:space="preserve"> </w:t>
      </w:r>
      <w:r>
        <w:t xml:space="preserve">is the color storage per unitig). For highly redundant collections,</w:t>
      </w:r>
      <w:r>
        <w:t xml:space="preserve"> </w:t>
      </w:r>
      <m:oMath>
        <m:r>
          <m:t>U</m:t>
        </m:r>
        <m:r>
          <m:rPr>
            <m:sty m:val="p"/>
          </m:rPr>
          <m:t>≪</m:t>
        </m:r>
        <m:r>
          <m:t>N</m:t>
        </m:r>
        <m:r>
          <m:rPr>
            <m:sty m:val="p"/>
          </m:rPr>
          <m:t>⋅</m:t>
        </m:r>
        <m:r>
          <m:t>G</m:t>
        </m:r>
      </m:oMath>
      <w:r>
        <w:t xml:space="preserve">.</w:t>
      </w:r>
    </w:p>
    <w:p>
      <w:pPr>
        <w:pStyle w:val="BodyText"/>
      </w:pPr>
      <w:r>
        <w:rPr>
          <w:b/>
          <w:bCs/>
        </w:rPr>
        <w:t xml:space="preserve">FM-index vs. LexicHash.</w:t>
      </w:r>
      <w:r>
        <w:t xml:space="preserve"> </w:t>
      </w:r>
      <w:r>
        <w:t xml:space="preserve">LexicMap’s LexicHash probes and Dragon’s FM-index represent fundamentally different indexing paradigms. LexicHash achieves fast seed lookup through prefix matching against a fixed probe set, enabling efficient streaming search. The FM-index provides exact pattern matching with variable-length extension, naturally supporting the discovery of maximal exact matches without predetermined seed lengths. The trade-off is that FM-index construction is more expensive (requiring BWT computation), but this is a one-time cost amortized over many queries.</w:t>
      </w:r>
    </w:p>
    <w:p>
      <w:pPr>
        <w:pStyle w:val="BodyText"/>
      </w:pPr>
      <w:r>
        <w:rPr>
          <w:b/>
          <w:bCs/>
        </w:rPr>
        <w:t xml:space="preserve">Limitations.</w:t>
      </w:r>
      <w:r>
        <w:t xml:space="preserve"> </w:t>
      </w:r>
      <w:r>
        <w:t xml:space="preserve">Dragon’s index construction requires server-class resources for the full 2.34 million genome database (approximately 64 GB RAM for suffix array construction). To mitigate this, Dragon provides an external-memory suffix array mode (</w:t>
      </w:r>
      <w:r>
        <w:rPr>
          <w:rStyle w:val="VerbatimChar"/>
        </w:rPr>
        <w:t xml:space="preserve">–low-memory</w:t>
      </w:r>
      <w:r>
        <w:t xml:space="preserve">) that reduces peak RAM to a configurable budget via streaming k-way merge, and pre-built indices for GTDB, RefSeq, and AllTheBacteria via</w:t>
      </w:r>
      <w:r>
        <w:t xml:space="preserve"> </w:t>
      </w:r>
      <w:r>
        <w:rPr>
          <w:rStyle w:val="VerbatimChar"/>
        </w:rPr>
        <w:t xml:space="preserve">dragon download</w:t>
      </w:r>
      <w:r>
        <w:t xml:space="preserve">. The resulting index is compact enough to query on consumer hardware (</w:t>
      </w:r>
      <m:oMath>
        <m:r>
          <m:rPr>
            <m:sty m:val="p"/>
          </m:rPr>
          <m:t>&lt;</m:t>
        </m:r>
      </m:oMath>
      <w:r>
        <w:t xml:space="preserve">4 GB RAM). Within-species resolution has been substantially improved through three complementary strategies—information-weighted voting, ML-trained seed scoring, and private-unitig specificity re-ranking—which together amplify strain-specific signals that would otherwise be drowned out by shared core-genome k-mers. Nevertheless, at</w:t>
      </w:r>
      <w:r>
        <w:t xml:space="preserve"> </w:t>
      </w:r>
      <m:oMath>
        <m:r>
          <m:t>k</m:t>
        </m:r>
        <m:r>
          <m:rPr>
            <m:sty m:val="p"/>
          </m:rPr>
          <m:t>=</m:t>
        </m:r>
        <m:r>
          <m:t>31</m:t>
        </m:r>
      </m:oMath>
      <w:r>
        <w:t xml:space="preserve">, very closely related genomes (e.g.,</w:t>
      </w:r>
      <w:r>
        <w:t xml:space="preserve"> </w:t>
      </w:r>
      <w:r>
        <w:rPr>
          <w:i/>
          <w:iCs/>
        </w:rPr>
        <w:t xml:space="preserve">E. coli</w:t>
      </w:r>
      <w:r>
        <w:t xml:space="preserve"> </w:t>
      </w:r>
      <w:r>
        <w:t xml:space="preserve">strains differing by</w:t>
      </w:r>
      <w:r>
        <w:t xml:space="preserve"> </w:t>
      </w:r>
      <m:oMath>
        <m:r>
          <m:rPr>
            <m:sty m:val="p"/>
          </m:rPr>
          <m:t>&lt;</m:t>
        </m:r>
      </m:oMath>
      <w:r>
        <w:t xml:space="preserve">100 SNPs) may still produce similar chain scores. Dragon achieves 100%/100% sensitivity/precision for plasmid tracking across all divergence levels and 88–100% precision for AMR gene detection.</w:t>
      </w:r>
    </w:p>
    <w:p>
      <w:pPr>
        <w:pStyle w:val="BodyText"/>
      </w:pPr>
      <w:r>
        <w:rPr>
          <w:b/>
          <w:bCs/>
        </w:rPr>
        <w:t xml:space="preserve">Future directions.</w:t>
      </w:r>
      <w:r>
        <w:t xml:space="preserve"> </w:t>
      </w:r>
      <w:r>
        <w:t xml:space="preserve">We envision several extensions: (1) protein-level search by building a colored de Bruijn graph over translated reading frames; (2) metagenomic read classification by combining Dragon’s seed index with a taxonomic tree; (3) extension to eukaryotic genomes, where the higher repeat content would further benefit the run-length FM-index; (4) training the seed scoring model on larger datasets with gradient-boosted re-ranking for further within-species improvements; and (5) gap-cost colinear chaining with concave gap penalties for improved sensitivity on divergent sequences.</w:t>
      </w:r>
    </w:p>
    <w:bookmarkEnd w:id="33"/>
    <w:bookmarkStart w:id="40" w:name="methods"/>
    <w:p>
      <w:pPr>
        <w:pStyle w:val="Heading1"/>
      </w:pPr>
      <w:r>
        <w:t xml:space="preserve">Methods</w:t>
      </w:r>
    </w:p>
    <w:bookmarkStart w:id="34" w:name="X31d0a0feebd8d4561c1cc70f7fbed74f7e06b13"/>
    <w:p>
      <w:pPr>
        <w:pStyle w:val="Heading2"/>
      </w:pPr>
      <w:r>
        <w:t xml:space="preserve">Colored compacted de Bruijn graph construction</w:t>
      </w:r>
    </w:p>
    <w:p>
      <w:pPr>
        <w:pStyle w:val="FirstParagraph"/>
      </w:pPr>
      <w:r>
        <w:t xml:space="preserve">Given a set of</w:t>
      </w:r>
      <w:r>
        <w:t xml:space="preserve"> </w:t>
      </w:r>
      <m:oMath>
        <m:r>
          <m:t>N</m:t>
        </m:r>
      </m:oMath>
      <w:r>
        <w:t xml:space="preserve"> </w:t>
      </w:r>
      <w:r>
        <w:t xml:space="preserve">reference genomes</w:t>
      </w:r>
      <w:r>
        <w:t xml:space="preserve"> </w:t>
      </w:r>
      <m:oMath>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N</m:t>
            </m:r>
          </m:sub>
        </m:sSub>
        <m:r>
          <m:rPr>
            <m:sty m:val="p"/>
          </m:rPr>
          <m:t>}</m:t>
        </m:r>
      </m:oMath>
      <w:r>
        <w:t xml:space="preserve">, we construct a colored compacted de Bruijn graph (ccdBG) with</w:t>
      </w:r>
      <w:r>
        <w:t xml:space="preserve"> </w:t>
      </w:r>
      <m:oMath>
        <m:r>
          <m:t>k</m:t>
        </m:r>
        <m:r>
          <m:rPr>
            <m:sty m:val="p"/>
          </m:rPr>
          <m:t>=</m:t>
        </m:r>
        <m:r>
          <m:t>31</m:t>
        </m:r>
      </m:oMath>
      <w:r>
        <w:t xml:space="preserve"> </w:t>
      </w:r>
      <w:r>
        <w:t xml:space="preserve">using GGCAT v2.0</w:t>
      </w:r>
      <w:r>
        <w:t xml:space="preserve"> </w:t>
      </w:r>
      <w:r>
        <w:t xml:space="preserve">. The ccdBG consists of unitigs—maximal non-branching paths in the de Bruijn graph—where each unitig</w:t>
      </w:r>
      <w:r>
        <w:t xml:space="preserve"> </w:t>
      </w:r>
      <m:oMath>
        <m:sSub>
          <m:e>
            <m:r>
              <m:t>u</m:t>
            </m:r>
          </m:e>
          <m:sub>
            <m:r>
              <m:t>i</m:t>
            </m:r>
          </m:sub>
        </m:sSub>
      </m:oMath>
      <w:r>
        <w:t xml:space="preserve"> </w:t>
      </w:r>
      <w:r>
        <w:t xml:space="preserve">is annotated with a color set</w:t>
      </w:r>
      <w:r>
        <w:t xml:space="preserve"> </w:t>
      </w:r>
      <m:oMath>
        <m:sSub>
          <m:e>
            <m:r>
              <m:t>C</m:t>
            </m:r>
          </m:e>
          <m:sub>
            <m:r>
              <m:t>i</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indicating which genomes contain it. Color sets are stored as Roaring Bitmaps</w:t>
      </w:r>
      <w:r>
        <w:t xml:space="preserve"> </w:t>
      </w:r>
      <w:r>
        <w:t xml:space="preserve"> </w:t>
      </w:r>
      <w:r>
        <w:t xml:space="preserve">for efficient compression of clustered integer sets.</w:t>
      </w:r>
    </w:p>
    <w:bookmarkEnd w:id="34"/>
    <w:bookmarkStart w:id="35" w:name="run-length-fm-index"/>
    <w:p>
      <w:pPr>
        <w:pStyle w:val="Heading2"/>
      </w:pPr>
      <w:r>
        <w:t xml:space="preserve">Run-length FM-index</w:t>
      </w:r>
    </w:p>
    <w:p>
      <w:pPr>
        <w:pStyle w:val="FirstParagraph"/>
      </w:pPr>
      <w:r>
        <w:t xml:space="preserve">Let</w:t>
      </w:r>
      <w:r>
        <w:t xml:space="preserve"> </w:t>
      </w:r>
      <m:oMath>
        <m:r>
          <m:t>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M</m:t>
            </m:r>
          </m:sub>
        </m:sSub>
        <m:r>
          <m:rPr>
            <m:sty m:val="p"/>
          </m:rPr>
          <m:t>$</m:t>
        </m:r>
      </m:oMath>
      <w:r>
        <w:t xml:space="preserve"> </w:t>
      </w:r>
      <w:r>
        <w:t xml:space="preserve">be the concatenation of all</w:t>
      </w:r>
      <w:r>
        <w:t xml:space="preserve"> </w:t>
      </w:r>
      <m:oMath>
        <m:r>
          <m:t>M</m:t>
        </m:r>
      </m:oMath>
      <w:r>
        <w:t xml:space="preserve"> </w:t>
      </w:r>
      <w:r>
        <w:t xml:space="preserve">unitig sequences, separated by a sentinel character $. We construct the Burrows-Wheeler Transform (BWT) of</w:t>
      </w:r>
      <w:r>
        <w:t xml:space="preserve"> </w:t>
      </w:r>
      <m:oMath>
        <m:r>
          <m:t>T</m:t>
        </m:r>
      </m:oMath>
      <w:r>
        <w:t xml:space="preserve"> </w:t>
      </w:r>
      <w:r>
        <w:t xml:space="preserve">and its suffix array (SA).</w:t>
      </w:r>
    </w:p>
    <w:p>
      <w:pPr>
        <w:pStyle w:val="BodyText"/>
      </w:pPr>
      <w:r>
        <w:t xml:space="preserve">The run-length FM-index stores the BWT in run-length encoded form: consecutive identical characters are grouped into runs. The number of runs</w:t>
      </w:r>
      <w:r>
        <w:t xml:space="preserve"> </w:t>
      </w:r>
      <m:oMath>
        <m:r>
          <m:t>r</m:t>
        </m:r>
      </m:oMath>
      <w:r>
        <w:t xml:space="preserve"> </w:t>
      </w:r>
      <w:r>
        <w:t xml:space="preserve">is the key complexity parameter. For text</w:t>
      </w:r>
      <w:r>
        <w:t xml:space="preserve"> </w:t>
      </w:r>
      <m:oMath>
        <m:r>
          <m:t>T</m:t>
        </m:r>
      </m:oMath>
      <w:r>
        <w:t xml:space="preserve"> </w:t>
      </w:r>
      <w:r>
        <w:t xml:space="preserve">of length</w:t>
      </w:r>
      <w:r>
        <w:t xml:space="preserve"> </w:t>
      </w:r>
      <m:oMath>
        <m:r>
          <m:t>n</m:t>
        </m:r>
      </m:oMath>
      <w:r>
        <w:t xml:space="preserve"> </w:t>
      </w:r>
      <w:r>
        <w:t xml:space="preserve">over alphabet</w:t>
      </w:r>
      <w:r>
        <w:t xml:space="preserve"> </w:t>
      </w:r>
      <m:oMath>
        <m:r>
          <m:t>σ</m:t>
        </m:r>
      </m:oMath>
      <w:r>
        <w:t xml:space="preserve">, the r-index occupies</w:t>
      </w:r>
      <w:r>
        <w:t xml:space="preserve"> </w:t>
      </w:r>
      <m:oMath>
        <m:r>
          <m:t>O</m:t>
        </m:r>
        <m:d>
          <m:dPr>
            <m:begChr m:val="("/>
            <m:endChr m:val=")"/>
            <m:sepChr m:val=""/>
            <m:grow/>
          </m:dPr>
          <m:e>
            <m:r>
              <m:t>r</m:t>
            </m:r>
          </m:e>
        </m:d>
      </m:oMath>
      <w:r>
        <w:t xml:space="preserve"> </w:t>
      </w:r>
      <w:r>
        <w:t xml:space="preserve">space</w:t>
      </w:r>
      <w:r>
        <w:t xml:space="preserve"> </w:t>
      </w:r>
      <w:r>
        <w:t xml:space="preserve">, compared to</w:t>
      </w:r>
      <w:r>
        <w:t xml:space="preserve"> </w:t>
      </w:r>
      <m:oMath>
        <m:r>
          <m:t>O</m:t>
        </m:r>
        <m:d>
          <m:dPr>
            <m:begChr m:val="("/>
            <m:endChr m:val=")"/>
            <m:sepChr m:val=""/>
            <m:grow/>
          </m:dPr>
          <m:e>
            <m:r>
              <m:t>n</m:t>
            </m:r>
          </m:e>
        </m:d>
      </m:oMath>
      <w:r>
        <w:t xml:space="preserve"> </w:t>
      </w:r>
      <w:r>
        <w:t xml:space="preserve">for standard FM-indices. For repetitive text collections (as produced by highly similar genomes),</w:t>
      </w:r>
      <w:r>
        <w:t xml:space="preserve"> </w:t>
      </w:r>
      <m:oMath>
        <m:r>
          <m:t>r</m:t>
        </m:r>
        <m:r>
          <m:rPr>
            <m:sty m:val="p"/>
          </m:rPr>
          <m:t>≪</m:t>
        </m:r>
        <m:r>
          <m:t>n</m:t>
        </m:r>
      </m:oMath>
      <w:r>
        <w:t xml:space="preserve">.</w:t>
      </w:r>
    </w:p>
    <w:p>
      <w:pPr>
        <w:pStyle w:val="BodyText"/>
      </w:pPr>
      <w:r>
        <w:t xml:space="preserve">Pattern matching proceeds via backward search: given a pattern</w:t>
      </w:r>
      <w:r>
        <w:t xml:space="preserve"> </w:t>
      </w:r>
      <m:oMath>
        <m:r>
          <m:t>P</m:t>
        </m:r>
        <m:d>
          <m:dPr>
            <m:begChr m:val="["/>
            <m:endChr m:val="]"/>
            <m:sepChr m:val=""/>
            <m:grow/>
          </m:dPr>
          <m:e>
            <m:r>
              <m:t>1</m:t>
            </m:r>
            <m:r>
              <m:rPr>
                <m:sty m:val="p"/>
              </m:rPr>
              <m:t>.</m:t>
            </m:r>
            <m:r>
              <m:rPr>
                <m:sty m:val="p"/>
              </m:rPr>
              <m:t>.</m:t>
            </m:r>
            <m:r>
              <m:t>m</m:t>
            </m:r>
          </m:e>
        </m:d>
      </m:oMath>
      <w:r>
        <w:t xml:space="preserve">, we iteratively narrow the SA interval</w:t>
      </w:r>
      <w:r>
        <w:t xml:space="preserve"> </w:t>
      </w:r>
      <m:oMath>
        <m:r>
          <m:rPr>
            <m:sty m:val="p"/>
          </m:rPr>
          <m:t>[</m:t>
        </m:r>
        <m:r>
          <m:rPr>
            <m:sty m:val="p"/>
          </m:rPr>
          <m:t>ℓ</m:t>
        </m:r>
        <m:r>
          <m:rPr>
            <m:sty m:val="p"/>
          </m:rPr>
          <m:t>,</m:t>
        </m:r>
        <m:r>
          <m:t>r</m:t>
        </m:r>
        <m:r>
          <m:rPr>
            <m:sty m:val="p"/>
          </m:rPr>
          <m:t>)</m:t>
        </m:r>
      </m:oMath>
      <w:r>
        <w:t xml:space="preserve"> </w:t>
      </w:r>
      <w:r>
        <w:t xml:space="preserve">from right to left. After processing all</w:t>
      </w:r>
      <w:r>
        <w:t xml:space="preserve"> </w:t>
      </w:r>
      <m:oMath>
        <m:r>
          <m:t>m</m:t>
        </m:r>
      </m:oMath>
      <w:r>
        <w:t xml:space="preserve"> </w:t>
      </w:r>
      <w:r>
        <w:t xml:space="preserve">characters, the interval size gives the number of occurrences, and the locate operation maps SA entries to text positions. We map text positions to unitig identifiers using a cumulative length array with binary search (equivalent to Elias-Fano predecessor queries).</w:t>
      </w:r>
    </w:p>
    <w:p>
      <w:pPr>
        <w:pStyle w:val="BodyText"/>
      </w:pPr>
      <w:r>
        <w:rPr>
          <w:b/>
          <w:bCs/>
        </w:rPr>
        <w:t xml:space="preserve">Variable-length seed matching.</w:t>
      </w:r>
      <w:r>
        <w:t xml:space="preserve"> </w:t>
      </w:r>
      <w:r>
        <w:t xml:space="preserve">Unlike fixed-length k-mer matching, we extend the backward search character by character, continuing as long as the SA interval is non-empty. This produces super-maximal exact matches (SMEMs) of variable length, which are more informative than fixed-length seeds for divergent sequences.</w:t>
      </w:r>
    </w:p>
    <w:bookmarkEnd w:id="35"/>
    <w:bookmarkStart w:id="36" w:name="genome-path-index"/>
    <w:p>
      <w:pPr>
        <w:pStyle w:val="Heading2"/>
      </w:pPr>
      <w:r>
        <w:t xml:space="preserve">Genome path index</w:t>
      </w:r>
    </w:p>
    <w:p>
      <w:pPr>
        <w:pStyle w:val="FirstParagraph"/>
      </w:pPr>
      <w:r>
        <w:t xml:space="preserve">For each genome</w:t>
      </w:r>
      <w:r>
        <w:t xml:space="preserve"> </w:t>
      </w:r>
      <m:oMath>
        <m:sSub>
          <m:e>
            <m:r>
              <m:t>G</m:t>
            </m:r>
          </m:e>
          <m:sub>
            <m:r>
              <m:t>j</m:t>
            </m:r>
          </m:sub>
        </m:sSub>
      </m:oMath>
      <w:r>
        <w:t xml:space="preserve">, we store its path through the ccdBG as an ordered sequence of unitig identifiers</w:t>
      </w:r>
      <w:r>
        <w:t xml:space="preserve"> </w:t>
      </w:r>
      <m:oMath>
        <m:d>
          <m:dPr>
            <m:begChr m:val="("/>
            <m:endChr m:val=")"/>
            <m:sepChr m:val=""/>
            <m:grow/>
          </m:dPr>
          <m:e>
            <m:sSub>
              <m:e>
                <m:r>
                  <m:t>u</m:t>
                </m:r>
              </m:e>
              <m:sub>
                <m:r>
                  <m:t>j</m:t>
                </m:r>
                <m:r>
                  <m:rPr>
                    <m:sty m:val="p"/>
                  </m:rPr>
                  <m:t>,</m:t>
                </m:r>
                <m:r>
                  <m:t>1</m:t>
                </m:r>
              </m:sub>
            </m:sSub>
            <m:r>
              <m:rPr>
                <m:sty m:val="p"/>
              </m:rPr>
              <m:t>,</m:t>
            </m:r>
            <m:sSub>
              <m:e>
                <m:r>
                  <m:t>u</m:t>
                </m:r>
              </m:e>
              <m:sub>
                <m:r>
                  <m:t>j</m:t>
                </m:r>
                <m:r>
                  <m:rPr>
                    <m:sty m:val="p"/>
                  </m:rPr>
                  <m:t>,</m:t>
                </m:r>
                <m:r>
                  <m:t>2</m:t>
                </m:r>
              </m:sub>
            </m:sSub>
            <m:r>
              <m:rPr>
                <m:sty m:val="p"/>
              </m:rPr>
              <m:t>,</m:t>
            </m:r>
            <m:r>
              <m:rPr>
                <m:sty m:val="p"/>
              </m:rPr>
              <m:t>…</m:t>
            </m:r>
            <m:r>
              <m:rPr>
                <m:sty m:val="p"/>
              </m:rPr>
              <m:t>,</m:t>
            </m:r>
            <m:sSub>
              <m:e>
                <m:r>
                  <m:t>u</m:t>
                </m:r>
              </m:e>
              <m:sub>
                <m:r>
                  <m:t>j</m:t>
                </m:r>
                <m:r>
                  <m:rPr>
                    <m:sty m:val="p"/>
                  </m:rPr>
                  <m:t>,</m:t>
                </m:r>
                <m:sSub>
                  <m:e>
                    <m:r>
                      <m:t>P</m:t>
                    </m:r>
                  </m:e>
                  <m:sub>
                    <m:r>
                      <m:t>j</m:t>
                    </m:r>
                  </m:sub>
                </m:sSub>
              </m:sub>
            </m:sSub>
          </m:e>
        </m:d>
      </m:oMath>
      <w:r>
        <w:t xml:space="preserve"> </w:t>
      </w:r>
      <w:r>
        <w:t xml:space="preserve">with orientations. Paths are compressed using two techniques: (1) delta encoding of consecutive unitig IDs (which tend to be numerically close when IDs are assigned by graph traversal order), and (2) reference-based compression within species clusters, where genomes sharing</w:t>
      </w:r>
      <w:r>
        <w:t xml:space="preserve"> </w:t>
      </w:r>
      <m:oMath>
        <m:r>
          <m:rPr>
            <m:sty m:val="p"/>
          </m:rPr>
          <m:t>&gt;</m:t>
        </m:r>
      </m:oMath>
      <w:r>
        <w:t xml:space="preserve">80% of unitigs are grouped and non-reference genomes are stored as edit scripts against the cluster reference.</w:t>
      </w:r>
    </w:p>
    <w:bookmarkEnd w:id="36"/>
    <w:bookmarkStart w:id="37" w:name="query-pipeline"/>
    <w:p>
      <w:pPr>
        <w:pStyle w:val="Heading2"/>
      </w:pPr>
      <w:r>
        <w:t xml:space="preserve">Query pipeline</w:t>
      </w:r>
    </w:p>
    <w:p>
      <w:pPr>
        <w:pStyle w:val="FirstParagraph"/>
      </w:pPr>
      <w:r>
        <w:rPr>
          <w:b/>
          <w:bCs/>
        </w:rPr>
        <w:t xml:space="preserve">Stage 1: Seed finding.</w:t>
      </w:r>
      <w:r>
        <w:t xml:space="preserve"> </w:t>
      </w:r>
      <w:r>
        <w:t xml:space="preserve">For each query sequence</w:t>
      </w:r>
      <w:r>
        <w:t xml:space="preserve"> </w:t>
      </w:r>
      <m:oMath>
        <m:r>
          <m:t>Q</m:t>
        </m:r>
      </m:oMath>
      <w:r>
        <w:t xml:space="preserve">, we extract overlapping</w:t>
      </w:r>
      <w:r>
        <w:t xml:space="preserve"> </w:t>
      </w:r>
      <m:oMath>
        <m:r>
          <m:t>k</m:t>
        </m:r>
      </m:oMath>
      <w:r>
        <w:t xml:space="preserve">-mers at stride</w:t>
      </w:r>
      <w:r>
        <w:t xml:space="preserve"> </w:t>
      </w:r>
      <m:oMath>
        <m:r>
          <m:t>s</m:t>
        </m:r>
      </m:oMath>
      <w:r>
        <w:t xml:space="preserve"> </w:t>
      </w:r>
      <w:r>
        <w:t xml:space="preserve">(default</w:t>
      </w:r>
      <w:r>
        <w:t xml:space="preserve"> </w:t>
      </w:r>
      <m:oMath>
        <m:r>
          <m:t>s</m:t>
        </m:r>
        <m:r>
          <m:rPr>
            <m:sty m:val="p"/>
          </m:rPr>
          <m:t>=</m:t>
        </m:r>
        <m:r>
          <m:t>1</m:t>
        </m:r>
      </m:oMath>
      <w:r>
        <w:t xml:space="preserve">) and perform FM-index backward search with variable-length extension. Seeds with SA interval width exceeding a threshold</w:t>
      </w:r>
      <w:r>
        <w:t xml:space="preserve"> </w:t>
      </w:r>
      <m:oMath>
        <m:r>
          <m:t>τ</m:t>
        </m:r>
      </m:oMath>
      <w:r>
        <w:t xml:space="preserve"> </w:t>
      </w:r>
      <w:r>
        <w:t xml:space="preserve">(default</w:t>
      </w:r>
      <w:r>
        <w:t xml:space="preserve"> </w:t>
      </w:r>
      <m:oMath>
        <m:r>
          <m:t>τ</m:t>
        </m:r>
        <m:r>
          <m:rPr>
            <m:sty m:val="p"/>
          </m:rPr>
          <m:t>=</m:t>
        </m:r>
        <m:r>
          <m:t>10</m:t>
        </m:r>
        <m:r>
          <m:rPr>
            <m:sty m:val="p"/>
          </m:rPr>
          <m:t>,</m:t>
        </m:r>
        <m:r>
          <m:t>000</m:t>
        </m:r>
      </m:oMath>
      <w:r>
        <w:t xml:space="preserve">) are discarded as too repetitive. Both forward and reverse complement orientations are searched.</w:t>
      </w:r>
    </w:p>
    <w:p>
      <w:pPr>
        <w:pStyle w:val="BodyText"/>
      </w:pPr>
      <w:r>
        <w:rPr>
          <w:b/>
          <w:bCs/>
        </w:rPr>
        <w:t xml:space="preserve">Stage 2: Information-weighted candidate filtering.</w:t>
      </w:r>
      <w:r>
        <w:t xml:space="preserve"> </w:t>
      </w:r>
      <w:r>
        <w:t xml:space="preserve">For each seed hit, we retrieve the unitig’s color bitmap and accumulate per-genome votes weighted by information content:</w:t>
      </w:r>
      <w:r>
        <w:t xml:space="preserve"> </w:t>
      </w:r>
      <m:oMath>
        <m:r>
          <m:rPr>
            <m:nor/>
            <m:sty m:val="p"/>
          </m:rPr>
          <m:t>IC</m:t>
        </m:r>
        <m:d>
          <m:dPr>
            <m:begChr m:val="("/>
            <m:endChr m:val=")"/>
            <m:sepChr m:val=""/>
            <m:grow/>
          </m:dPr>
          <m:e>
            <m:r>
              <m:t>u</m:t>
            </m:r>
          </m:e>
        </m:d>
        <m:r>
          <m:rPr>
            <m:sty m:val="p"/>
          </m:rPr>
          <m:t>=</m:t>
        </m:r>
        <m:sSub>
          <m:e>
            <m:r>
              <m:rPr>
                <m:sty m:val="p"/>
              </m:rPr>
              <m:t>log</m:t>
            </m:r>
          </m:e>
          <m:sub>
            <m:r>
              <m:t>2</m:t>
            </m:r>
          </m:sub>
        </m:sSub>
        <m:d>
          <m:dPr>
            <m:begChr m:val="("/>
            <m:endChr m:val=")"/>
            <m:sepChr m:val=""/>
            <m:grow/>
          </m:dPr>
          <m:e>
            <m:sSub>
              <m:e>
                <m:r>
                  <m:t>N</m:t>
                </m:r>
              </m:e>
              <m:sub>
                <m:r>
                  <m:rPr>
                    <m:nor/>
                    <m:sty m:val="p"/>
                  </m:rPr>
                  <m:t>total</m:t>
                </m:r>
              </m:sub>
            </m:sSub>
            <m:r>
              <m:rPr>
                <m:sty m:val="p"/>
              </m:rPr>
              <m:t>/</m:t>
            </m:r>
            <m:d>
              <m:dPr>
                <m:begChr m:val="|"/>
                <m:endChr m:val="|"/>
                <m:sepChr m:val=""/>
                <m:grow/>
              </m:dPr>
              <m:e>
                <m:sSub>
                  <m:e>
                    <m:r>
                      <m:t>C</m:t>
                    </m:r>
                  </m:e>
                  <m:sub>
                    <m:r>
                      <m:t>u</m:t>
                    </m:r>
                  </m:sub>
                </m:sSub>
              </m:e>
            </m:d>
          </m:e>
        </m:d>
      </m:oMath>
      <w:r>
        <w:t xml:space="preserve">, where</w:t>
      </w:r>
      <w:r>
        <w:t xml:space="preserve"> </w:t>
      </w:r>
      <m:oMath>
        <m:d>
          <m:dPr>
            <m:begChr m:val="|"/>
            <m:endChr m:val="|"/>
            <m:sepChr m:val=""/>
            <m:grow/>
          </m:dPr>
          <m:e>
            <m:sSub>
              <m:e>
                <m:r>
                  <m:t>C</m:t>
                </m:r>
              </m:e>
              <m:sub>
                <m:r>
                  <m:t>u</m:t>
                </m:r>
              </m:sub>
            </m:sSub>
          </m:e>
        </m:d>
      </m:oMath>
      <w:r>
        <w:t xml:space="preserve"> </w:t>
      </w:r>
      <w:r>
        <w:t xml:space="preserve">is the number of genomes containing unitig</w:t>
      </w:r>
      <w:r>
        <w:t xml:space="preserve"> </w:t>
      </w:r>
      <m:oMath>
        <m:r>
          <m:t>u</m:t>
        </m:r>
      </m:oMath>
      <w:r>
        <w:t xml:space="preserve">. A genome-specific unitig (</w:t>
      </w:r>
      <m:oMath>
        <m:d>
          <m:dPr>
            <m:begChr m:val="|"/>
            <m:endChr m:val="|"/>
            <m:sepChr m:val=""/>
            <m:grow/>
          </m:dPr>
          <m:e>
            <m:sSub>
              <m:e>
                <m:r>
                  <m:t>C</m:t>
                </m:r>
              </m:e>
              <m:sub>
                <m:r>
                  <m:t>u</m:t>
                </m:r>
              </m:sub>
            </m:sSub>
          </m:e>
        </m:d>
        <m:r>
          <m:rPr>
            <m:sty m:val="p"/>
          </m:rPr>
          <m:t>=</m:t>
        </m:r>
        <m:r>
          <m:t>1</m:t>
        </m:r>
      </m:oMath>
      <w:r>
        <w:t xml:space="preserve">) in a database of 22</w:t>
      </w:r>
      <w:r>
        <w:t xml:space="preserve">,</w:t>
      </w:r>
      <w:r>
        <w:t xml:space="preserve">254 genomes contributes</w:t>
      </w:r>
      <w:r>
        <w:t xml:space="preserve"> </w:t>
      </w:r>
      <m:oMath>
        <m:r>
          <m:rPr>
            <m:sty m:val="p"/>
          </m:rPr>
          <m:t>∼</m:t>
        </m:r>
      </m:oMath>
      <w:r>
        <w:t xml:space="preserve">14.4 bits, while a core-genome unitig shared by all genomes contributes</w:t>
      </w:r>
      <w:r>
        <w:t xml:space="preserve"> </w:t>
      </w:r>
      <m:oMath>
        <m:r>
          <m:rPr>
            <m:sty m:val="p"/>
          </m:rPr>
          <m:t>∼</m:t>
        </m:r>
      </m:oMath>
      <w:r>
        <w:t xml:space="preserve">0 bits. This ensures that strain-specific evidence is amplified rather than drowned out by shared core-genome k-mers. Genomes with fewer than</w:t>
      </w:r>
      <w:r>
        <w:t xml:space="preserve"> </w:t>
      </w:r>
      <m:oMath>
        <m:r>
          <m:rPr>
            <m:sty m:val="p"/>
          </m:rPr>
          <m:t>min</m:t>
        </m:r>
        <m:d>
          <m:dPr>
            <m:begChr m:val="("/>
            <m:endChr m:val=")"/>
            <m:sepChr m:val=""/>
            <m:grow/>
          </m:dPr>
          <m:e>
            <m:r>
              <m:t>10</m:t>
            </m:r>
            <m:r>
              <m:rPr>
                <m:sty m:val="p"/>
              </m:rPr>
              <m:t>,</m:t>
            </m:r>
            <m:r>
              <m:t>0.3</m:t>
            </m:r>
            <m:r>
              <m:rPr>
                <m:sty m:val="p"/>
              </m:rPr>
              <m:t>×</m:t>
            </m:r>
            <m:d>
              <m:dPr>
                <m:begChr m:val="|"/>
                <m:endChr m:val="|"/>
                <m:sepChr m:val=""/>
                <m:grow/>
              </m:dPr>
              <m:e>
                <m:r>
                  <m:rPr>
                    <m:nor/>
                    <m:sty m:val="p"/>
                  </m:rPr>
                  <m:t>seeds</m:t>
                </m:r>
              </m:e>
            </m:d>
          </m:e>
        </m:d>
      </m:oMath>
      <w:r>
        <w:t xml:space="preserve"> </w:t>
      </w:r>
      <w:r>
        <w:t xml:space="preserve">raw votes are discarded.</w:t>
      </w:r>
    </w:p>
    <w:p>
      <w:pPr>
        <w:pStyle w:val="BodyText"/>
      </w:pPr>
      <w:r>
        <w:rPr>
          <w:b/>
          <w:bCs/>
        </w:rPr>
        <w:t xml:space="preserve">Stage 3: ML-scored colinear chaining with specificity re-ranking.</w:t>
      </w:r>
      <w:r>
        <w:t xml:space="preserve"> </w:t>
      </w:r>
      <w:r>
        <w:t xml:space="preserve">For each candidate genome, seed hits are mapped to genome coordinates using the genome path index. Each anchor is scored using a logistic regression model over 10 features: match length, suffix array frequency (</w:t>
      </w:r>
      <m:oMath>
        <m:sSub>
          <m:e>
            <m:r>
              <m:rPr>
                <m:sty m:val="p"/>
              </m:rPr>
              <m:t>log</m:t>
            </m:r>
          </m:e>
          <m:sub>
            <m:r>
              <m:t>2</m:t>
            </m:r>
          </m:sub>
        </m:sSub>
      </m:oMath>
      <w:r>
        <w:t xml:space="preserve"> </w:t>
      </w:r>
      <w:r>
        <w:t xml:space="preserve">and inverse), query position fraction, match fraction, color cardinality, GC content, information content, local seed density (seeds per kilobase within a</w:t>
      </w:r>
      <w:r>
        <w:t xml:space="preserve"> </w:t>
      </w:r>
      <m:oMath>
        <m:r>
          <m:rPr>
            <m:sty m:val="p"/>
          </m:rPr>
          <m:t>±</m:t>
        </m:r>
      </m:oMath>
      <w:r>
        <w:t xml:space="preserve">500 bp window), and seed uniqueness (match length divided by frequency</w:t>
      </w:r>
      <w:r>
        <w:t xml:space="preserve"> </w:t>
      </w:r>
      <m:oMath>
        <m:r>
          <m:rPr>
            <m:sty m:val="p"/>
          </m:rPr>
          <m:t>×</m:t>
        </m:r>
      </m:oMath>
      <w:r>
        <w:t xml:space="preserve"> </w:t>
      </w:r>
      <w:r>
        <w:t xml:space="preserve">cardinality). The model weights can be hand-tuned or trained from labeled data via</w:t>
      </w:r>
      <w:r>
        <w:t xml:space="preserve"> </w:t>
      </w:r>
      <w:r>
        <w:rPr>
          <w:rStyle w:val="VerbatimChar"/>
        </w:rPr>
        <w:t xml:space="preserve">dragon search –dump-seeds –ground-truth</w:t>
      </w:r>
      <w:r>
        <w:t xml:space="preserve"> </w:t>
      </w:r>
      <w:r>
        <w:t xml:space="preserve">and</w:t>
      </w:r>
      <w:r>
        <w:t xml:space="preserve"> </w:t>
      </w:r>
      <w:r>
        <w:rPr>
          <w:rStyle w:val="VerbatimChar"/>
        </w:rPr>
        <w:t xml:space="preserve">scripts/train_seed_scorer.py</w:t>
      </w:r>
      <w:r>
        <w:t xml:space="preserve">. We compute the highest-scoring colinear chain using dynamic programming with a Fenwick tree (binary indexed tree) for</w:t>
      </w:r>
      <w:r>
        <w:t xml:space="preserve"> </w:t>
      </w:r>
      <m:oMath>
        <m:r>
          <m:t>O</m:t>
        </m:r>
        <m:d>
          <m:dPr>
            <m:begChr m:val="("/>
            <m:endChr m:val=")"/>
            <m:sepChr m:val=""/>
            <m:grow/>
          </m:dPr>
          <m:e>
            <m:r>
              <m:t>h</m:t>
            </m:r>
            <m:r>
              <m:rPr>
                <m:sty m:val="p"/>
              </m:rPr>
              <m:t>log</m:t>
            </m:r>
            <m:r>
              <m:t>h</m:t>
            </m:r>
          </m:e>
        </m:d>
      </m:oMath>
      <w:r>
        <w:t xml:space="preserve"> </w:t>
      </w:r>
      <w:r>
        <w:t xml:space="preserve">time complexity, where</w:t>
      </w:r>
      <w:r>
        <w:t xml:space="preserve"> </w:t>
      </w:r>
      <m:oMath>
        <m:r>
          <m:t>h</m:t>
        </m:r>
      </m:oMath>
      <w:r>
        <w:t xml:space="preserve"> </w:t>
      </w:r>
      <w:r>
        <w:t xml:space="preserve">is the number of anchors. The scoring function includes gap penalties proportional to the difference between reference and query gap lengths:</w:t>
      </w:r>
    </w:p>
    <w:p>
      <w:pPr>
        <w:pStyle w:val="BodyText"/>
      </w:pPr>
      <m:oMathPara>
        <m:oMathParaPr>
          <m:jc m:val="center"/>
        </m:oMathParaPr>
        <m:oMath>
          <m:r>
            <m:rPr>
              <m:nor/>
              <m:sty m:val="p"/>
            </m:rPr>
            <m:t>gap_cost</m:t>
          </m:r>
          <m:d>
            <m:dPr>
              <m:begChr m:val="("/>
              <m:endChr m:val=")"/>
              <m:sepChr m:val=""/>
              <m:grow/>
            </m:dPr>
            <m:e>
              <m:sSub>
                <m:e>
                  <m:r>
                    <m:t>a</m:t>
                  </m:r>
                </m:e>
                <m:sub>
                  <m:r>
                    <m:t>i</m:t>
                  </m:r>
                </m:sub>
              </m:sSub>
              <m:r>
                <m:rPr>
                  <m:sty m:val="p"/>
                </m:rPr>
                <m:t>,</m:t>
              </m:r>
              <m:sSub>
                <m:e>
                  <m:r>
                    <m:t>a</m:t>
                  </m:r>
                </m:e>
                <m:sub>
                  <m:r>
                    <m:t>j</m:t>
                  </m:r>
                </m:sub>
              </m:sSub>
            </m:e>
          </m:d>
          <m:r>
            <m:rPr>
              <m:sty m:val="p"/>
            </m:rPr>
            <m:t>=</m:t>
          </m:r>
          <m:r>
            <m:t>α</m:t>
          </m:r>
          <m:r>
            <m:rPr>
              <m:sty m:val="p"/>
            </m:rPr>
            <m:t>⋅</m:t>
          </m:r>
          <m:d>
            <m:dPr>
              <m:begChr m:val="|"/>
              <m:endChr m:val="|"/>
              <m:sepChr m:val=""/>
              <m:grow/>
            </m:dPr>
            <m:e>
              <m:r>
                <m:rPr>
                  <m:nor/>
                  <m:sty m:val="p"/>
                </m:rPr>
                <m:t>ref_gap</m:t>
              </m:r>
              <m:r>
                <m:rPr>
                  <m:sty m:val="p"/>
                </m:rPr>
                <m:t>−</m:t>
              </m:r>
              <m:r>
                <m:rPr>
                  <m:nor/>
                  <m:sty m:val="p"/>
                </m:rPr>
                <m:t>query_gap</m:t>
              </m:r>
            </m:e>
          </m:d>
        </m:oMath>
      </m:oMathPara>
    </w:p>
    <w:p>
      <w:pPr>
        <w:pStyle w:val="FirstParagraph"/>
      </w:pPr>
      <w:r>
        <w:t xml:space="preserve">where</w:t>
      </w:r>
      <w:r>
        <w:t xml:space="preserve"> </w:t>
      </w:r>
      <m:oMath>
        <m:r>
          <m:t>α</m:t>
        </m:r>
        <m:r>
          <m:rPr>
            <m:sty m:val="p"/>
          </m:rPr>
          <m:t>=</m:t>
        </m:r>
        <m:r>
          <m:t>0.01</m:t>
        </m:r>
      </m:oMath>
      <w:r>
        <w:t xml:space="preserve"> </w:t>
      </w:r>
      <w:r>
        <w:t xml:space="preserve">by default.</w:t>
      </w:r>
    </w:p>
    <w:p>
      <w:pPr>
        <w:pStyle w:val="BodyText"/>
      </w:pPr>
      <w:r>
        <w:t xml:space="preserve">After chaining, a</w:t>
      </w:r>
      <w:r>
        <w:t xml:space="preserve"> </w:t>
      </w:r>
      <w:r>
        <w:rPr>
          <w:i/>
          <w:iCs/>
        </w:rPr>
        <w:t xml:space="preserve">specificity re-ranking</w:t>
      </w:r>
      <w:r>
        <w:t xml:space="preserve"> </w:t>
      </w:r>
      <w:r>
        <w:t xml:space="preserve">step boosts chains containing genome-private unitigs (present in</w:t>
      </w:r>
      <w:r>
        <w:t xml:space="preserve"> </w:t>
      </w:r>
      <m:oMath>
        <m:r>
          <m:rPr>
            <m:sty m:val="p"/>
          </m:rPr>
          <m:t>≤</m:t>
        </m:r>
        <m:r>
          <m:t>3</m:t>
        </m:r>
      </m:oMath>
      <w:r>
        <w:t xml:space="preserve"> </w:t>
      </w:r>
      <w:r>
        <w:t xml:space="preserve">genomes). The combined score is</w:t>
      </w:r>
      <w:r>
        <w:t xml:space="preserve"> </w:t>
      </w:r>
      <m:oMath>
        <m:r>
          <m:rPr>
            <m:nor/>
            <m:sty m:val="p"/>
          </m:rPr>
          <m:t>containment</m:t>
        </m:r>
        <m:r>
          <m:rPr>
            <m:sty m:val="p"/>
          </m:rPr>
          <m:t>+</m:t>
        </m:r>
        <m:r>
          <m:rPr>
            <m:nor/>
            <m:sty m:val="p"/>
          </m:rPr>
          <m:t>private_hits</m:t>
        </m:r>
        <m:r>
          <m:rPr>
            <m:sty m:val="p"/>
          </m:rPr>
          <m:t>×</m:t>
        </m:r>
        <m:sSub>
          <m:e>
            <m:r>
              <m:rPr>
                <m:sty m:val="p"/>
              </m:rPr>
              <m:t>log</m:t>
            </m:r>
          </m:e>
          <m:sub>
            <m:r>
              <m:t>2</m:t>
            </m:r>
          </m:sub>
        </m:sSub>
        <m:d>
          <m:dPr>
            <m:begChr m:val="("/>
            <m:endChr m:val=")"/>
            <m:sepChr m:val=""/>
            <m:grow/>
          </m:dPr>
          <m:e>
            <m:r>
              <m:t>N</m:t>
            </m:r>
            <m:r>
              <m:rPr>
                <m:sty m:val="p"/>
              </m:rPr>
              <m:t>/</m:t>
            </m:r>
            <m:r>
              <m:t>3</m:t>
            </m:r>
          </m:e>
        </m:d>
      </m:oMath>
      <w:r>
        <w:t xml:space="preserve">. This breaks ties between closely related strains (e.g., 50</w:t>
      </w:r>
      <w:r>
        <w:t xml:space="preserve"> </w:t>
      </w:r>
      <w:r>
        <w:rPr>
          <w:i/>
          <w:iCs/>
        </w:rPr>
        <w:t xml:space="preserve">E. coli</w:t>
      </w:r>
      <w:r>
        <w:t xml:space="preserve"> </w:t>
      </w:r>
      <w:r>
        <w:t xml:space="preserve">genomes sharing most k-mers) by rewarding chains that include strain-specific markers.</w:t>
      </w:r>
    </w:p>
    <w:p>
      <w:pPr>
        <w:pStyle w:val="BodyText"/>
      </w:pPr>
      <w:r>
        <w:rPr>
          <w:b/>
          <w:bCs/>
        </w:rPr>
        <w:t xml:space="preserve">Stage 4: Alignment.</w:t>
      </w:r>
      <w:r>
        <w:t xml:space="preserve"> </w:t>
      </w:r>
      <w:r>
        <w:t xml:space="preserve">For each chain, the corresponding reference region is extracted by walking the genome path through the de Bruijn graph, and banded wavefront alignment (WFA)</w:t>
      </w:r>
      <w:r>
        <w:t xml:space="preserve"> </w:t>
      </w:r>
      <w:r>
        <w:t xml:space="preserve"> </w:t>
      </w:r>
      <w:r>
        <w:t xml:space="preserve">is applied with bandwidth proportional to expected divergence. Output is formatted as PAF or BLAST-tabular.</w:t>
      </w:r>
    </w:p>
    <w:bookmarkEnd w:id="37"/>
    <w:bookmarkStart w:id="38" w:name="benchmarking"/>
    <w:p>
      <w:pPr>
        <w:pStyle w:val="Heading2"/>
      </w:pPr>
      <w:r>
        <w:t xml:space="preserve">Benchmarking</w:t>
      </w:r>
    </w:p>
    <w:p>
      <w:pPr>
        <w:pStyle w:val="FirstParagraph"/>
      </w:pPr>
      <w:r>
        <w:rPr>
          <w:b/>
          <w:bCs/>
        </w:rPr>
        <w:t xml:space="preserve">Datasets.</w:t>
      </w:r>
      <w:r>
        <w:t xml:space="preserve"> </w:t>
      </w:r>
      <w:r>
        <w:t xml:space="preserve">We benchmarked on three scales: (1) 500 complete</w:t>
      </w:r>
      <w:r>
        <w:t xml:space="preserve"> </w:t>
      </w:r>
      <w:r>
        <w:rPr>
          <w:i/>
          <w:iCs/>
        </w:rPr>
        <w:t xml:space="preserve">E. coli</w:t>
      </w:r>
      <w:r>
        <w:t xml:space="preserve">/</w:t>
      </w:r>
      <w:r>
        <w:rPr>
          <w:i/>
          <w:iCs/>
        </w:rPr>
        <w:t xml:space="preserve">Shigella</w:t>
      </w:r>
      <w:r>
        <w:t xml:space="preserve"> </w:t>
      </w:r>
      <w:r>
        <w:t xml:space="preserve">genomes from RefSeq; (2) 85,205 GTDB r220 representative genomes; (3) 2.34 million GenBank + RefSeq prokaryotic assemblies.</w:t>
      </w:r>
    </w:p>
    <w:p>
      <w:pPr>
        <w:pStyle w:val="BodyText"/>
      </w:pPr>
      <w:r>
        <w:rPr>
          <w:b/>
          <w:bCs/>
        </w:rPr>
        <w:t xml:space="preserve">Simulated queries.</w:t>
      </w:r>
      <w:r>
        <w:t xml:space="preserve"> </w:t>
      </w:r>
      <w:r>
        <w:t xml:space="preserve">We extracted 1,000 random subsequences (500–5,000 bp) from 100 diverse genomes and introduced controlled mutations at 0%, 1%, 3%, 5%, 10%, and 15% divergence (70% substitutions, 20% insertions, 10% deletions). Long reads were simulated using Badread v0.4 with mean length 5 Kbp and identity range 85–99%.</w:t>
      </w:r>
    </w:p>
    <w:p>
      <w:pPr>
        <w:pStyle w:val="BodyText"/>
      </w:pPr>
      <w:r>
        <w:rPr>
          <w:b/>
          <w:bCs/>
        </w:rPr>
        <w:t xml:space="preserve">Tools compared.</w:t>
      </w:r>
      <w:r>
        <w:t xml:space="preserve"> </w:t>
      </w:r>
      <w:r>
        <w:t xml:space="preserve">Dragon v0.1.0, LexicMap (latest), Minimap2 v2.28, BLASTn 2.15.0, MMseqs2 v15, COBS (latest), sourmash v4.8, and skani v0.2.</w:t>
      </w:r>
    </w:p>
    <w:p>
      <w:pPr>
        <w:pStyle w:val="BodyText"/>
      </w:pPr>
      <w:r>
        <w:rPr>
          <w:b/>
          <w:bCs/>
        </w:rPr>
        <w:t xml:space="preserve">Metrics.</w:t>
      </w:r>
      <w:r>
        <w:t xml:space="preserve"> </w:t>
      </w:r>
      <w:r>
        <w:t xml:space="preserve">Sensitivity (recall), precision, F1 score, peak RSS, wall-clock time, CPU time, and index size on disk. Resource measurements used</w:t>
      </w:r>
      <w:r>
        <w:t xml:space="preserve"> </w:t>
      </w:r>
      <w:r>
        <w:rPr>
          <w:rStyle w:val="VerbatimChar"/>
        </w:rPr>
        <w:t xml:space="preserve">/usr/bin/time -v</w:t>
      </w:r>
      <w:r>
        <w:t xml:space="preserve"> </w:t>
      </w:r>
      <w:r>
        <w:t xml:space="preserve">on Linux.</w:t>
      </w:r>
    </w:p>
    <w:bookmarkEnd w:id="38"/>
    <w:bookmarkStart w:id="39" w:name="implementation"/>
    <w:p>
      <w:pPr>
        <w:pStyle w:val="Heading2"/>
      </w:pPr>
      <w:r>
        <w:t xml:space="preserve">Implementation</w:t>
      </w:r>
    </w:p>
    <w:p>
      <w:pPr>
        <w:pStyle w:val="FirstParagraph"/>
      </w:pPr>
      <w:r>
        <w:t xml:space="preserve">Dragon is implemented in Rust and is available as a single binary with nine subcommands:</w:t>
      </w:r>
      <w:r>
        <w:t xml:space="preserve"> </w:t>
      </w:r>
      <w:r>
        <w:rPr>
          <w:rStyle w:val="VerbatimChar"/>
        </w:rPr>
        <w:t xml:space="preserve">dragon index</w:t>
      </w:r>
      <w:r>
        <w:t xml:space="preserve"> </w:t>
      </w:r>
      <w:r>
        <w:t xml:space="preserve">(index construction),</w:t>
      </w:r>
      <w:r>
        <w:t xml:space="preserve"> </w:t>
      </w:r>
      <w:r>
        <w:rPr>
          <w:rStyle w:val="VerbatimChar"/>
        </w:rPr>
        <w:t xml:space="preserve">dragon search</w:t>
      </w:r>
      <w:r>
        <w:t xml:space="preserve"> </w:t>
      </w:r>
      <w:r>
        <w:t xml:space="preserve">(query with PAF, BLAST6, GFA, or summary output),</w:t>
      </w:r>
      <w:r>
        <w:t xml:space="preserve"> </w:t>
      </w:r>
      <w:r>
        <w:rPr>
          <w:rStyle w:val="VerbatimChar"/>
        </w:rPr>
        <w:t xml:space="preserve">dragon summarize</w:t>
      </w:r>
      <w:r>
        <w:t xml:space="preserve"> </w:t>
      </w:r>
      <w:r>
        <w:t xml:space="preserve">(surveillance reports from PAF),</w:t>
      </w:r>
      <w:r>
        <w:t xml:space="preserve"> </w:t>
      </w:r>
      <w:r>
        <w:rPr>
          <w:rStyle w:val="VerbatimChar"/>
        </w:rPr>
        <w:t xml:space="preserve">dragon update</w:t>
      </w:r>
      <w:r>
        <w:t xml:space="preserve"> </w:t>
      </w:r>
      <w:r>
        <w:t xml:space="preserve">(incremental index update),</w:t>
      </w:r>
      <w:r>
        <w:t xml:space="preserve"> </w:t>
      </w:r>
      <w:r>
        <w:rPr>
          <w:rStyle w:val="VerbatimChar"/>
        </w:rPr>
        <w:t xml:space="preserve">dragon compact</w:t>
      </w:r>
      <w:r>
        <w:t xml:space="preserve"> </w:t>
      </w:r>
      <w:r>
        <w:t xml:space="preserve">(overlay merging),</w:t>
      </w:r>
      <w:r>
        <w:t xml:space="preserve"> </w:t>
      </w:r>
      <w:r>
        <w:rPr>
          <w:rStyle w:val="VerbatimChar"/>
        </w:rPr>
        <w:t xml:space="preserve">dragon download</w:t>
      </w:r>
      <w:r>
        <w:t xml:space="preserve"> </w:t>
      </w:r>
      <w:r>
        <w:t xml:space="preserve">(pre-built index and genome downloads),</w:t>
      </w:r>
      <w:r>
        <w:t xml:space="preserve"> </w:t>
      </w:r>
      <w:r>
        <w:rPr>
          <w:rStyle w:val="VerbatimChar"/>
        </w:rPr>
        <w:t xml:space="preserve">dragon info</w:t>
      </w:r>
      <w:r>
        <w:t xml:space="preserve"> </w:t>
      </w:r>
      <w:r>
        <w:t xml:space="preserve">(index metadata),</w:t>
      </w:r>
      <w:r>
        <w:t xml:space="preserve"> </w:t>
      </w:r>
      <w:r>
        <w:rPr>
          <w:rStyle w:val="VerbatimChar"/>
        </w:rPr>
        <w:t xml:space="preserve">dragon signal-index</w:t>
      </w:r>
      <w:r>
        <w:t xml:space="preserve"> </w:t>
      </w:r>
      <w:r>
        <w:t xml:space="preserve">and</w:t>
      </w:r>
      <w:r>
        <w:t xml:space="preserve"> </w:t>
      </w:r>
      <w:r>
        <w:rPr>
          <w:rStyle w:val="VerbatimChar"/>
        </w:rPr>
        <w:t xml:space="preserve">dragon signal-search</w:t>
      </w:r>
      <w:r>
        <w:t xml:space="preserve"> </w:t>
      </w:r>
      <w:r>
        <w:t xml:space="preserve">(nanopore signal-level search). Key dependencies include the</w:t>
      </w:r>
      <w:r>
        <w:t xml:space="preserve"> </w:t>
      </w:r>
      <w:r>
        <w:rPr>
          <w:rStyle w:val="VerbatimChar"/>
        </w:rPr>
        <w:t xml:space="preserve">roaring</w:t>
      </w:r>
      <w:r>
        <w:t xml:space="preserve"> </w:t>
      </w:r>
      <w:r>
        <w:t xml:space="preserve">crate (Roaring Bitmaps for color sets),</w:t>
      </w:r>
      <w:r>
        <w:t xml:space="preserve"> </w:t>
      </w:r>
      <w:r>
        <w:rPr>
          <w:rStyle w:val="VerbatimChar"/>
        </w:rPr>
        <w:t xml:space="preserve">memmap2</w:t>
      </w:r>
      <w:r>
        <w:t xml:space="preserve"> </w:t>
      </w:r>
      <w:r>
        <w:t xml:space="preserve">(memory-mapped I/O for low-RAM querying),</w:t>
      </w:r>
      <w:r>
        <w:t xml:space="preserve"> </w:t>
      </w:r>
      <w:r>
        <w:rPr>
          <w:rStyle w:val="VerbatimChar"/>
        </w:rPr>
        <w:t xml:space="preserve">serde</w:t>
      </w:r>
      <w:r>
        <w:t xml:space="preserve">/</w:t>
      </w:r>
      <w:r>
        <w:rPr>
          <w:rStyle w:val="VerbatimChar"/>
        </w:rPr>
        <w:t xml:space="preserve">bincode</w:t>
      </w:r>
      <w:r>
        <w:t xml:space="preserve"> </w:t>
      </w:r>
      <w:r>
        <w:t xml:space="preserve">(index serialisation), and</w:t>
      </w:r>
      <w:r>
        <w:t xml:space="preserve"> </w:t>
      </w:r>
      <w:r>
        <w:rPr>
          <w:rStyle w:val="VerbatimChar"/>
        </w:rPr>
        <w:t xml:space="preserve">rayon</w:t>
      </w:r>
      <w:r>
        <w:t xml:space="preserve"> </w:t>
      </w:r>
      <w:r>
        <w:t xml:space="preserve">(parallel processing). The ML seed scorer uses logistic regression with zero external dependencies (inference is a single dot product). A Python training script (</w:t>
      </w:r>
      <w:r>
        <w:rPr>
          <w:rStyle w:val="VerbatimChar"/>
        </w:rPr>
        <w:t xml:space="preserve">scripts/train_seed_scorer.py</w:t>
      </w:r>
      <w:r>
        <w:t xml:space="preserve">) fits weights from labeled benchmark data. The benchmark pipeline (</w:t>
      </w:r>
      <w:r>
        <w:rPr>
          <w:rStyle w:val="VerbatimChar"/>
        </w:rPr>
        <w:t xml:space="preserve">scripts/compare_baselines.sh</w:t>
      </w:r>
      <w:r>
        <w:t xml:space="preserve"> </w:t>
      </w:r>
      <w:r>
        <w:t xml:space="preserve">and Snakemake workflow) supports reproducible comparison against LexicMap, Minimap2, BLASTn, and other tools.</w:t>
      </w:r>
    </w:p>
    <w:bookmarkEnd w:id="39"/>
    <w:bookmarkEnd w:id="40"/>
    <w:bookmarkStart w:id="42" w:name="data-and-code-availability"/>
    <w:p>
      <w:pPr>
        <w:pStyle w:val="Heading1"/>
      </w:pPr>
      <w:r>
        <w:t xml:space="preserve">Data and Code Availability</w:t>
      </w:r>
    </w:p>
    <w:p>
      <w:pPr>
        <w:pStyle w:val="FirstParagraph"/>
      </w:pPr>
      <w:r>
        <w:t xml:space="preserve">Dragon source code, benchmark pipeline, and simulated datasets are available at</w:t>
      </w:r>
      <w:r>
        <w:t xml:space="preserve"> </w:t>
      </w:r>
      <w:hyperlink r:id="rId41">
        <w:r>
          <w:rPr>
            <w:rStyle w:val="Hyperlink"/>
          </w:rPr>
          <w:t xml:space="preserve">https://github.com/dragon-aligner/dragon</w:t>
        </w:r>
      </w:hyperlink>
      <w:r>
        <w:t xml:space="preserve"> </w:t>
      </w:r>
      <w:r>
        <w:t xml:space="preserve">under the MIT license. The Snakemake workflow in</w:t>
      </w:r>
      <w:r>
        <w:t xml:space="preserve"> </w:t>
      </w:r>
      <w:r>
        <w:rPr>
          <w:rStyle w:val="VerbatimChar"/>
        </w:rPr>
        <w:t xml:space="preserve">benchmark/</w:t>
      </w:r>
      <w:r>
        <w:t xml:space="preserve"> </w:t>
      </w:r>
      <w:r>
        <w:t xml:space="preserve">reproduces all figures and tables.</w:t>
      </w:r>
    </w:p>
    <w:bookmarkEnd w:id="42"/>
    <w:bookmarkStart w:id="46" w:name="acknowledgments"/>
    <w:p>
      <w:pPr>
        <w:pStyle w:val="Heading1"/>
      </w:pPr>
      <w:r>
        <w:t xml:space="preserve">Acknowledgments</w:t>
      </w:r>
    </w:p>
    <w:p>
      <w:pPr>
        <w:pStyle w:val="FirstParagraph"/>
      </w:pPr>
      <w:r>
        <w:t xml:space="preserve">We thank the developers of GGCAT, the fm-index crate, and the AllTheBacteria initiative for making their tools and data publicly available.</w:t>
      </w:r>
    </w:p>
    <w:p>
      <w:pPr>
        <w:pStyle w:val="BodyText"/>
      </w:pPr>
      <w:r>
        <w:t xml:space="preserve">20</w:t>
      </w:r>
    </w:p>
    <w:p>
      <w:pPr>
        <w:pStyle w:val="BodyText"/>
      </w:pPr>
      <w:r>
        <w:t xml:space="preserve">Altschul, S. F., Gish, W., Miller, W., Myers, E. W., and Lipman, D. J.</w:t>
      </w:r>
      <w:r>
        <w:t xml:space="preserve"> </w:t>
      </w:r>
      <w:r>
        <w:t xml:space="preserve">Basic local alignment search tool.</w:t>
      </w:r>
      <w:r>
        <w:t xml:space="preserve"> </w:t>
      </w:r>
      <w:r>
        <w:rPr>
          <w:i/>
          <w:iCs/>
        </w:rPr>
        <w:t xml:space="preserve">Journal of Molecular Biology</w:t>
      </w:r>
      <w:r>
        <w:t xml:space="preserve">, 215(3):403–410, 1990.</w:t>
      </w:r>
    </w:p>
    <w:p>
      <w:pPr>
        <w:pStyle w:val="BodyText"/>
      </w:pPr>
      <w:r>
        <w:t xml:space="preserve">Blackwell, G. A., Hunt, M., Malone, K. M., et al.</w:t>
      </w:r>
      <w:r>
        <w:t xml:space="preserve"> </w:t>
      </w:r>
      <w:r>
        <w:t xml:space="preserve">Exploring bacterial diversity via a curated and searchable snapshot of archived DNA sequences.</w:t>
      </w:r>
      <w:r>
        <w:t xml:space="preserve"> </w:t>
      </w:r>
      <w:r>
        <w:rPr>
          <w:i/>
          <w:iCs/>
        </w:rPr>
        <w:t xml:space="preserve">PLoS Biology</w:t>
      </w:r>
      <w:r>
        <w:t xml:space="preserve">, 22(9):e3002805, 2024.</w:t>
      </w:r>
    </w:p>
    <w:p>
      <w:pPr>
        <w:pStyle w:val="BodyText"/>
      </w:pPr>
      <w:r>
        <w:t xml:space="preserve">Cracco, A. and Tomescu, A. I.</w:t>
      </w:r>
      <w:r>
        <w:t xml:space="preserve"> </w:t>
      </w:r>
      <w:r>
        <w:t xml:space="preserve">Extremely fast construction and querying of compacted and colored de Bruijn graphs with GGCAT.</w:t>
      </w:r>
      <w:r>
        <w:t xml:space="preserve"> </w:t>
      </w:r>
      <w:r>
        <w:rPr>
          <w:i/>
          <w:iCs/>
        </w:rPr>
        <w:t xml:space="preserve">Genome Research</w:t>
      </w:r>
      <w:r>
        <w:t xml:space="preserve">, 33(7):1198–1207, 2023.</w:t>
      </w:r>
    </w:p>
    <w:p>
      <w:pPr>
        <w:pStyle w:val="BodyText"/>
      </w:pPr>
      <w:r>
        <w:t xml:space="preserve">Gagie, T., Navarro, G., and Prezza, N.</w:t>
      </w:r>
      <w:r>
        <w:t xml:space="preserve"> </w:t>
      </w:r>
      <w:r>
        <w:t xml:space="preserve">Fully functional suffix trees and optimal text searching in BWT-runs bounded space.</w:t>
      </w:r>
      <w:r>
        <w:t xml:space="preserve"> </w:t>
      </w:r>
      <w:r>
        <w:rPr>
          <w:i/>
          <w:iCs/>
        </w:rPr>
        <w:t xml:space="preserve">Journal of the ACM</w:t>
      </w:r>
      <w:r>
        <w:t xml:space="preserve">, 67(1):2, 2020.</w:t>
      </w:r>
    </w:p>
    <w:p>
      <w:pPr>
        <w:pStyle w:val="BodyText"/>
      </w:pPr>
      <w:r>
        <w:t xml:space="preserve">Lemire, D., Ssi-Yan-Kai, G., and Kaser, O.</w:t>
      </w:r>
      <w:r>
        <w:t xml:space="preserve"> </w:t>
      </w:r>
      <w:r>
        <w:t xml:space="preserve">Consistently faster and smaller compressed bitmaps with Roaring.</w:t>
      </w:r>
      <w:r>
        <w:t xml:space="preserve"> </w:t>
      </w:r>
      <w:r>
        <w:rPr>
          <w:i/>
          <w:iCs/>
        </w:rPr>
        <w:t xml:space="preserve">Software: Practice and Experience</w:t>
      </w:r>
      <w:r>
        <w:t xml:space="preserve">, 48(11):2032–2048, 2018.</w:t>
      </w:r>
    </w:p>
    <w:p>
      <w:pPr>
        <w:pStyle w:val="BodyText"/>
      </w:pPr>
      <w:r>
        <w:t xml:space="preserve">Li, H.</w:t>
      </w:r>
      <w:r>
        <w:t xml:space="preserve"> </w:t>
      </w:r>
      <w:r>
        <w:t xml:space="preserve">Minimap2: pairwise alignment for nucleotide sequences.</w:t>
      </w:r>
      <w:r>
        <w:t xml:space="preserve"> </w:t>
      </w:r>
      <w:r>
        <w:rPr>
          <w:i/>
          <w:iCs/>
        </w:rPr>
        <w:t xml:space="preserve">Bioinformatics</w:t>
      </w:r>
      <w:r>
        <w:t xml:space="preserve">, 34(18):3094–3100, 2018.</w:t>
      </w:r>
    </w:p>
    <w:p>
      <w:pPr>
        <w:pStyle w:val="BodyText"/>
      </w:pPr>
      <w:r>
        <w:t xml:space="preserve">Marco-Sola, S., Moure, J. C., Moreto, M., and Espinosa, A.</w:t>
      </w:r>
      <w:r>
        <w:t xml:space="preserve"> </w:t>
      </w:r>
      <w:r>
        <w:t xml:space="preserve">Fast gap-affine pairwise alignment using the wavefront algorithm.</w:t>
      </w:r>
      <w:r>
        <w:t xml:space="preserve"> </w:t>
      </w:r>
      <w:r>
        <w:rPr>
          <w:i/>
          <w:iCs/>
        </w:rPr>
        <w:t xml:space="preserve">Bioinformatics</w:t>
      </w:r>
      <w:r>
        <w:t xml:space="preserve">, 37(4):456–463, 2021.</w:t>
      </w:r>
    </w:p>
    <w:p>
      <w:pPr>
        <w:pStyle w:val="BodyText"/>
      </w:pPr>
      <w:r>
        <w:t xml:space="preserve">Ondov, B. D., Treangen, T. J., Melsted, P., et al.</w:t>
      </w:r>
      <w:r>
        <w:t xml:space="preserve"> </w:t>
      </w:r>
      <w:r>
        <w:t xml:space="preserve">Mash: fast genome and metagenome distance estimation using MinHash.</w:t>
      </w:r>
      <w:r>
        <w:t xml:space="preserve"> </w:t>
      </w:r>
      <w:r>
        <w:rPr>
          <w:i/>
          <w:iCs/>
        </w:rPr>
        <w:t xml:space="preserve">Genome Biology</w:t>
      </w:r>
      <w:r>
        <w:t xml:space="preserve">, 17:132, 2016.</w:t>
      </w:r>
    </w:p>
    <w:p>
      <w:pPr>
        <w:pStyle w:val="BodyText"/>
      </w:pPr>
      <w:r>
        <w:t xml:space="preserve">Parks, D. H., Chuvochina, M., Rinke, C., et al.</w:t>
      </w:r>
      <w:r>
        <w:t xml:space="preserve"> </w:t>
      </w:r>
      <w:r>
        <w:t xml:space="preserve">GTDB: an ongoing census of bacterial and archaeal diversity through a phylogenetically consistent, rank normalized and complete genome-based taxonomy.</w:t>
      </w:r>
      <w:r>
        <w:t xml:space="preserve"> </w:t>
      </w:r>
      <w:r>
        <w:rPr>
          <w:i/>
          <w:iCs/>
        </w:rPr>
        <w:t xml:space="preserve">Nucleic Acids Research</w:t>
      </w:r>
      <w:r>
        <w:t xml:space="preserve">, 50(D1):D199–D207, 2022.</w:t>
      </w:r>
    </w:p>
    <w:p>
      <w:pPr>
        <w:pStyle w:val="BodyText"/>
      </w:pPr>
      <w:r>
        <w:t xml:space="preserve">Pierce, N. T., Irber, L., Reiter, T., Brooks, P., and Brown, C. T.</w:t>
      </w:r>
      <w:r>
        <w:t xml:space="preserve"> </w:t>
      </w:r>
      <w:r>
        <w:t xml:space="preserve">Large-scale sequence comparisons with sourmash.</w:t>
      </w:r>
      <w:r>
        <w:t xml:space="preserve"> </w:t>
      </w:r>
      <w:r>
        <w:rPr>
          <w:i/>
          <w:iCs/>
        </w:rPr>
        <w:t xml:space="preserve">F1000Research</w:t>
      </w:r>
      <w:r>
        <w:t xml:space="preserve">, 8:1006, 2019.</w:t>
      </w:r>
    </w:p>
    <w:p>
      <w:pPr>
        <w:pStyle w:val="BodyText"/>
      </w:pPr>
      <w:r>
        <w:t xml:space="preserve">Shen, W., Xiang, H., Huang, T., et al.</w:t>
      </w:r>
      <w:r>
        <w:t xml:space="preserve"> </w:t>
      </w:r>
      <w:r>
        <w:t xml:space="preserve">Efficient sequence alignment against millions of prokaryotic genomes with LexicMap.</w:t>
      </w:r>
      <w:r>
        <w:t xml:space="preserve"> </w:t>
      </w:r>
      <w:r>
        <w:rPr>
          <w:i/>
          <w:iCs/>
        </w:rPr>
        <w:t xml:space="preserve">Nature Biotechnology</w:t>
      </w:r>
      <w:r>
        <w:t xml:space="preserve">, 2025.</w:t>
      </w:r>
    </w:p>
    <w:p>
      <w:pPr>
        <w:pStyle w:val="BodyText"/>
      </w:pPr>
      <w:r>
        <w:t xml:space="preserve">Steinegger, M. and Söding, J.</w:t>
      </w:r>
      <w:r>
        <w:t xml:space="preserve"> </w:t>
      </w:r>
      <w:r>
        <w:t xml:space="preserve">MMseqs2 enables sensitive protein sequence searching for the analysis of massive data sets.</w:t>
      </w:r>
      <w:r>
        <w:t xml:space="preserve"> </w:t>
      </w:r>
      <w:r>
        <w:rPr>
          <w:i/>
          <w:iCs/>
        </w:rPr>
        <w:t xml:space="preserve">Nature Biotechnology</w:t>
      </w:r>
      <w:r>
        <w:t xml:space="preserve">, 35(11):1026–1028, 2017.</w:t>
      </w:r>
    </w:p>
    <w:p>
      <w:pPr>
        <w:pStyle w:val="BodyText"/>
      </w:pPr>
      <w:r>
        <w:t xml:space="preserve">Wick, R. R.</w:t>
      </w:r>
      <w:r>
        <w:t xml:space="preserve"> </w:t>
      </w:r>
      <w:r>
        <w:t xml:space="preserve">Badread: simulation of error-prone long reads.</w:t>
      </w:r>
      <w:r>
        <w:t xml:space="preserve"> </w:t>
      </w:r>
      <w:r>
        <w:rPr>
          <w:i/>
          <w:iCs/>
        </w:rPr>
        <w:t xml:space="preserve">Journal of Open Source Software</w:t>
      </w:r>
      <w:r>
        <w:t xml:space="preserve">, 4(36):1316, 2019.</w:t>
      </w:r>
    </w:p>
    <w:bookmarkStart w:id="43" w:name="fig:architecture"/>
    <w:tbl>
      <w:tblPr>
        <w:tblStyle w:val="FigureTable"/>
        <w:tblW w:type="auto" w:w="0"/>
        <w:jc w:val="center"/>
        <w:tblLook w:firstRow="0" w:lastRow="0" w:firstColumn="0" w:lastColumn="0"/>
      </w:tblPr>
      <w:tblGrid/>
    </w:tbl>
    <w:p>
      <w:pPr>
        <w:pStyle w:val="ImageCaption"/>
      </w:pPr>
      <w:r>
        <w:t xml:space="preserve">Overview of Dragon’s index construction and query pipeline.</w:t>
      </w:r>
      <w:r>
        <w:t xml:space="preserve"> </w:t>
      </w:r>
      <w:r>
        <w:rPr>
          <w:b/>
          <w:bCs/>
        </w:rPr>
        <w:t xml:space="preserve">Index:</w:t>
      </w:r>
      <w:r>
        <w:t xml:space="preserve"> </w:t>
      </w:r>
      <w:r>
        <w:t xml:space="preserve">Genomes are collapsed into a colored compacted de Bruijn graph (ccdBG), indexed with an FM-index over unitigs, annotated with Roaring Bitmap colour sets, and augmented with a specificity index identifying genome-private unitigs.</w:t>
      </w:r>
      <w:r>
        <w:t xml:space="preserve"> </w:t>
      </w:r>
      <w:r>
        <w:rPr>
          <w:b/>
          <w:bCs/>
        </w:rPr>
        <w:t xml:space="preserve">Query:</w:t>
      </w:r>
      <w:r>
        <w:t xml:space="preserve"> </w:t>
      </w:r>
      <w:r>
        <w:t xml:space="preserve">Seeds are found via FM-index backward search, candidates are filtered by information-weighted voting (amplifying strain-specific unitigs), anchors are scored by a 10-feature logistic regression model, chains are sorted by containment + specificity bonus, and alignments are output in PAF, BLAST6, GFA (with Bandage-compatible colour tags), or surveillance summary format (TSV/JSON). Overlays enable incremental genome additions without full rebuild. The entire query pipeline operates within a 4 GB RAM budget via memory-mapped index access.</w:t>
      </w:r>
    </w:p>
    <w:bookmarkEnd w:id="43"/>
    <w:bookmarkStart w:id="44" w:name="fig:sensitivity"/>
    <w:tbl>
      <w:tblPr>
        <w:tblStyle w:val="FigureTable"/>
        <w:tblW w:type="auto" w:w="0"/>
        <w:jc w:val="center"/>
        <w:tblLook w:firstRow="0" w:lastRow="0" w:firstColumn="0" w:lastColumn="0"/>
      </w:tblPr>
      <w:tblGrid/>
    </w:tbl>
    <w:p>
      <w:pPr>
        <w:pStyle w:val="ImageCaption"/>
      </w:pPr>
      <w:r>
        <w:t xml:space="preserve">Sensitivity (recall) as a function of sequence divergence for eight alignment and search tools. Dragon maintains</w:t>
      </w:r>
      <w:r>
        <w:t xml:space="preserve"> </w:t>
      </w:r>
      <m:oMath>
        <m:r>
          <m:rPr>
            <m:sty m:val="p"/>
          </m:rPr>
          <m:t>&gt;</m:t>
        </m:r>
      </m:oMath>
      <w:r>
        <w:t xml:space="preserve">90% sensitivity up to 10% divergence, comparable to LexicMap and BLASTn, and substantially outperforming sketch-based methods.</w:t>
      </w:r>
    </w:p>
    <w:bookmarkEnd w:id="44"/>
    <w:bookmarkStart w:id="45" w:name="fig:resources"/>
    <w:tbl>
      <w:tblPr>
        <w:tblStyle w:val="FigureTable"/>
        <w:tblW w:type="auto" w:w="0"/>
        <w:jc w:val="center"/>
        <w:tblLook w:firstRow="0" w:lastRow="0" w:firstColumn="0" w:lastColumn="0"/>
      </w:tblPr>
      <w:tblGrid/>
    </w:tbl>
    <w:p>
      <w:pPr>
        <w:pStyle w:val="ImageCaption"/>
      </w:pPr>
      <w:r>
        <w:t xml:space="preserve">Resource comparison across tools. (a) Index size on disk (log scale). (b) Peak query RAM (log scale). (c) Mean query time for a single gene search. Dragon achieves the best combination of low disk usage and low RAM while maintaining competitive query speed.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github.com/dragon-aligner/dragon" TargetMode="External" /></Relationships>
</file>

<file path=word/_rels/footnotes.xml.rels><?xml version="1.0" encoding="UTF-8"?><Relationships xmlns="http://schemas.openxmlformats.org/package/2006/relationships"><Relationship Type="http://schemas.openxmlformats.org/officeDocument/2006/relationships/hyperlink" Id="rId41" Target="https://github.com/dragon-aligner/dra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resource-efficient sequence alignment against millions of prokaryotic genomes using graph-based compressed indexing</dc:title>
  <dc:creator>Author One1,*, Author Two1, Author Three2 1Department of Computer Science, University 2Department of Microbiology, University *Corresponding author: email@university.edu</dc:creator>
  <cp:keywords/>
  <dcterms:created xsi:type="dcterms:W3CDTF">2026-04-08T21:15:43Z</dcterms:created>
  <dcterms:modified xsi:type="dcterms:W3CDTF">2026-04-08T21:15:43Z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growth of microbial genome databases—now exceeding two million prokaryotic assemblies—has outpaced the capabilities of existing sequence alignment tools. While LexicMap (2025) achieved scalable alignment against millions of genomes, it requires 5.46 TB of disk space and up to 25 GB of RAM per query. Here we present Dragon, a sequence alignment tool that exploits the massive redundancy among prokaryotic genomes through three key innovations: (1) a colored compacted de Bruijn graph that collapses shared sequence across genomes, storing each unique region once; (2) a run-length FM-index over the collapsed unitig text, achieving space proportional to BWT runs rather than total text length; and (3) a graph-aware colinear chaining algorithm with information-weighted candidate filtering and ML-trained seed scoring that improves within-species resolution. On a benchmark of 2.34 million prokaryotic genomes from GenBank and RefSeq, Dragon achieves comparable sensitivity to LexicMap while reducing disk usage by approximately 50-fold (~100 GB vs. 5.46 TB) and peak query RAM by approximately 5-fold (&lt;4 GB vs. 4–25 GB). Beyond alignment, Dragon provides built-in surveillance capabilities: per-query species prevalence tables, ANI distribution statistics, and graph-context subgraph visualisation for genomic context analysis (plasmid vs. chromosome, mobile element proximity). Dragon supports incremental index updates—adding new genomes without full rebuild—and operates in both laptop (\leq8 GB RAM) and workstation modes, enabling million-genome-scale sequence searches on consumer-grade hardware.</vt:lpwstr>
  </property>
  <property fmtid="{D5CDD505-2E9C-101B-9397-08002B2CF9AE}" pid="3" name="date">
    <vt:lpwstr/>
  </property>
</Properties>
</file>