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50EB68D9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 xml:space="preserve">Lee </w:t>
                  </w:r>
                  <w:proofErr w:type="spellStart"/>
                  <w:r>
                    <w:rPr>
                      <w:rFonts w:hint="eastAsia"/>
                    </w:rPr>
                    <w:t>ChanKeun</w:t>
                  </w:r>
                  <w:proofErr w:type="spellEnd"/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</w:t>
                  </w:r>
                  <w:proofErr w:type="spellStart"/>
                  <w:r>
                    <w:rPr>
                      <w:rFonts w:hint="eastAsia"/>
                    </w:rPr>
                    <w:t>Keun</w:t>
                  </w:r>
                  <w:proofErr w:type="spellEnd"/>
                  <w:r>
                    <w:rPr>
                      <w:rFonts w:hint="eastAsia"/>
                    </w:rPr>
                    <w:t xml:space="preserve">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0D7C6B91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 w:rsidR="00B03092"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~</w:t>
                  </w:r>
                  <w:r w:rsidR="00B03092">
                    <w:rPr>
                      <w:rFonts w:hint="eastAsia"/>
                    </w:rPr>
                    <w:t>7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6B56024F" w:rsidR="00D14B37" w:rsidRDefault="00D84FDF" w:rsidP="009A5506">
                  <w:r>
                    <w:t>SWIR Camera contents Proposal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37B54BB8" w14:textId="44579F20" w:rsidR="00002F30" w:rsidRPr="003F0FF0" w:rsidRDefault="00D14B37" w:rsidP="003F0FF0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Results in This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7F1F26D" w14:textId="3E7FB536" w:rsidR="00002F3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Buy a lens filter after selecting the appropriate wavelength band</w:t>
                  </w:r>
                </w:p>
                <w:p w14:paraId="29746024" w14:textId="74995AD1" w:rsidR="003F0FF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Purchase and supply of plastic by type</w:t>
                  </w:r>
                </w:p>
                <w:p w14:paraId="27A1C531" w14:textId="77777777" w:rsidR="003F0FF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2214691" w14:textId="7F7ECB01" w:rsidR="003F0FF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F0FF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19C0810B" wp14:editId="48044328">
                        <wp:extent cx="1408176" cy="1056132"/>
                        <wp:effectExtent l="0" t="0" r="1905" b="0"/>
                        <wp:docPr id="3" name="그림 2" descr="텍스트, 직사각형, 친필, 실내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0A7D420-6803-790F-BE12-0F55480A363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2" descr="텍스트, 직사각형, 친필, 실내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30A7D420-6803-790F-BE12-0F55480A363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7674" cy="1063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0FF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2740EDE1" wp14:editId="0C76E38D">
                        <wp:extent cx="1517407" cy="1056102"/>
                        <wp:effectExtent l="0" t="0" r="0" b="0"/>
                        <wp:docPr id="7" name="그림 6" descr="투명, 플라스틱, 투명 소재, 비닐 랩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BB777147-5275-0573-185F-733C642FB05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그림 6" descr="투명, 플라스틱, 투명 소재, 비닐 랩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BB777147-5275-0573-185F-733C642FB05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7201"/>
                                <a:stretch/>
                              </pic:blipFill>
                              <pic:spPr>
                                <a:xfrm>
                                  <a:off x="0" y="0"/>
                                  <a:ext cx="1517407" cy="1056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0FF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10C05F69" wp14:editId="6E08F424">
                        <wp:extent cx="1051560" cy="1051560"/>
                        <wp:effectExtent l="0" t="0" r="2540" b="2540"/>
                        <wp:docPr id="2" name="그림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3B72BBB-D5ED-4FA8-C485-BE9109C5357D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1">
                                  <a:extLst>
                                    <a:ext uri="{FF2B5EF4-FFF2-40B4-BE49-F238E27FC236}">
                                      <a16:creationId xmlns:a16="http://schemas.microsoft.com/office/drawing/2014/main" id="{D3B72BBB-D5ED-4FA8-C485-BE9109C5357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352" cy="107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0FF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3E3EEF88" wp14:editId="5DDBD728">
                        <wp:extent cx="969264" cy="969264"/>
                        <wp:effectExtent l="0" t="0" r="0" b="0"/>
                        <wp:docPr id="9" name="그림 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3E62F7B-AE05-6B2F-7FBF-4B60FCFA01CD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그림 8">
                                  <a:extLst>
                                    <a:ext uri="{FF2B5EF4-FFF2-40B4-BE49-F238E27FC236}">
                                      <a16:creationId xmlns:a16="http://schemas.microsoft.com/office/drawing/2014/main" id="{73E62F7B-AE05-6B2F-7FBF-4B60FCFA01C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6506" cy="9765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44DBE6" w14:textId="507BA82B" w:rsidR="003F0FF0" w:rsidRPr="003F0FF0" w:rsidRDefault="003F0FF0" w:rsidP="003F0FF0">
                  <w:pPr>
                    <w:pStyle w:val="a4"/>
                    <w:numPr>
                      <w:ilvl w:val="0"/>
                      <w:numId w:val="7"/>
                    </w:numPr>
                    <w:rPr>
                      <w:rStyle w:val="a5"/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3F0FF0">
                    <w:rPr>
                      <w:rFonts w:ascii="Times New Roman" w:hAnsi="Times New Roman" w:cs="Times New Roman"/>
                      <w:sz w:val="20"/>
                      <w:szCs w:val="15"/>
                    </w:rPr>
                    <w:t xml:space="preserve">PVC, </w:t>
                  </w:r>
                  <w:proofErr w:type="gramStart"/>
                  <w:r w:rsidRPr="003F0FF0">
                    <w:rPr>
                      <w:rFonts w:ascii="Times New Roman" w:hAnsi="Times New Roman" w:cs="Times New Roman"/>
                      <w:sz w:val="20"/>
                      <w:szCs w:val="15"/>
                    </w:rPr>
                    <w:t>AC,</w:t>
                  </w:r>
                  <w:r>
                    <w:rPr>
                      <w:rFonts w:ascii="Times New Roman" w:hAnsi="Times New Roman" w:cs="Times New Roman"/>
                      <w:sz w:val="20"/>
                      <w:szCs w:val="15"/>
                    </w:rPr>
                    <w:t>PC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5"/>
                    </w:rPr>
                    <w:t>, PET</w:t>
                  </w:r>
                </w:p>
                <w:p w14:paraId="7B8F187B" w14:textId="34D4414D" w:rsidR="003F0FF0" w:rsidRDefault="003F0FF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Seeking datasets to apply HSI</w:t>
                  </w:r>
                </w:p>
                <w:p w14:paraId="6BE89FCA" w14:textId="6E97D987" w:rsidR="00D14B37" w:rsidRDefault="00D14B37" w:rsidP="009A5506"/>
                <w:p w14:paraId="56470031" w14:textId="77777777" w:rsidR="00D14B37" w:rsidRDefault="00D14B37" w:rsidP="009A5506"/>
                <w:p w14:paraId="7CDF42B8" w14:textId="77777777" w:rsidR="00D14B37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Items in Next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77596A2" w14:textId="77777777" w:rsidR="00002F30" w:rsidRDefault="00002F30" w:rsidP="009A5506">
                  <w:pPr>
                    <w:rPr>
                      <w:b/>
                      <w:sz w:val="22"/>
                    </w:rPr>
                  </w:pPr>
                </w:p>
                <w:p w14:paraId="5C8DF14F" w14:textId="111191AE" w:rsidR="00002F30" w:rsidRPr="00F31C93" w:rsidRDefault="00E9305E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Collect data by type of plastic as soon as the lens filter arrives</w:t>
                  </w:r>
                </w:p>
                <w:p w14:paraId="23DBFD1B" w14:textId="3D3FA4D2" w:rsidR="001E22C0" w:rsidRPr="00E9305E" w:rsidRDefault="00E9305E" w:rsidP="009A5506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Determine which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</w:rPr>
                    <w:t>datasetws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</w:rPr>
                    <w:t xml:space="preserve"> can apply HSI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3A9B957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5138348B" w14:textId="1C1FD68F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7CC538C5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lastRenderedPageBreak/>
                    <w:t xml:space="preserve">Overall progress: 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2</w:t>
                  </w:r>
                  <w:r w:rsidR="00E9305E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7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0541C310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selecting the application and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</w:t>
                  </w:r>
                  <w:r w:rsidR="00E9305E">
                    <w:rPr>
                      <w:rFonts w:ascii="Times New Roman" w:eastAsia="맑은 고딕" w:hAnsi="Times New Roman" w:cs="Times New Roman"/>
                      <w:szCs w:val="20"/>
                    </w:rPr>
                    <w:t>experiment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505FE6BF" w14:textId="66FEB8AB" w:rsidR="00F31C93" w:rsidRDefault="00E9305E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We are struggling because the HSI dataset is rarely disclosed</w:t>
                  </w:r>
                </w:p>
                <w:p w14:paraId="03761752" w14:textId="77777777" w:rsidR="00002F30" w:rsidRPr="00002F30" w:rsidRDefault="00002F30" w:rsidP="00D90C49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Advisor suggested comparing different spectral bands for improved defect detection.</w:t>
                  </w:r>
                </w:p>
                <w:p w14:paraId="48646182" w14:textId="230178E4" w:rsidR="00002F30" w:rsidRPr="00002F30" w:rsidRDefault="00E9305E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Referencing and retrieving more datasets are recommended.</w:t>
                  </w:r>
                </w:p>
                <w:p w14:paraId="067E0D3E" w14:textId="77777777" w:rsidR="00D14B37" w:rsidRPr="00002F30" w:rsidRDefault="00D14B37" w:rsidP="009A5506"/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9C83E02"/>
    <w:multiLevelType w:val="hybridMultilevel"/>
    <w:tmpl w:val="A058FAF2"/>
    <w:lvl w:ilvl="0" w:tplc="67D4892A">
      <w:start w:val="10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DA7"/>
    <w:multiLevelType w:val="hybridMultilevel"/>
    <w:tmpl w:val="354ACABA"/>
    <w:lvl w:ilvl="0" w:tplc="20EEBC80">
      <w:start w:val="10"/>
      <w:numFmt w:val="bullet"/>
      <w:lvlText w:val="-"/>
      <w:lvlJc w:val="left"/>
      <w:pPr>
        <w:ind w:left="112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6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3"/>
  </w:num>
  <w:num w:numId="2" w16cid:durableId="1256743245">
    <w:abstractNumId w:val="0"/>
  </w:num>
  <w:num w:numId="3" w16cid:durableId="107087474">
    <w:abstractNumId w:val="2"/>
  </w:num>
  <w:num w:numId="4" w16cid:durableId="172767725">
    <w:abstractNumId w:val="6"/>
  </w:num>
  <w:num w:numId="5" w16cid:durableId="1040201247">
    <w:abstractNumId w:val="4"/>
  </w:num>
  <w:num w:numId="6" w16cid:durableId="1946645299">
    <w:abstractNumId w:val="1"/>
  </w:num>
  <w:num w:numId="7" w16cid:durableId="7907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7412"/>
    <w:rsid w:val="00193D02"/>
    <w:rsid w:val="001E22C0"/>
    <w:rsid w:val="003F0FF0"/>
    <w:rsid w:val="009D2A99"/>
    <w:rsid w:val="00A41C57"/>
    <w:rsid w:val="00AF68BA"/>
    <w:rsid w:val="00B03092"/>
    <w:rsid w:val="00D14B37"/>
    <w:rsid w:val="00D84FDF"/>
    <w:rsid w:val="00D90C49"/>
    <w:rsid w:val="00E9305E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  <w:style w:type="paragraph" w:styleId="a6">
    <w:name w:val="List Paragraph"/>
    <w:basedOn w:val="a"/>
    <w:uiPriority w:val="34"/>
    <w:qFormat/>
    <w:rsid w:val="003F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7</cp:revision>
  <dcterms:created xsi:type="dcterms:W3CDTF">2025-03-10T02:03:00Z</dcterms:created>
  <dcterms:modified xsi:type="dcterms:W3CDTF">2025-04-18T06:35:00Z</dcterms:modified>
</cp:coreProperties>
</file>