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BDAE4" w14:textId="77777777" w:rsidR="00C95D04" w:rsidRDefault="00C95D04" w:rsidP="00C95D04">
      <w:pPr>
        <w:pStyle w:val="NormalWeb"/>
      </w:pPr>
      <w:r>
        <w:t xml:space="preserve">This is a </w:t>
      </w:r>
      <w:r>
        <w:rPr>
          <w:rStyle w:val="Strong"/>
        </w:rPr>
        <w:t>volatility cone</w:t>
      </w:r>
      <w:r>
        <w:t>. It shows how much realized volatility has historically varied depending on the time window you measure it over, so you can judge whether an option’s implied vol is cheap or expensive for its tenor.</w:t>
      </w:r>
    </w:p>
    <w:p w14:paraId="4C892309" w14:textId="77777777" w:rsidR="00C95D04" w:rsidRDefault="00C95D04" w:rsidP="00C95D04">
      <w:pPr>
        <w:pStyle w:val="Heading3"/>
      </w:pPr>
      <w:r>
        <w:t>How it’s built</w:t>
      </w:r>
    </w:p>
    <w:p w14:paraId="4411F1AD" w14:textId="77777777" w:rsidR="00C95D04" w:rsidRDefault="00C95D04" w:rsidP="00C95D04">
      <w:pPr>
        <w:pStyle w:val="NormalWeb"/>
      </w:pPr>
      <w:r>
        <w:t xml:space="preserve">The x-axis (“days to expiration”) is a </w:t>
      </w:r>
      <w:r>
        <w:rPr>
          <w:rStyle w:val="Strong"/>
        </w:rPr>
        <w:t>measurement window length</w:t>
      </w:r>
      <w:r>
        <w:t>, not a calendar date. For each window length N from 1 to 180:</w:t>
      </w:r>
    </w:p>
    <w:p w14:paraId="7F7158C7" w14:textId="77777777" w:rsidR="00C95D04" w:rsidRDefault="00C95D04" w:rsidP="00C95D04">
      <w:pPr>
        <w:numPr>
          <w:ilvl w:val="0"/>
          <w:numId w:val="19"/>
        </w:numPr>
        <w:spacing w:before="100" w:beforeAutospacing="1" w:after="100" w:afterAutospacing="1" w:line="240" w:lineRule="auto"/>
      </w:pPr>
      <w:r>
        <w:t>Compute daily log returns of the underlying.</w:t>
      </w:r>
    </w:p>
    <w:p w14:paraId="3A67CFD1" w14:textId="77777777" w:rsidR="00C95D04" w:rsidRDefault="00C95D04" w:rsidP="00C95D04">
      <w:pPr>
        <w:numPr>
          <w:ilvl w:val="0"/>
          <w:numId w:val="19"/>
        </w:numPr>
        <w:spacing w:before="100" w:beforeAutospacing="1" w:after="100" w:afterAutospacing="1" w:line="240" w:lineRule="auto"/>
      </w:pPr>
      <w:r>
        <w:t xml:space="preserve">Roll an N-day window across the whole price history. For each position, calculate annualized realized vol: the </w:t>
      </w:r>
      <w:proofErr w:type="spellStart"/>
      <w:r>
        <w:t>stdev</w:t>
      </w:r>
      <w:proofErr w:type="spellEnd"/>
      <w:r>
        <w:t xml:space="preserve"> of the N returns × √252.</w:t>
      </w:r>
    </w:p>
    <w:p w14:paraId="3B9C52C7" w14:textId="77777777" w:rsidR="00C95D04" w:rsidRDefault="00C95D04" w:rsidP="00C95D04">
      <w:pPr>
        <w:numPr>
          <w:ilvl w:val="0"/>
          <w:numId w:val="19"/>
        </w:numPr>
        <w:spacing w:before="100" w:beforeAutospacing="1" w:after="100" w:afterAutospacing="1" w:line="240" w:lineRule="auto"/>
      </w:pPr>
      <w:r>
        <w:t>You now have a distribution of every N-day realized vol the asset has ever produced. Take its statistics: max (Hi), min (Low), mean, and mean ± 1 and ± 2 standard deviations.</w:t>
      </w:r>
    </w:p>
    <w:p w14:paraId="77206B90" w14:textId="77777777" w:rsidR="00C95D04" w:rsidRDefault="00C95D04" w:rsidP="00C95D04">
      <w:pPr>
        <w:numPr>
          <w:ilvl w:val="0"/>
          <w:numId w:val="19"/>
        </w:numPr>
        <w:spacing w:before="100" w:beforeAutospacing="1" w:after="100" w:afterAutospacing="1" w:line="240" w:lineRule="auto"/>
      </w:pPr>
      <w:r>
        <w:t xml:space="preserve">Plot those statistics against N. Each </w:t>
      </w:r>
      <w:proofErr w:type="spellStart"/>
      <w:r>
        <w:t>colored</w:t>
      </w:r>
      <w:proofErr w:type="spellEnd"/>
      <w:r>
        <w:t xml:space="preserve"> line connects one statistic across all window lengths.</w:t>
      </w:r>
    </w:p>
    <w:p w14:paraId="31CB7A42" w14:textId="77777777" w:rsidR="00C95D04" w:rsidRDefault="00C95D04" w:rsidP="00C95D04">
      <w:pPr>
        <w:pStyle w:val="NormalWeb"/>
      </w:pPr>
      <w:r>
        <w:t xml:space="preserve">The </w:t>
      </w:r>
      <w:r>
        <w:rPr>
          <w:rStyle w:val="Strong"/>
        </w:rPr>
        <w:t>red dot</w:t>
      </w:r>
      <w:r>
        <w:t xml:space="preserve"> is a current implied vol placed at its option’s days to expiry. Here that’s about 22% at 60 days. It is compared against the realized-vol distribution for the same horizon.</w:t>
      </w:r>
    </w:p>
    <w:p w14:paraId="661E150F" w14:textId="77777777" w:rsidR="00C95D04" w:rsidRDefault="00C95D04" w:rsidP="00C95D04">
      <w:pPr>
        <w:pStyle w:val="Heading3"/>
      </w:pPr>
      <w:r>
        <w:t>Reading it</w:t>
      </w:r>
    </w:p>
    <w:p w14:paraId="2B1ACD8C" w14:textId="77777777" w:rsidR="00C95D04" w:rsidRDefault="00C95D04" w:rsidP="00C95D04">
      <w:pPr>
        <w:pStyle w:val="NormalWeb"/>
      </w:pPr>
      <w:r>
        <w:rPr>
          <w:rStyle w:val="Strong"/>
        </w:rPr>
        <w:t>The cone shape.</w:t>
      </w:r>
      <w:r>
        <w:t xml:space="preserve"> Over short windows, a few big days can push realized vol very high or very low, so the spread is wide (from 0 to 77% here). Over longer windows, those shocks average out and vol mean-reverts, so the lines converge toward the long-run level, about 31%.</w:t>
      </w:r>
    </w:p>
    <w:p w14:paraId="3E4C3951" w14:textId="77777777" w:rsidR="00C95D04" w:rsidRDefault="00C95D04" w:rsidP="00C95D04">
      <w:pPr>
        <w:pStyle w:val="NormalWeb"/>
      </w:pPr>
      <w:r>
        <w:rPr>
          <w:rStyle w:val="Strong"/>
        </w:rPr>
        <w:t>The signal.</w:t>
      </w:r>
      <w:r>
        <w:t xml:space="preserve"> At 60 days, 22% implied sits below the −1σ line and close to the historical minimum of 60-day realized vol. Taken at face value, that says 60-day options are priced for unusually calm conditions relative to history. That’s an argument for buying vol (long options or straddles). A dot near the top of the cone would argue for selling.</w:t>
      </w:r>
    </w:p>
    <w:p w14:paraId="0D3FC0E1" w14:textId="77777777" w:rsidR="00C95D04" w:rsidRDefault="00C95D04" w:rsidP="00C95D04">
      <w:pPr>
        <w:pStyle w:val="Heading3"/>
      </w:pPr>
      <w:r>
        <w:t>Things to watch when you replicate it</w:t>
      </w:r>
    </w:p>
    <w:p w14:paraId="61D73328" w14:textId="77777777" w:rsidR="00C95D04" w:rsidRDefault="00C95D04" w:rsidP="00C95D04">
      <w:pPr>
        <w:pStyle w:val="NormalWeb"/>
      </w:pPr>
      <w:r>
        <w:rPr>
          <w:rStyle w:val="Strong"/>
        </w:rPr>
        <w:t>Limited history inflates convergence.</w:t>
      </w:r>
      <w:r>
        <w:t xml:space="preserve"> The near-total collapse of Hi/Low at 180 days suggests the chart uses only a year or two of data. With limited history, long windows overlap almost entirely and are nearly identical. The cone then looks tighter than the true uncertainty. Use as much history as you </w:t>
      </w:r>
      <w:proofErr w:type="gramStart"/>
      <w:r>
        <w:t>have, and</w:t>
      </w:r>
      <w:proofErr w:type="gramEnd"/>
      <w:r>
        <w:t xml:space="preserve"> remember that overlapping windows aren’t independent samples.</w:t>
      </w:r>
    </w:p>
    <w:p w14:paraId="17D260F2" w14:textId="77777777" w:rsidR="00C95D04" w:rsidRDefault="00C95D04" w:rsidP="00C95D04">
      <w:pPr>
        <w:pStyle w:val="NormalWeb"/>
      </w:pPr>
      <w:r>
        <w:rPr>
          <w:rStyle w:val="Strong"/>
        </w:rPr>
        <w:t>Std bands assume symmetry.</w:t>
      </w:r>
      <w:r>
        <w:t xml:space="preserve"> Notice the −2σ line dropping toward ~4% while the actual Low is higher, and the +2σ sitting below the Hi at the short end. Vol is right-skewed, roughly lognormal. Percentile bands (5th/25th/50th/75th/95th) are more honest, and I’d use them instead.</w:t>
      </w:r>
    </w:p>
    <w:p w14:paraId="7CDDEE77" w14:textId="77777777" w:rsidR="00C95D04" w:rsidRDefault="00C95D04" w:rsidP="00C95D04">
      <w:pPr>
        <w:pStyle w:val="NormalWeb"/>
      </w:pPr>
      <w:r>
        <w:rPr>
          <w:rStyle w:val="Strong"/>
        </w:rPr>
        <w:t>Compare like with like.</w:t>
      </w:r>
      <w:r>
        <w:t xml:space="preserve"> Implied vol usually trades above subsequent realized vol, because of the variance risk premium. So “below the mean” is less cheap than it looks, and “near the low” is a stronger signal. Also match your conventions: calendar vs trading days for the </w:t>
      </w:r>
      <w:r>
        <w:lastRenderedPageBreak/>
        <w:t>window, √252 vs √365 for annualization. Colombian holidays differ from US ones, which affects the USDCOP day count.</w:t>
      </w:r>
    </w:p>
    <w:p w14:paraId="6912412A" w14:textId="77777777" w:rsidR="00C95D04" w:rsidRDefault="00C95D04" w:rsidP="00C95D04">
      <w:pPr>
        <w:pStyle w:val="NormalWeb"/>
      </w:pPr>
      <w:r>
        <w:rPr>
          <w:rStyle w:val="Strong"/>
        </w:rPr>
        <w:t>Regime.</w:t>
      </w:r>
      <w:r>
        <w:t xml:space="preserve"> The cone pools all history. If COP vol has structurally shifted (e.g., around policy or oil-price regimes), recent-period cones can tell a different story.</w:t>
      </w:r>
    </w:p>
    <w:p w14:paraId="7C5AE4DC" w14:textId="77777777" w:rsidR="00C95D04" w:rsidRDefault="00C95D04" w:rsidP="00C95D04">
      <w:pPr>
        <w:pStyle w:val="NormalWeb"/>
      </w:pPr>
      <w:r>
        <w:t xml:space="preserve">I see you’ve uploaded </w:t>
      </w:r>
      <w:r>
        <w:rPr>
          <w:rStyle w:val="HTMLCode"/>
        </w:rPr>
        <w:t>usdcop.xlsx</w:t>
      </w:r>
      <w:r>
        <w:t xml:space="preserve">. I can build this from it in Python (matplotlib, or a </w:t>
      </w:r>
      <w:proofErr w:type="spellStart"/>
      <w:r>
        <w:t>Plotly</w:t>
      </w:r>
      <w:proofErr w:type="spellEnd"/>
      <w:r>
        <w:t xml:space="preserve"> figure you could drop into Dash), with percentile bands as an option alongside the std bands. Do you have USDCOP implied vols by tenor to overlay as dots, or should I leave a placeholder for those?</w:t>
      </w:r>
    </w:p>
    <w:p w14:paraId="460ACEBF" w14:textId="77777777" w:rsidR="00C95D04" w:rsidRDefault="00C95D04" w:rsidP="00C95D04">
      <w:pPr>
        <w:pStyle w:val="NormalWeb"/>
      </w:pPr>
      <w:r>
        <w:t xml:space="preserve">the file has timeseries for </w:t>
      </w:r>
      <w:proofErr w:type="spellStart"/>
      <w:r>
        <w:t>atm</w:t>
      </w:r>
      <w:proofErr w:type="spellEnd"/>
      <w:r>
        <w:t xml:space="preserve">, </w:t>
      </w:r>
      <w:proofErr w:type="spellStart"/>
      <w:r>
        <w:t>rr</w:t>
      </w:r>
      <w:proofErr w:type="spellEnd"/>
      <w:r>
        <w:t xml:space="preserve">, bf for 3,6 and 12 months </w:t>
      </w:r>
      <w:proofErr w:type="gramStart"/>
      <w:r>
        <w:t>and also</w:t>
      </w:r>
      <w:proofErr w:type="gramEnd"/>
      <w:r>
        <w:t xml:space="preserve"> the spot.</w:t>
      </w:r>
    </w:p>
    <w:p w14:paraId="27AA54EC" w14:textId="77777777" w:rsidR="00C95D04" w:rsidRDefault="00C95D04" w:rsidP="00C95D04">
      <w:pPr>
        <w:pStyle w:val="NormalWeb"/>
      </w:pPr>
      <w:r>
        <w:t>Here’s the USDCOP cone built from your file, with Jan 2014 to 26 Oct 2026 spot and today’s 3M/6M/9M/1Y ATM vols as the red dots. The script reads your Bloomberg export directly, so you can re-run it after refreshing the sheet.</w:t>
      </w:r>
    </w:p>
    <w:p w14:paraId="4C88ABEA" w14:textId="77777777" w:rsidR="00C95D04" w:rsidRDefault="00C95D04" w:rsidP="00C95D04">
      <w:pPr>
        <w:pStyle w:val="NormalWeb"/>
      </w:pPr>
      <w:r>
        <w:rPr>
          <w:rStyle w:val="Strong"/>
        </w:rPr>
        <w:t>How I set it up</w:t>
      </w:r>
    </w:p>
    <w:p w14:paraId="3238031B" w14:textId="77777777" w:rsidR="00C95D04" w:rsidRDefault="00C95D04" w:rsidP="00C95D04">
      <w:pPr>
        <w:numPr>
          <w:ilvl w:val="0"/>
          <w:numId w:val="20"/>
        </w:numPr>
        <w:spacing w:before="100" w:beforeAutospacing="1" w:after="100" w:afterAutospacing="1" w:line="240" w:lineRule="auto"/>
      </w:pPr>
      <w:r>
        <w:rPr>
          <w:rStyle w:val="Strong"/>
        </w:rPr>
        <w:t>Holidays removed.</w:t>
      </w:r>
      <w:r>
        <w:t xml:space="preserve"> The export is on a weekday calendar with holidays forward-filled, which creates 223 zero-return days (about 17 a year, matching Colombian holidays). Those artificial zeros would drag realized vol down, so the script drops them.</w:t>
      </w:r>
    </w:p>
    <w:p w14:paraId="29DBE725" w14:textId="77777777" w:rsidR="00C95D04" w:rsidRDefault="00C95D04" w:rsidP="00C95D04">
      <w:pPr>
        <w:numPr>
          <w:ilvl w:val="0"/>
          <w:numId w:val="20"/>
        </w:numPr>
        <w:spacing w:before="100" w:beforeAutospacing="1" w:after="100" w:afterAutospacing="1" w:line="240" w:lineRule="auto"/>
      </w:pPr>
      <w:r>
        <w:rPr>
          <w:rStyle w:val="Strong"/>
        </w:rPr>
        <w:t>Windows in trading days.</w:t>
      </w:r>
      <w:r>
        <w:t xml:space="preserve"> Returns are annualized with √252, and tenors map to 63, 126, 189 and 252 trading days.</w:t>
      </w:r>
    </w:p>
    <w:p w14:paraId="743F4317" w14:textId="77777777" w:rsidR="00C95D04" w:rsidRDefault="00C95D04" w:rsidP="00C95D04">
      <w:pPr>
        <w:numPr>
          <w:ilvl w:val="0"/>
          <w:numId w:val="20"/>
        </w:numPr>
        <w:spacing w:before="100" w:beforeAutospacing="1" w:after="100" w:afterAutospacing="1" w:line="240" w:lineRule="auto"/>
      </w:pPr>
      <w:r>
        <w:rPr>
          <w:rStyle w:val="Strong"/>
        </w:rPr>
        <w:t>Extra line.</w:t>
      </w:r>
      <w:r>
        <w:t xml:space="preserve"> I added a dashed grey line for current trailing realized vol at each window length. It isn’t in the original chart, but it gives the second comparison you need.</w:t>
      </w:r>
    </w:p>
    <w:p w14:paraId="39FDC297" w14:textId="77777777" w:rsidR="00C95D04" w:rsidRDefault="00C95D04" w:rsidP="00C95D04">
      <w:pPr>
        <w:numPr>
          <w:ilvl w:val="0"/>
          <w:numId w:val="20"/>
        </w:numPr>
        <w:spacing w:before="100" w:beforeAutospacing="1" w:after="100" w:afterAutospacing="1" w:line="240" w:lineRule="auto"/>
      </w:pPr>
      <w:r>
        <w:rPr>
          <w:rStyle w:val="Strong"/>
        </w:rPr>
        <w:t>Percentile bands.</w:t>
      </w:r>
      <w:r>
        <w:t xml:space="preserve"> Setting </w:t>
      </w:r>
      <w:r>
        <w:rPr>
          <w:rStyle w:val="HTMLCode"/>
          <w:rFonts w:eastAsiaTheme="minorHAnsi"/>
        </w:rPr>
        <w:t>USE_PERCENTILES = True</w:t>
      </w:r>
      <w:r>
        <w:t xml:space="preserve"> replaces the ±std bands with 5/25/50/75/95 percentiles. That’s the more honest version for vol, because the distribution is skewed. You can see it at the short end, where the −2σ line goes below zero, which is impossible for vol.</w:t>
      </w:r>
    </w:p>
    <w:p w14:paraId="571EF0CC" w14:textId="77777777" w:rsidR="00C95D04" w:rsidRDefault="00C95D04" w:rsidP="00C95D04">
      <w:pPr>
        <w:pStyle w:val="NormalWeb"/>
      </w:pPr>
      <w:r>
        <w:rPr>
          <w:rStyle w:val="Strong"/>
        </w:rPr>
        <w:t>What it says today</w:t>
      </w:r>
    </w:p>
    <w:p w14:paraId="5908A90F" w14:textId="77777777" w:rsidR="00C95D04" w:rsidRDefault="00C95D04" w:rsidP="00C95D04">
      <w:pPr>
        <w:numPr>
          <w:ilvl w:val="0"/>
          <w:numId w:val="21"/>
        </w:numPr>
        <w:spacing w:before="100" w:beforeAutospacing="1" w:after="100" w:afterAutospacing="1" w:line="240" w:lineRule="auto"/>
      </w:pPr>
      <w:r>
        <w:rPr>
          <w:rStyle w:val="Strong"/>
        </w:rPr>
        <w:t>Against history, implied is not unusual.</w:t>
      </w:r>
      <w:r>
        <w:t xml:space="preserve"> ATM is about 14.4–14.5% across the curve, slightly above the long-run mean of about 13.5–13.8%. That puts it around the 61st–64th percentile of historical realized vol at each tenor.</w:t>
      </w:r>
    </w:p>
    <w:p w14:paraId="3C4A9451" w14:textId="77777777" w:rsidR="00C95D04" w:rsidRDefault="00C95D04" w:rsidP="00C95D04">
      <w:pPr>
        <w:numPr>
          <w:ilvl w:val="0"/>
          <w:numId w:val="21"/>
        </w:numPr>
        <w:spacing w:before="100" w:beforeAutospacing="1" w:after="100" w:afterAutospacing="1" w:line="240" w:lineRule="auto"/>
      </w:pPr>
      <w:r>
        <w:rPr>
          <w:rStyle w:val="Strong"/>
        </w:rPr>
        <w:t>Against recent realized, implied is not rich.</w:t>
      </w:r>
      <w:r>
        <w:t xml:space="preserve"> Trailing 3M realized is 16.4%, above 3M implied at 14.5%. At 1Y they are about level (14.7% realized vs 14.45% implied). </w:t>
      </w:r>
      <w:proofErr w:type="gramStart"/>
      <w:r>
        <w:t>So</w:t>
      </w:r>
      <w:proofErr w:type="gramEnd"/>
      <w:r>
        <w:t xml:space="preserve"> the market is pricing vol at or below what COP has </w:t>
      </w:r>
      <w:proofErr w:type="gramStart"/>
      <w:r>
        <w:t>actually been</w:t>
      </w:r>
      <w:proofErr w:type="gramEnd"/>
      <w:r>
        <w:t xml:space="preserve"> delivering.</w:t>
      </w:r>
    </w:p>
    <w:p w14:paraId="1428C889" w14:textId="77777777" w:rsidR="00C95D04" w:rsidRDefault="00C95D04" w:rsidP="00C95D04">
      <w:pPr>
        <w:numPr>
          <w:ilvl w:val="0"/>
          <w:numId w:val="21"/>
        </w:numPr>
        <w:spacing w:before="100" w:beforeAutospacing="1" w:after="100" w:afterAutospacing="1" w:line="240" w:lineRule="auto"/>
      </w:pPr>
      <w:r>
        <w:rPr>
          <w:rStyle w:val="Strong"/>
        </w:rPr>
        <w:t>Net read:</w:t>
      </w:r>
      <w:r>
        <w:t xml:space="preserve"> neither a strong buy-vol nor sell-vol signal. If anything, short-dated vol looks modestly cheap relative to recent realized, which tends to be the more relevant comparison for anyone delta-hedging.</w:t>
      </w:r>
    </w:p>
    <w:p w14:paraId="7BA1F2D4" w14:textId="77777777" w:rsidR="00C95D04" w:rsidRDefault="00C95D04" w:rsidP="00C95D04">
      <w:pPr>
        <w:pStyle w:val="NormalWeb"/>
      </w:pPr>
      <w:r>
        <w:rPr>
          <w:rStyle w:val="Strong"/>
        </w:rPr>
        <w:t>Where the RR and BF data fit</w:t>
      </w:r>
    </w:p>
    <w:p w14:paraId="0EED9EAA" w14:textId="77777777" w:rsidR="00C95D04" w:rsidRDefault="00C95D04" w:rsidP="00C95D04">
      <w:pPr>
        <w:pStyle w:val="NormalWeb"/>
      </w:pPr>
      <w:r>
        <w:lastRenderedPageBreak/>
        <w:t>The 25-delta risk reversals and 15-delta butterflies don’t belong in a realized-vol cone, because realized vol has no skew equivalent. The natural companion chart is a skew cone. You would plot each tenor’s current RR and BF against its own historical range and percentiles, in the same spirit. Today’s 3M 25-delta RR is 2.66, versus a history running from 1.1 to 3.7 with a median of 2.0, so the skew looks relatively bid.</w:t>
      </w:r>
    </w:p>
    <w:p w14:paraId="4CEC85BF" w14:textId="77777777" w:rsidR="00C95D04" w:rsidRDefault="00C95D04" w:rsidP="00C95D04">
      <w:pPr>
        <w:pStyle w:val="NormalWeb"/>
      </w:pPr>
      <w:r>
        <w:t>Want me to add that skew panel alongside the cone?</w:t>
      </w:r>
    </w:p>
    <w:p w14:paraId="28D3CDC0" w14:textId="77777777" w:rsidR="00C95D04" w:rsidRDefault="00C95D04" w:rsidP="00C95D04">
      <w:proofErr w:type="spellStart"/>
      <w:r>
        <w:t>Usdcop</w:t>
      </w:r>
      <w:proofErr w:type="spellEnd"/>
      <w:r>
        <w:t xml:space="preserve"> vol cone</w:t>
      </w:r>
    </w:p>
    <w:p w14:paraId="6088FEAA" w14:textId="77777777" w:rsidR="00C95D04" w:rsidRDefault="00C95D04" w:rsidP="00C95D04">
      <w:proofErr w:type="spellStart"/>
      <w:r>
        <w:t>Image·PNG</w:t>
      </w:r>
      <w:proofErr w:type="spellEnd"/>
    </w:p>
    <w:p w14:paraId="029E9747" w14:textId="77777777" w:rsidR="00C95D04" w:rsidRDefault="00C95D04" w:rsidP="00C95D04">
      <w:proofErr w:type="spellStart"/>
      <w:r>
        <w:t>Usdcop</w:t>
      </w:r>
      <w:proofErr w:type="spellEnd"/>
      <w:r>
        <w:t xml:space="preserve"> vol cone</w:t>
      </w:r>
    </w:p>
    <w:p w14:paraId="191E3844" w14:textId="77777777" w:rsidR="00C95D04" w:rsidRDefault="00C95D04" w:rsidP="00C95D04">
      <w:r>
        <w:t>PY</w:t>
      </w:r>
    </w:p>
    <w:p w14:paraId="37614865" w14:textId="77777777" w:rsidR="00C95D04" w:rsidRDefault="00C95D04" w:rsidP="00C95D04">
      <w:pPr>
        <w:pStyle w:val="NormalWeb"/>
      </w:pPr>
      <w:r>
        <w:t xml:space="preserve">I’ve built the notebook, </w:t>
      </w:r>
      <w:proofErr w:type="spellStart"/>
      <w:r>
        <w:rPr>
          <w:rStyle w:val="HTMLCode"/>
        </w:rPr>
        <w:t>latam_fx_vol_rv_</w:t>
      </w:r>
      <w:proofErr w:type="gramStart"/>
      <w:r>
        <w:rPr>
          <w:rStyle w:val="HTMLCode"/>
        </w:rPr>
        <w:t>notebook.ipynb</w:t>
      </w:r>
      <w:proofErr w:type="spellEnd"/>
      <w:proofErr w:type="gramEnd"/>
      <w:r>
        <w:t xml:space="preserve">. It’s already run, so all tables and charts are visible before you execute anything. To rerun it, put </w:t>
      </w:r>
      <w:r>
        <w:rPr>
          <w:rStyle w:val="HTMLCode"/>
        </w:rPr>
        <w:t>latam_fx.xlsx</w:t>
      </w:r>
      <w:r>
        <w:t xml:space="preserve"> in the same folder and run top to bottom; the </w:t>
      </w:r>
      <w:proofErr w:type="spellStart"/>
      <w:r>
        <w:t>backtest</w:t>
      </w:r>
      <w:proofErr w:type="spellEnd"/>
      <w:r>
        <w:t xml:space="preserve"> section takes a minute or two.</w:t>
      </w:r>
    </w:p>
    <w:p w14:paraId="2A23244F" w14:textId="77777777" w:rsidR="00C95D04" w:rsidRDefault="00C95D04" w:rsidP="00C95D04">
      <w:pPr>
        <w:pStyle w:val="NormalWeb"/>
      </w:pPr>
      <w:r>
        <w:t>It rebuilds everything we’ve done, in order, with an explanation before each step:</w:t>
      </w:r>
    </w:p>
    <w:p w14:paraId="2134A778" w14:textId="77777777" w:rsidR="00C95D04" w:rsidRDefault="00C95D04" w:rsidP="00C95D04">
      <w:pPr>
        <w:numPr>
          <w:ilvl w:val="0"/>
          <w:numId w:val="22"/>
        </w:numPr>
        <w:spacing w:before="100" w:beforeAutospacing="1" w:after="100" w:afterAutospacing="1" w:line="240" w:lineRule="auto"/>
      </w:pPr>
      <w:r>
        <w:rPr>
          <w:rStyle w:val="Strong"/>
        </w:rPr>
        <w:t>Loading the Bloomberg export</w:t>
      </w:r>
      <w:r>
        <w:t xml:space="preserve"> into tidy columns (</w:t>
      </w:r>
      <w:r>
        <w:rPr>
          <w:rStyle w:val="HTMLCode"/>
          <w:rFonts w:eastAsiaTheme="minorHAnsi"/>
        </w:rPr>
        <w:t>spot</w:t>
      </w:r>
      <w:r>
        <w:t xml:space="preserve">, </w:t>
      </w:r>
      <w:r>
        <w:rPr>
          <w:rStyle w:val="HTMLCode"/>
          <w:rFonts w:eastAsiaTheme="minorHAnsi"/>
        </w:rPr>
        <w:t>atm_3M</w:t>
      </w:r>
      <w:r>
        <w:t xml:space="preserve">, </w:t>
      </w:r>
      <w:r>
        <w:rPr>
          <w:rStyle w:val="HTMLCode"/>
          <w:rFonts w:eastAsiaTheme="minorHAnsi"/>
        </w:rPr>
        <w:t>rr_3M</w:t>
      </w:r>
      <w:r>
        <w:t>, …), with a table explaining what RR and BF mean.</w:t>
      </w:r>
    </w:p>
    <w:p w14:paraId="7C0965FB" w14:textId="77777777" w:rsidR="00C95D04" w:rsidRDefault="00C95D04" w:rsidP="00C95D04">
      <w:pPr>
        <w:numPr>
          <w:ilvl w:val="0"/>
          <w:numId w:val="22"/>
        </w:numPr>
        <w:spacing w:before="100" w:beforeAutospacing="1" w:after="100" w:afterAutospacing="1" w:line="240" w:lineRule="auto"/>
      </w:pPr>
      <w:r>
        <w:rPr>
          <w:rStyle w:val="Strong"/>
        </w:rPr>
        <w:t>Data-quality checks</w:t>
      </w:r>
      <w:r>
        <w:t>: holiday zeros, the largest moves, and the stale BRL implied after the election.</w:t>
      </w:r>
    </w:p>
    <w:p w14:paraId="0F9A41A7" w14:textId="77777777" w:rsidR="00C95D04" w:rsidRDefault="00C95D04" w:rsidP="00C95D04">
      <w:pPr>
        <w:numPr>
          <w:ilvl w:val="0"/>
          <w:numId w:val="22"/>
        </w:numPr>
        <w:spacing w:before="100" w:beforeAutospacing="1" w:after="100" w:afterAutospacing="1" w:line="240" w:lineRule="auto"/>
      </w:pPr>
      <w:r>
        <w:rPr>
          <w:rStyle w:val="Strong"/>
        </w:rPr>
        <w:t>Realized vol</w:t>
      </w:r>
      <w:r>
        <w:t>, including a cell showing that keeping holiday zeros understates COP vol by about 0.5 points. That’s roughly the size of the whole premium.</w:t>
      </w:r>
    </w:p>
    <w:p w14:paraId="2BD553B3" w14:textId="77777777" w:rsidR="00C95D04" w:rsidRDefault="00C95D04" w:rsidP="00C95D04">
      <w:pPr>
        <w:numPr>
          <w:ilvl w:val="0"/>
          <w:numId w:val="22"/>
        </w:numPr>
        <w:spacing w:before="100" w:beforeAutospacing="1" w:after="100" w:afterAutospacing="1" w:line="240" w:lineRule="auto"/>
      </w:pPr>
      <w:r>
        <w:rPr>
          <w:rStyle w:val="Strong"/>
        </w:rPr>
        <w:t>Option basics</w:t>
      </w:r>
      <w:r>
        <w:t xml:space="preserve">: a Black-Scholes check of the </w:t>
      </w:r>
      <w:proofErr w:type="spellStart"/>
      <w:r>
        <w:t>vega</w:t>
      </w:r>
      <w:proofErr w:type="spellEnd"/>
      <w:r>
        <w:t xml:space="preserve"> rule of thumb (3M straddle ≈ $4,000 per vol point per $1m). There’s also a simulation that delta-hedges 3,000 short straddles and shows that P&amp;L ≈ </w:t>
      </w:r>
      <w:proofErr w:type="spellStart"/>
      <w:r>
        <w:t>vega</w:t>
      </w:r>
      <w:proofErr w:type="spellEnd"/>
      <w:r>
        <w:t xml:space="preserve"> × (implied − realized). This is the cell I’d spend the most time on. The scatter around the line shows why that approximation is good but not exact.</w:t>
      </w:r>
    </w:p>
    <w:p w14:paraId="31F8BE10" w14:textId="77777777" w:rsidR="00C95D04" w:rsidRDefault="00C95D04" w:rsidP="00C95D04">
      <w:pPr>
        <w:numPr>
          <w:ilvl w:val="0"/>
          <w:numId w:val="22"/>
        </w:numPr>
        <w:spacing w:before="100" w:beforeAutospacing="1" w:after="100" w:afterAutospacing="1" w:line="240" w:lineRule="auto"/>
      </w:pPr>
      <w:r>
        <w:rPr>
          <w:rStyle w:val="Strong"/>
        </w:rPr>
        <w:t>Volatility cone</w:t>
      </w:r>
      <w:r>
        <w:t>, with the std version and the percentile version side by side.</w:t>
      </w:r>
    </w:p>
    <w:p w14:paraId="2EA042F5" w14:textId="77777777" w:rsidR="00C95D04" w:rsidRDefault="00C95D04" w:rsidP="00C95D04">
      <w:pPr>
        <w:numPr>
          <w:ilvl w:val="0"/>
          <w:numId w:val="22"/>
        </w:numPr>
        <w:spacing w:before="100" w:beforeAutospacing="1" w:after="100" w:afterAutospacing="1" w:line="240" w:lineRule="auto"/>
      </w:pPr>
      <w:r>
        <w:rPr>
          <w:rStyle w:val="Strong"/>
        </w:rPr>
        <w:t>Skew snapshot</w:t>
      </w:r>
      <w:r>
        <w:t xml:space="preserve"> of RR and BF against their own history.</w:t>
      </w:r>
    </w:p>
    <w:p w14:paraId="55356DFF" w14:textId="77777777" w:rsidR="00C95D04" w:rsidRDefault="00C95D04" w:rsidP="00C95D04">
      <w:pPr>
        <w:numPr>
          <w:ilvl w:val="0"/>
          <w:numId w:val="22"/>
        </w:numPr>
        <w:spacing w:before="100" w:beforeAutospacing="1" w:after="100" w:afterAutospacing="1" w:line="240" w:lineRule="auto"/>
      </w:pPr>
      <w:r>
        <w:rPr>
          <w:rStyle w:val="Strong"/>
        </w:rPr>
        <w:t>VRP measurement</w:t>
      </w:r>
      <w:r>
        <w:t>: ex-post vs ex-ante, why overlapping trades inflate Sharpe ratios, the Sharpe standard error, and vol vs variance basis.</w:t>
      </w:r>
    </w:p>
    <w:p w14:paraId="7DC9A3ED" w14:textId="77777777" w:rsidR="00C95D04" w:rsidRDefault="00C95D04" w:rsidP="00C95D04">
      <w:pPr>
        <w:numPr>
          <w:ilvl w:val="0"/>
          <w:numId w:val="22"/>
        </w:numPr>
        <w:spacing w:before="100" w:beforeAutospacing="1" w:after="100" w:afterAutospacing="1" w:line="240" w:lineRule="auto"/>
      </w:pPr>
      <w:r>
        <w:rPr>
          <w:rStyle w:val="Strong"/>
        </w:rPr>
        <w:t>Cross-pair comparison and the equal-</w:t>
      </w:r>
      <w:proofErr w:type="spellStart"/>
      <w:r>
        <w:rPr>
          <w:rStyle w:val="Strong"/>
        </w:rPr>
        <w:t>vega</w:t>
      </w:r>
      <w:proofErr w:type="spellEnd"/>
      <w:r>
        <w:rPr>
          <w:rStyle w:val="Strong"/>
        </w:rPr>
        <w:t xml:space="preserve"> basket</w:t>
      </w:r>
      <w:r>
        <w:t xml:space="preserve">, including why equal </w:t>
      </w:r>
      <w:proofErr w:type="spellStart"/>
      <w:r>
        <w:t>vega</w:t>
      </w:r>
      <w:proofErr w:type="spellEnd"/>
      <w:r>
        <w:t xml:space="preserve"> isn’t equal risk.</w:t>
      </w:r>
    </w:p>
    <w:p w14:paraId="3BA2C890" w14:textId="77777777" w:rsidR="00C95D04" w:rsidRDefault="00C95D04" w:rsidP="00C95D04">
      <w:pPr>
        <w:numPr>
          <w:ilvl w:val="0"/>
          <w:numId w:val="22"/>
        </w:numPr>
        <w:spacing w:before="100" w:beforeAutospacing="1" w:after="100" w:afterAutospacing="1" w:line="240" w:lineRule="auto"/>
      </w:pPr>
      <w:r>
        <w:rPr>
          <w:rStyle w:val="Strong"/>
        </w:rPr>
        <w:t xml:space="preserve">The relative-value </w:t>
      </w:r>
      <w:proofErr w:type="spellStart"/>
      <w:r>
        <w:rPr>
          <w:rStyle w:val="Strong"/>
        </w:rPr>
        <w:t>backtest</w:t>
      </w:r>
      <w:proofErr w:type="spellEnd"/>
      <w:r>
        <w:t>: the daily vol-swap marking formula, the five signals, and the costs.</w:t>
      </w:r>
    </w:p>
    <w:p w14:paraId="6EF513C0" w14:textId="77777777" w:rsidR="00C95D04" w:rsidRDefault="00C95D04" w:rsidP="00C95D04">
      <w:pPr>
        <w:numPr>
          <w:ilvl w:val="0"/>
          <w:numId w:val="22"/>
        </w:numPr>
        <w:spacing w:before="100" w:beforeAutospacing="1" w:after="100" w:afterAutospacing="1" w:line="240" w:lineRule="auto"/>
      </w:pPr>
      <w:r>
        <w:rPr>
          <w:rStyle w:val="Strong"/>
        </w:rPr>
        <w:t>Diagnostics</w:t>
      </w:r>
      <w:r>
        <w:t>: positioning, the static-tilt test, P&amp;L by year, and the overlay hypothesis.</w:t>
      </w:r>
    </w:p>
    <w:p w14:paraId="4B03ABFA" w14:textId="77777777" w:rsidR="00C95D04" w:rsidRDefault="00C95D04" w:rsidP="00C95D04">
      <w:pPr>
        <w:numPr>
          <w:ilvl w:val="0"/>
          <w:numId w:val="22"/>
        </w:numPr>
        <w:spacing w:before="100" w:beforeAutospacing="1" w:after="100" w:afterAutospacing="1" w:line="240" w:lineRule="auto"/>
      </w:pPr>
      <w:r>
        <w:rPr>
          <w:rStyle w:val="Strong"/>
        </w:rPr>
        <w:t>A checklist of limits to raise yourself</w:t>
      </w:r>
      <w:r>
        <w:t>, plus six exercises.</w:t>
      </w:r>
    </w:p>
    <w:p w14:paraId="66E98024" w14:textId="77777777" w:rsidR="00C95D04" w:rsidRDefault="00C95D04" w:rsidP="00C95D04">
      <w:pPr>
        <w:pStyle w:val="NormalWeb"/>
      </w:pPr>
      <w:r>
        <w:t>All the numbers match what I gave you earlier in this conversation.</w:t>
      </w:r>
    </w:p>
    <w:p w14:paraId="26E5DB9E" w14:textId="77777777" w:rsidR="00C95D04" w:rsidRDefault="00C95D04" w:rsidP="00C95D04">
      <w:pPr>
        <w:pStyle w:val="NormalWeb"/>
      </w:pPr>
      <w:r>
        <w:t>Two cells have small differences:</w:t>
      </w:r>
    </w:p>
    <w:p w14:paraId="5B26FD83" w14:textId="77777777" w:rsidR="00C95D04" w:rsidRDefault="00C95D04" w:rsidP="00C95D04">
      <w:pPr>
        <w:numPr>
          <w:ilvl w:val="0"/>
          <w:numId w:val="23"/>
        </w:numPr>
        <w:spacing w:before="100" w:beforeAutospacing="1" w:after="100" w:afterAutospacing="1" w:line="240" w:lineRule="auto"/>
      </w:pPr>
      <w:r>
        <w:lastRenderedPageBreak/>
        <w:t xml:space="preserve">The cross-pair VRP correlations in section 8 come out at 0.08–0.62, against the 0.2–0.46 I quoted before. The notebook </w:t>
      </w:r>
      <w:proofErr w:type="spellStart"/>
      <w:r>
        <w:t>computes</w:t>
      </w:r>
      <w:proofErr w:type="spellEnd"/>
      <w:r>
        <w:t xml:space="preserve"> them on each pair’s own trading calendar.</w:t>
      </w:r>
    </w:p>
    <w:p w14:paraId="01D85E83" w14:textId="77777777" w:rsidR="00C95D04" w:rsidRDefault="00C95D04" w:rsidP="00C95D04">
      <w:pPr>
        <w:numPr>
          <w:ilvl w:val="0"/>
          <w:numId w:val="23"/>
        </w:numPr>
        <w:spacing w:before="100" w:beforeAutospacing="1" w:after="100" w:afterAutospacing="1" w:line="240" w:lineRule="auto"/>
      </w:pPr>
      <w:r>
        <w:t>PEN’s 3M Sharpe in the basket cell is 0.54 rather than 0.49. That cell only keeps dates where all five pairs have data.</w:t>
      </w:r>
    </w:p>
    <w:p w14:paraId="64AE8BD9" w14:textId="77777777" w:rsidR="00C95D04" w:rsidRDefault="00C95D04" w:rsidP="00C95D04">
      <w:pPr>
        <w:pStyle w:val="NormalWeb"/>
      </w:pPr>
      <w:r>
        <w:t>Neither changes any conclusion.</w:t>
      </w:r>
    </w:p>
    <w:p w14:paraId="1737EFE2" w14:textId="77777777" w:rsidR="00C95D04" w:rsidRDefault="00C95D04" w:rsidP="00C95D04">
      <w:pPr>
        <w:pStyle w:val="NormalWeb"/>
      </w:pPr>
      <w:r>
        <w:t>For learning, I’d suggest exercise 1 (switch to 6M), then exercise 3 (find the cost level at which the best signal breaks even). Between them they show how much of this comes down to costs and tenor choice.</w:t>
      </w:r>
    </w:p>
    <w:p w14:paraId="57FA78BB" w14:textId="77777777" w:rsidR="00C95D04" w:rsidRDefault="00C95D04" w:rsidP="00C95D04">
      <w:r>
        <w:t xml:space="preserve">Latam </w:t>
      </w:r>
      <w:proofErr w:type="spellStart"/>
      <w:r>
        <w:t>fx</w:t>
      </w:r>
      <w:proofErr w:type="spellEnd"/>
      <w:r>
        <w:t xml:space="preserve"> vol </w:t>
      </w:r>
      <w:proofErr w:type="spellStart"/>
      <w:r>
        <w:t>rv</w:t>
      </w:r>
      <w:proofErr w:type="spellEnd"/>
      <w:r>
        <w:t xml:space="preserve"> notebook</w:t>
      </w:r>
    </w:p>
    <w:p w14:paraId="3EF690A6" w14:textId="77777777" w:rsidR="00C95D04" w:rsidRDefault="00C95D04" w:rsidP="00C95D04">
      <w:r>
        <w:t>IPYNB</w:t>
      </w:r>
    </w:p>
    <w:p w14:paraId="14180DAB" w14:textId="77777777" w:rsidR="00C95D04" w:rsidRDefault="00C95D04" w:rsidP="00C95D04">
      <w:pPr>
        <w:pStyle w:val="NormalWeb"/>
      </w:pPr>
      <w:r>
        <w:t>how are calculation, results and conclusion affected by using a constant maturity 3m vol?</w:t>
      </w:r>
    </w:p>
    <w:p w14:paraId="79D11908" w14:textId="77777777" w:rsidR="00C95D04" w:rsidRDefault="00C95D04" w:rsidP="00C95D04">
      <w:pPr>
        <w:pStyle w:val="NormalWeb"/>
      </w:pPr>
      <w:r>
        <w:t>Using constant-maturity 3M vol to mark open positions doesn’t change total P&amp;L or any conclusion. It makes the risk statistics look somewhat better than they really are.</w:t>
      </w:r>
    </w:p>
    <w:p w14:paraId="65BA45C9" w14:textId="77777777" w:rsidR="00C95D04" w:rsidRDefault="00C95D04" w:rsidP="00C95D04">
      <w:pPr>
        <w:pStyle w:val="NormalWeb"/>
      </w:pPr>
      <w:r>
        <w:rPr>
          <w:rStyle w:val="Strong"/>
        </w:rPr>
        <w:t>Where the constant-maturity 3M quote enters</w:t>
      </w:r>
    </w:p>
    <w:p w14:paraId="36140FDB" w14:textId="77777777" w:rsidR="00C95D04" w:rsidRDefault="00C95D04" w:rsidP="00C95D04">
      <w:pPr>
        <w:pStyle w:val="NormalWeb"/>
      </w:pPr>
      <w:r>
        <w:t>It’s used in four places, and only the last one is an approximation:</w:t>
      </w:r>
    </w:p>
    <w:p w14:paraId="3AB10440" w14:textId="77777777" w:rsidR="00C95D04" w:rsidRDefault="00C95D04" w:rsidP="00C95D04">
      <w:pPr>
        <w:numPr>
          <w:ilvl w:val="0"/>
          <w:numId w:val="24"/>
        </w:numPr>
        <w:spacing w:before="100" w:beforeAutospacing="1" w:after="100" w:afterAutospacing="1" w:line="240" w:lineRule="auto"/>
      </w:pPr>
      <w:r>
        <w:rPr>
          <w:rStyle w:val="Strong"/>
        </w:rPr>
        <w:t xml:space="preserve">Strike at entry (VRP and </w:t>
      </w:r>
      <w:proofErr w:type="spellStart"/>
      <w:r>
        <w:rPr>
          <w:rStyle w:val="Strong"/>
        </w:rPr>
        <w:t>backtest</w:t>
      </w:r>
      <w:proofErr w:type="spellEnd"/>
      <w:r>
        <w:rPr>
          <w:rStyle w:val="Strong"/>
        </w:rPr>
        <w:t>).</w:t>
      </w:r>
      <w:r>
        <w:t xml:space="preserve"> A new 3M trade struck at today’s 3M quote is exactly right. The ex-post VRP compares it with realized vol over the following 3 months, which is the same window. There’s a tiny mismatch because Bloomberg’s 3M runs from spot date to delivery, a couple of days off our calendar window. That’s negligible.</w:t>
      </w:r>
    </w:p>
    <w:p w14:paraId="33FCCDDD" w14:textId="77777777" w:rsidR="00C95D04" w:rsidRDefault="00C95D04" w:rsidP="00C95D04">
      <w:pPr>
        <w:numPr>
          <w:ilvl w:val="0"/>
          <w:numId w:val="24"/>
        </w:numPr>
        <w:spacing w:before="100" w:beforeAutospacing="1" w:after="100" w:afterAutospacing="1" w:line="240" w:lineRule="auto"/>
      </w:pPr>
      <w:r>
        <w:rPr>
          <w:rStyle w:val="Strong"/>
        </w:rPr>
        <w:t>Cone dots.</w:t>
      </w:r>
      <w:r>
        <w:t xml:space="preserve"> Correct: each quote sits at its own tenor.</w:t>
      </w:r>
    </w:p>
    <w:p w14:paraId="04725D1F" w14:textId="77777777" w:rsidR="00C95D04" w:rsidRDefault="00C95D04" w:rsidP="00C95D04">
      <w:pPr>
        <w:numPr>
          <w:ilvl w:val="0"/>
          <w:numId w:val="24"/>
        </w:numPr>
        <w:spacing w:before="100" w:beforeAutospacing="1" w:after="100" w:afterAutospacing="1" w:line="240" w:lineRule="auto"/>
      </w:pPr>
      <w:r>
        <w:rPr>
          <w:rStyle w:val="Strong"/>
        </w:rPr>
        <w:t>Signals (z-scores, percentiles).</w:t>
      </w:r>
      <w:r>
        <w:t xml:space="preserve"> Constant maturity is </w:t>
      </w:r>
      <w:proofErr w:type="gramStart"/>
      <w:r>
        <w:t>actually what</w:t>
      </w:r>
      <w:proofErr w:type="gramEnd"/>
      <w:r>
        <w:t xml:space="preserve"> you want here. Every observation in the history is the same tenor, so comparisons over time are like for like.</w:t>
      </w:r>
    </w:p>
    <w:p w14:paraId="326B2CD4" w14:textId="77777777" w:rsidR="00C95D04" w:rsidRDefault="00C95D04" w:rsidP="00C95D04">
      <w:pPr>
        <w:numPr>
          <w:ilvl w:val="0"/>
          <w:numId w:val="24"/>
        </w:numPr>
        <w:spacing w:before="100" w:beforeAutospacing="1" w:after="100" w:afterAutospacing="1" w:line="240" w:lineRule="auto"/>
      </w:pPr>
      <w:r>
        <w:rPr>
          <w:rStyle w:val="Strong"/>
        </w:rPr>
        <w:t xml:space="preserve">Daily marks in the </w:t>
      </w:r>
      <w:proofErr w:type="spellStart"/>
      <w:r>
        <w:rPr>
          <w:rStyle w:val="Strong"/>
        </w:rPr>
        <w:t>backtest</w:t>
      </w:r>
      <w:proofErr w:type="spellEnd"/>
      <w:r>
        <w:rPr>
          <w:rStyle w:val="Strong"/>
        </w:rPr>
        <w:t>.</w:t>
      </w:r>
      <w:r>
        <w:t xml:space="preserve"> This is the approximation. One month into a trade, the position is really a 2M option, but we mark its remaining life at today’s 3M vol.</w:t>
      </w:r>
    </w:p>
    <w:p w14:paraId="54A38E31" w14:textId="77777777" w:rsidR="00C95D04" w:rsidRDefault="00C95D04" w:rsidP="00C95D04">
      <w:pPr>
        <w:pStyle w:val="NormalWeb"/>
      </w:pPr>
      <w:r>
        <w:rPr>
          <w:rStyle w:val="Strong"/>
        </w:rPr>
        <w:t>What a correct mark would capture</w:t>
      </w:r>
    </w:p>
    <w:p w14:paraId="2192CB17" w14:textId="77777777" w:rsidR="00C95D04" w:rsidRDefault="00C95D04" w:rsidP="00C95D04">
      <w:pPr>
        <w:pStyle w:val="NormalWeb"/>
      </w:pPr>
      <w:r>
        <w:t>There are two differences between true 2M (or 1M) vol and 3M vol:</w:t>
      </w:r>
    </w:p>
    <w:p w14:paraId="1785EA4E" w14:textId="77777777" w:rsidR="00C95D04" w:rsidRDefault="00C95D04" w:rsidP="00C95D04">
      <w:pPr>
        <w:numPr>
          <w:ilvl w:val="0"/>
          <w:numId w:val="25"/>
        </w:numPr>
        <w:spacing w:before="100" w:beforeAutospacing="1" w:after="100" w:afterAutospacing="1" w:line="240" w:lineRule="auto"/>
      </w:pPr>
      <w:r>
        <w:rPr>
          <w:rStyle w:val="Strong"/>
        </w:rPr>
        <w:t>Roll-down.</w:t>
      </w:r>
      <w:r>
        <w:t xml:space="preserve"> If the vol curve slopes up, a 3M option’s implied falls as </w:t>
      </w:r>
      <w:proofErr w:type="gramStart"/>
      <w:r>
        <w:t>it</w:t>
      </w:r>
      <w:proofErr w:type="gramEnd"/>
      <w:r>
        <w:t xml:space="preserve"> ages into a 2M option, so a short-vol position earns carry along the way. </w:t>
      </w:r>
      <w:proofErr w:type="spellStart"/>
      <w:r>
        <w:t>LatAm</w:t>
      </w:r>
      <w:proofErr w:type="spellEnd"/>
      <w:r>
        <w:t xml:space="preserve"> curves have been nearly flat on average: the average 6M−3M spread is −0.06 to +0.29 vol points across the pairs. </w:t>
      </w:r>
      <w:proofErr w:type="gramStart"/>
      <w:r>
        <w:t>So</w:t>
      </w:r>
      <w:proofErr w:type="gramEnd"/>
      <w:r>
        <w:t xml:space="preserve"> roll-down is small.</w:t>
      </w:r>
    </w:p>
    <w:p w14:paraId="077A679D" w14:textId="77777777" w:rsidR="00C95D04" w:rsidRDefault="00C95D04" w:rsidP="00C95D04">
      <w:pPr>
        <w:numPr>
          <w:ilvl w:val="0"/>
          <w:numId w:val="25"/>
        </w:numPr>
        <w:spacing w:before="100" w:beforeAutospacing="1" w:after="100" w:afterAutospacing="1" w:line="240" w:lineRule="auto"/>
      </w:pPr>
      <w:r>
        <w:rPr>
          <w:rStyle w:val="Strong"/>
        </w:rPr>
        <w:t>Short-dated vol moves more.</w:t>
      </w:r>
      <w:r>
        <w:t xml:space="preserve"> In a sell-off, 1M and 2M implied spike harder than 3M and the curve inverts. In March 2020 the 6M−3M spread went to −2 to −5 </w:t>
      </w:r>
      <w:r>
        <w:lastRenderedPageBreak/>
        <w:t>points in COP, MXN and BRL. Marking at 3M understates the mark-to-market hit on short vol, and the gain on long vol, during exactly those episodes.</w:t>
      </w:r>
    </w:p>
    <w:p w14:paraId="7DE5AB21" w14:textId="77777777" w:rsidR="00C95D04" w:rsidRDefault="00C95D04" w:rsidP="00C95D04">
      <w:pPr>
        <w:pStyle w:val="NormalWeb"/>
      </w:pPr>
      <w:r>
        <w:rPr>
          <w:rStyle w:val="Strong"/>
        </w:rPr>
        <w:t>Quantifying it</w:t>
      </w:r>
    </w:p>
    <w:p w14:paraId="6EE2FA8F" w14:textId="77777777" w:rsidR="00C95D04" w:rsidRDefault="00C95D04" w:rsidP="00C95D04">
      <w:pPr>
        <w:pStyle w:val="NormalWeb"/>
      </w:pPr>
      <w:r>
        <w:t xml:space="preserve">There are no 1M/2M quotes in the file, so I re-ran the </w:t>
      </w:r>
      <w:proofErr w:type="spellStart"/>
      <w:r>
        <w:t>backtest</w:t>
      </w:r>
      <w:proofErr w:type="spellEnd"/>
      <w:r>
        <w:t xml:space="preserve"> with two standard approximations:</w:t>
      </w:r>
    </w:p>
    <w:p w14:paraId="14B33D9B" w14:textId="77777777" w:rsidR="00C95D04" w:rsidRDefault="00C95D04" w:rsidP="00C95D04">
      <w:pPr>
        <w:numPr>
          <w:ilvl w:val="0"/>
          <w:numId w:val="26"/>
        </w:numPr>
        <w:spacing w:before="100" w:beforeAutospacing="1" w:after="100" w:afterAutospacing="1" w:line="240" w:lineRule="auto"/>
      </w:pPr>
      <w:r>
        <w:t>extrapolating the remaining-life vol from the 3M−6M slope (captures roll-down and inversion);</w:t>
      </w:r>
    </w:p>
    <w:p w14:paraId="3B4F2E50" w14:textId="77777777" w:rsidR="00C95D04" w:rsidRDefault="00C95D04" w:rsidP="00C95D04">
      <w:pPr>
        <w:numPr>
          <w:ilvl w:val="0"/>
          <w:numId w:val="26"/>
        </w:numPr>
        <w:spacing w:before="100" w:beforeAutospacing="1" w:after="100" w:afterAutospacing="1" w:line="240" w:lineRule="auto"/>
      </w:pPr>
      <w:r>
        <w:t xml:space="preserve">scaling implied moves by </w:t>
      </w:r>
      <w:proofErr w:type="gramStart"/>
      <w:r>
        <w:t>√(</w:t>
      </w:r>
      <w:proofErr w:type="gramEnd"/>
      <w:r>
        <w:t xml:space="preserve">3M / time remaining), the “weighted </w:t>
      </w:r>
      <w:proofErr w:type="spellStart"/>
      <w:r>
        <w:t>vega</w:t>
      </w:r>
      <w:proofErr w:type="spellEnd"/>
      <w:r>
        <w:t>” rule FX desks use because short-dated vol moves more.</w:t>
      </w:r>
    </w:p>
    <w:p w14:paraId="67B08615" w14:textId="77777777" w:rsidR="00C95D04" w:rsidRDefault="00C95D04" w:rsidP="00C95D04">
      <w:pPr>
        <w:pStyle w:val="NormalWeb"/>
      </w:pPr>
      <w:r>
        <w:t>“Both” below combines the two.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3"/>
        <w:gridCol w:w="1841"/>
        <w:gridCol w:w="821"/>
        <w:gridCol w:w="838"/>
        <w:gridCol w:w="1364"/>
        <w:gridCol w:w="1118"/>
        <w:gridCol w:w="1451"/>
      </w:tblGrid>
      <w:tr w:rsidR="00C95D04" w14:paraId="780C1FE9" w14:textId="77777777">
        <w:trPr>
          <w:tblHeader/>
          <w:tblCellSpacing w:w="15" w:type="dxa"/>
        </w:trPr>
        <w:tc>
          <w:tcPr>
            <w:tcW w:w="0" w:type="auto"/>
            <w:vAlign w:val="center"/>
            <w:hideMark/>
          </w:tcPr>
          <w:p w14:paraId="7A14B75B" w14:textId="77777777" w:rsidR="00C95D04" w:rsidRDefault="00C95D04">
            <w:pPr>
              <w:jc w:val="center"/>
              <w:rPr>
                <w:b/>
                <w:bCs/>
              </w:rPr>
            </w:pPr>
            <w:r>
              <w:rPr>
                <w:b/>
                <w:bCs/>
              </w:rPr>
              <w:t>Strategy (1× costs)</w:t>
            </w:r>
          </w:p>
        </w:tc>
        <w:tc>
          <w:tcPr>
            <w:tcW w:w="0" w:type="auto"/>
            <w:vAlign w:val="center"/>
            <w:hideMark/>
          </w:tcPr>
          <w:p w14:paraId="07CB1533" w14:textId="77777777" w:rsidR="00C95D04" w:rsidRDefault="00C95D04">
            <w:pPr>
              <w:jc w:val="center"/>
              <w:rPr>
                <w:b/>
                <w:bCs/>
              </w:rPr>
            </w:pPr>
            <w:r>
              <w:rPr>
                <w:b/>
                <w:bCs/>
              </w:rPr>
              <w:t>Marking</w:t>
            </w:r>
          </w:p>
        </w:tc>
        <w:tc>
          <w:tcPr>
            <w:tcW w:w="0" w:type="auto"/>
            <w:vAlign w:val="center"/>
            <w:hideMark/>
          </w:tcPr>
          <w:p w14:paraId="14F8F1D0" w14:textId="77777777" w:rsidR="00C95D04" w:rsidRDefault="00C95D04">
            <w:pPr>
              <w:jc w:val="center"/>
              <w:rPr>
                <w:b/>
                <w:bCs/>
              </w:rPr>
            </w:pPr>
            <w:r>
              <w:rPr>
                <w:b/>
                <w:bCs/>
              </w:rPr>
              <w:t>Total P&amp;L</w:t>
            </w:r>
          </w:p>
        </w:tc>
        <w:tc>
          <w:tcPr>
            <w:tcW w:w="0" w:type="auto"/>
            <w:vAlign w:val="center"/>
            <w:hideMark/>
          </w:tcPr>
          <w:p w14:paraId="2D617974" w14:textId="77777777" w:rsidR="00C95D04" w:rsidRDefault="00C95D04">
            <w:pPr>
              <w:jc w:val="center"/>
              <w:rPr>
                <w:b/>
                <w:bCs/>
              </w:rPr>
            </w:pPr>
            <w:r>
              <w:rPr>
                <w:b/>
                <w:bCs/>
              </w:rPr>
              <w:t>Sharpe</w:t>
            </w:r>
          </w:p>
        </w:tc>
        <w:tc>
          <w:tcPr>
            <w:tcW w:w="0" w:type="auto"/>
            <w:vAlign w:val="center"/>
            <w:hideMark/>
          </w:tcPr>
          <w:p w14:paraId="0F7D1629" w14:textId="77777777" w:rsidR="00C95D04" w:rsidRDefault="00C95D04">
            <w:pPr>
              <w:jc w:val="center"/>
              <w:rPr>
                <w:b/>
                <w:bCs/>
              </w:rPr>
            </w:pPr>
            <w:r>
              <w:rPr>
                <w:b/>
                <w:bCs/>
              </w:rPr>
              <w:t>Monthly P&amp;L vol</w:t>
            </w:r>
          </w:p>
        </w:tc>
        <w:tc>
          <w:tcPr>
            <w:tcW w:w="0" w:type="auto"/>
            <w:vAlign w:val="center"/>
            <w:hideMark/>
          </w:tcPr>
          <w:p w14:paraId="4CC7CD27" w14:textId="77777777" w:rsidR="00C95D04" w:rsidRDefault="00C95D04">
            <w:pPr>
              <w:jc w:val="center"/>
              <w:rPr>
                <w:b/>
                <w:bCs/>
              </w:rPr>
            </w:pPr>
            <w:r>
              <w:rPr>
                <w:b/>
                <w:bCs/>
              </w:rPr>
              <w:t>Worst month</w:t>
            </w:r>
          </w:p>
        </w:tc>
        <w:tc>
          <w:tcPr>
            <w:tcW w:w="0" w:type="auto"/>
            <w:vAlign w:val="center"/>
            <w:hideMark/>
          </w:tcPr>
          <w:p w14:paraId="28163C18" w14:textId="77777777" w:rsidR="00C95D04" w:rsidRDefault="00C95D04">
            <w:pPr>
              <w:jc w:val="center"/>
              <w:rPr>
                <w:b/>
                <w:bCs/>
              </w:rPr>
            </w:pPr>
            <w:r>
              <w:rPr>
                <w:b/>
                <w:bCs/>
              </w:rPr>
              <w:t>Max drawdown</w:t>
            </w:r>
          </w:p>
        </w:tc>
      </w:tr>
      <w:tr w:rsidR="00C95D04" w14:paraId="61E76133" w14:textId="77777777">
        <w:trPr>
          <w:tblCellSpacing w:w="15" w:type="dxa"/>
        </w:trPr>
        <w:tc>
          <w:tcPr>
            <w:tcW w:w="0" w:type="auto"/>
            <w:vAlign w:val="center"/>
            <w:hideMark/>
          </w:tcPr>
          <w:p w14:paraId="04311A85" w14:textId="77777777" w:rsidR="00C95D04" w:rsidRDefault="00C95D04">
            <w:r>
              <w:t>Short-all basket</w:t>
            </w:r>
          </w:p>
        </w:tc>
        <w:tc>
          <w:tcPr>
            <w:tcW w:w="0" w:type="auto"/>
            <w:vAlign w:val="center"/>
            <w:hideMark/>
          </w:tcPr>
          <w:p w14:paraId="6AD310F1" w14:textId="77777777" w:rsidR="00C95D04" w:rsidRDefault="00C95D04">
            <w:r>
              <w:t>Constant-maturity 3M</w:t>
            </w:r>
          </w:p>
        </w:tc>
        <w:tc>
          <w:tcPr>
            <w:tcW w:w="0" w:type="auto"/>
            <w:vAlign w:val="center"/>
            <w:hideMark/>
          </w:tcPr>
          <w:p w14:paraId="3E3DE955" w14:textId="77777777" w:rsidR="00C95D04" w:rsidRDefault="00C95D04">
            <w:r>
              <w:t>40.8</w:t>
            </w:r>
          </w:p>
        </w:tc>
        <w:tc>
          <w:tcPr>
            <w:tcW w:w="0" w:type="auto"/>
            <w:vAlign w:val="center"/>
            <w:hideMark/>
          </w:tcPr>
          <w:p w14:paraId="682D3E6A" w14:textId="77777777" w:rsidR="00C95D04" w:rsidRDefault="00C95D04">
            <w:r>
              <w:t>0.28</w:t>
            </w:r>
          </w:p>
        </w:tc>
        <w:tc>
          <w:tcPr>
            <w:tcW w:w="0" w:type="auto"/>
            <w:vAlign w:val="center"/>
            <w:hideMark/>
          </w:tcPr>
          <w:p w14:paraId="2AC04EDD" w14:textId="77777777" w:rsidR="00C95D04" w:rsidRDefault="00C95D04">
            <w:r>
              <w:t>3.6</w:t>
            </w:r>
          </w:p>
        </w:tc>
        <w:tc>
          <w:tcPr>
            <w:tcW w:w="0" w:type="auto"/>
            <w:vAlign w:val="center"/>
            <w:hideMark/>
          </w:tcPr>
          <w:p w14:paraId="2E9E2C68" w14:textId="77777777" w:rsidR="00C95D04" w:rsidRDefault="00C95D04">
            <w:r>
              <w:t>−24.6</w:t>
            </w:r>
          </w:p>
        </w:tc>
        <w:tc>
          <w:tcPr>
            <w:tcW w:w="0" w:type="auto"/>
            <w:vAlign w:val="center"/>
            <w:hideMark/>
          </w:tcPr>
          <w:p w14:paraId="051A6D7F" w14:textId="77777777" w:rsidR="00C95D04" w:rsidRDefault="00C95D04">
            <w:r>
              <w:t>−40.6</w:t>
            </w:r>
          </w:p>
        </w:tc>
      </w:tr>
      <w:tr w:rsidR="00C95D04" w14:paraId="1A774133" w14:textId="77777777">
        <w:trPr>
          <w:tblCellSpacing w:w="15" w:type="dxa"/>
        </w:trPr>
        <w:tc>
          <w:tcPr>
            <w:tcW w:w="0" w:type="auto"/>
            <w:vAlign w:val="center"/>
            <w:hideMark/>
          </w:tcPr>
          <w:p w14:paraId="0488C6FC" w14:textId="77777777" w:rsidR="00C95D04" w:rsidRDefault="00C95D04"/>
        </w:tc>
        <w:tc>
          <w:tcPr>
            <w:tcW w:w="0" w:type="auto"/>
            <w:vAlign w:val="center"/>
            <w:hideMark/>
          </w:tcPr>
          <w:p w14:paraId="0E4662C7" w14:textId="77777777" w:rsidR="00C95D04" w:rsidRDefault="00C95D04">
            <w:r>
              <w:t>Both adjustments</w:t>
            </w:r>
          </w:p>
        </w:tc>
        <w:tc>
          <w:tcPr>
            <w:tcW w:w="0" w:type="auto"/>
            <w:vAlign w:val="center"/>
            <w:hideMark/>
          </w:tcPr>
          <w:p w14:paraId="3D482CBB" w14:textId="77777777" w:rsidR="00C95D04" w:rsidRDefault="00C95D04">
            <w:r>
              <w:t>40.8</w:t>
            </w:r>
          </w:p>
        </w:tc>
        <w:tc>
          <w:tcPr>
            <w:tcW w:w="0" w:type="auto"/>
            <w:vAlign w:val="center"/>
            <w:hideMark/>
          </w:tcPr>
          <w:p w14:paraId="14E8E3DE" w14:textId="77777777" w:rsidR="00C95D04" w:rsidRDefault="00C95D04">
            <w:r>
              <w:t>0.24</w:t>
            </w:r>
          </w:p>
        </w:tc>
        <w:tc>
          <w:tcPr>
            <w:tcW w:w="0" w:type="auto"/>
            <w:vAlign w:val="center"/>
            <w:hideMark/>
          </w:tcPr>
          <w:p w14:paraId="457A7EA2" w14:textId="77777777" w:rsidR="00C95D04" w:rsidRDefault="00C95D04">
            <w:r>
              <w:t>4.2</w:t>
            </w:r>
          </w:p>
        </w:tc>
        <w:tc>
          <w:tcPr>
            <w:tcW w:w="0" w:type="auto"/>
            <w:vAlign w:val="center"/>
            <w:hideMark/>
          </w:tcPr>
          <w:p w14:paraId="0758F588" w14:textId="77777777" w:rsidR="00C95D04" w:rsidRDefault="00C95D04">
            <w:r>
              <w:t>−28.6</w:t>
            </w:r>
          </w:p>
        </w:tc>
        <w:tc>
          <w:tcPr>
            <w:tcW w:w="0" w:type="auto"/>
            <w:vAlign w:val="center"/>
            <w:hideMark/>
          </w:tcPr>
          <w:p w14:paraId="7AD00C5D" w14:textId="77777777" w:rsidR="00C95D04" w:rsidRDefault="00C95D04">
            <w:r>
              <w:t>−42.1</w:t>
            </w:r>
          </w:p>
        </w:tc>
      </w:tr>
      <w:tr w:rsidR="00C95D04" w14:paraId="70BEF662" w14:textId="77777777">
        <w:trPr>
          <w:tblCellSpacing w:w="15" w:type="dxa"/>
        </w:trPr>
        <w:tc>
          <w:tcPr>
            <w:tcW w:w="0" w:type="auto"/>
            <w:vAlign w:val="center"/>
            <w:hideMark/>
          </w:tcPr>
          <w:p w14:paraId="6C0D0D47" w14:textId="77777777" w:rsidR="00C95D04" w:rsidRDefault="00C95D04">
            <w:r>
              <w:t>IV pct long/short</w:t>
            </w:r>
          </w:p>
        </w:tc>
        <w:tc>
          <w:tcPr>
            <w:tcW w:w="0" w:type="auto"/>
            <w:vAlign w:val="center"/>
            <w:hideMark/>
          </w:tcPr>
          <w:p w14:paraId="4BC34F22" w14:textId="77777777" w:rsidR="00C95D04" w:rsidRDefault="00C95D04">
            <w:r>
              <w:t>Constant-maturity 3M</w:t>
            </w:r>
          </w:p>
        </w:tc>
        <w:tc>
          <w:tcPr>
            <w:tcW w:w="0" w:type="auto"/>
            <w:vAlign w:val="center"/>
            <w:hideMark/>
          </w:tcPr>
          <w:p w14:paraId="1EBFAC63" w14:textId="77777777" w:rsidR="00C95D04" w:rsidRDefault="00C95D04">
            <w:r>
              <w:t>75.5</w:t>
            </w:r>
          </w:p>
        </w:tc>
        <w:tc>
          <w:tcPr>
            <w:tcW w:w="0" w:type="auto"/>
            <w:vAlign w:val="center"/>
            <w:hideMark/>
          </w:tcPr>
          <w:p w14:paraId="3A450E0F" w14:textId="77777777" w:rsidR="00C95D04" w:rsidRDefault="00C95D04">
            <w:r>
              <w:t>0.48</w:t>
            </w:r>
          </w:p>
        </w:tc>
        <w:tc>
          <w:tcPr>
            <w:tcW w:w="0" w:type="auto"/>
            <w:vAlign w:val="center"/>
            <w:hideMark/>
          </w:tcPr>
          <w:p w14:paraId="063922DB" w14:textId="77777777" w:rsidR="00C95D04" w:rsidRDefault="00C95D04">
            <w:r>
              <w:t>3.9</w:t>
            </w:r>
          </w:p>
        </w:tc>
        <w:tc>
          <w:tcPr>
            <w:tcW w:w="0" w:type="auto"/>
            <w:vAlign w:val="center"/>
            <w:hideMark/>
          </w:tcPr>
          <w:p w14:paraId="58FAD106" w14:textId="77777777" w:rsidR="00C95D04" w:rsidRDefault="00C95D04">
            <w:r>
              <w:t>−13.6</w:t>
            </w:r>
          </w:p>
        </w:tc>
        <w:tc>
          <w:tcPr>
            <w:tcW w:w="0" w:type="auto"/>
            <w:vAlign w:val="center"/>
            <w:hideMark/>
          </w:tcPr>
          <w:p w14:paraId="2931A621" w14:textId="77777777" w:rsidR="00C95D04" w:rsidRDefault="00C95D04">
            <w:r>
              <w:t>−30.4</w:t>
            </w:r>
          </w:p>
        </w:tc>
      </w:tr>
      <w:tr w:rsidR="00C95D04" w14:paraId="35755CD0" w14:textId="77777777">
        <w:trPr>
          <w:tblCellSpacing w:w="15" w:type="dxa"/>
        </w:trPr>
        <w:tc>
          <w:tcPr>
            <w:tcW w:w="0" w:type="auto"/>
            <w:vAlign w:val="center"/>
            <w:hideMark/>
          </w:tcPr>
          <w:p w14:paraId="68FF08DB" w14:textId="77777777" w:rsidR="00C95D04" w:rsidRDefault="00C95D04"/>
        </w:tc>
        <w:tc>
          <w:tcPr>
            <w:tcW w:w="0" w:type="auto"/>
            <w:vAlign w:val="center"/>
            <w:hideMark/>
          </w:tcPr>
          <w:p w14:paraId="1B03B21F" w14:textId="77777777" w:rsidR="00C95D04" w:rsidRDefault="00C95D04">
            <w:r>
              <w:t>Both adjustments</w:t>
            </w:r>
          </w:p>
        </w:tc>
        <w:tc>
          <w:tcPr>
            <w:tcW w:w="0" w:type="auto"/>
            <w:vAlign w:val="center"/>
            <w:hideMark/>
          </w:tcPr>
          <w:p w14:paraId="77D50CB3" w14:textId="77777777" w:rsidR="00C95D04" w:rsidRDefault="00C95D04">
            <w:r>
              <w:t>75.5</w:t>
            </w:r>
          </w:p>
        </w:tc>
        <w:tc>
          <w:tcPr>
            <w:tcW w:w="0" w:type="auto"/>
            <w:vAlign w:val="center"/>
            <w:hideMark/>
          </w:tcPr>
          <w:p w14:paraId="43552D22" w14:textId="77777777" w:rsidR="00C95D04" w:rsidRDefault="00C95D04">
            <w:r>
              <w:t>0.42</w:t>
            </w:r>
          </w:p>
        </w:tc>
        <w:tc>
          <w:tcPr>
            <w:tcW w:w="0" w:type="auto"/>
            <w:vAlign w:val="center"/>
            <w:hideMark/>
          </w:tcPr>
          <w:p w14:paraId="35B13FCD" w14:textId="77777777" w:rsidR="00C95D04" w:rsidRDefault="00C95D04">
            <w:r>
              <w:t>4.4</w:t>
            </w:r>
          </w:p>
        </w:tc>
        <w:tc>
          <w:tcPr>
            <w:tcW w:w="0" w:type="auto"/>
            <w:vAlign w:val="center"/>
            <w:hideMark/>
          </w:tcPr>
          <w:p w14:paraId="6BE97C21" w14:textId="77777777" w:rsidR="00C95D04" w:rsidRDefault="00C95D04">
            <w:r>
              <w:t>−14.6</w:t>
            </w:r>
          </w:p>
        </w:tc>
        <w:tc>
          <w:tcPr>
            <w:tcW w:w="0" w:type="auto"/>
            <w:vAlign w:val="center"/>
            <w:hideMark/>
          </w:tcPr>
          <w:p w14:paraId="774BE3F6" w14:textId="77777777" w:rsidR="00C95D04" w:rsidRDefault="00C95D04">
            <w:r>
              <w:t>−31.9</w:t>
            </w:r>
          </w:p>
        </w:tc>
      </w:tr>
    </w:tbl>
    <w:p w14:paraId="7276688F" w14:textId="77777777" w:rsidR="00C95D04" w:rsidRDefault="00C95D04" w:rsidP="00C95D04">
      <w:pPr>
        <w:pStyle w:val="NormalWeb"/>
      </w:pPr>
      <w:r>
        <w:rPr>
          <w:rStyle w:val="Strong"/>
        </w:rPr>
        <w:t>What this shows:</w:t>
      </w:r>
    </w:p>
    <w:p w14:paraId="43961D5A" w14:textId="77777777" w:rsidR="00C95D04" w:rsidRDefault="00C95D04" w:rsidP="00C95D04">
      <w:pPr>
        <w:numPr>
          <w:ilvl w:val="0"/>
          <w:numId w:val="27"/>
        </w:numPr>
        <w:spacing w:before="100" w:beforeAutospacing="1" w:after="100" w:afterAutospacing="1" w:line="240" w:lineRule="auto"/>
      </w:pPr>
      <w:r>
        <w:rPr>
          <w:rStyle w:val="Strong"/>
        </w:rPr>
        <w:t>Total P&amp;L is identical.</w:t>
      </w:r>
      <w:r>
        <w:t xml:space="preserve"> Every position is held to expiry, and the payoff at expiry is realized minus strike whatever the marks were in between. The marking only changes when gains and losses show up, not their sum.</w:t>
      </w:r>
    </w:p>
    <w:p w14:paraId="70F0D2A5" w14:textId="77777777" w:rsidR="00C95D04" w:rsidRDefault="00C95D04" w:rsidP="00C95D04">
      <w:pPr>
        <w:numPr>
          <w:ilvl w:val="0"/>
          <w:numId w:val="27"/>
        </w:numPr>
        <w:spacing w:before="100" w:beforeAutospacing="1" w:after="100" w:afterAutospacing="1" w:line="240" w:lineRule="auto"/>
      </w:pPr>
      <w:r>
        <w:rPr>
          <w:rStyle w:val="Strong"/>
        </w:rPr>
        <w:t>Path statistics get worse.</w:t>
      </w:r>
      <w:r>
        <w:t xml:space="preserve"> Monthly P&amp;L volatility rises 10–20%, Sharpe falls 0.03–0.06, and the worst month gets 1–4 points worse. The basket’s March 2020 loss deepens from −24.6 to −28.6. The long/short’s March 2020 gain grows from 20.0 to 23.5.</w:t>
      </w:r>
    </w:p>
    <w:p w14:paraId="61CDF2AF" w14:textId="77777777" w:rsidR="00C95D04" w:rsidRDefault="00C95D04" w:rsidP="00C95D04">
      <w:pPr>
        <w:numPr>
          <w:ilvl w:val="0"/>
          <w:numId w:val="27"/>
        </w:numPr>
        <w:spacing w:before="100" w:beforeAutospacing="1" w:after="100" w:afterAutospacing="1" w:line="240" w:lineRule="auto"/>
      </w:pPr>
      <w:r>
        <w:rPr>
          <w:rStyle w:val="Strong"/>
        </w:rPr>
        <w:t>Correlations barely move.</w:t>
      </w:r>
      <w:r>
        <w:t xml:space="preserve"> The IV-pct signal’s correlation to the short basket stays at −0.33 to −0.35. The crisis-hedge character is intact.</w:t>
      </w:r>
    </w:p>
    <w:p w14:paraId="34E40F66" w14:textId="77777777" w:rsidR="00C95D04" w:rsidRDefault="00C95D04" w:rsidP="00C95D04">
      <w:pPr>
        <w:numPr>
          <w:ilvl w:val="0"/>
          <w:numId w:val="27"/>
        </w:numPr>
        <w:spacing w:before="100" w:beforeAutospacing="1" w:after="100" w:afterAutospacing="1" w:line="240" w:lineRule="auto"/>
      </w:pPr>
      <w:r>
        <w:rPr>
          <w:rStyle w:val="Strong"/>
        </w:rPr>
        <w:t>Conclusions are unchanged.</w:t>
      </w:r>
      <w:r>
        <w:t xml:space="preserve"> Nothing clears costs significantly, and the overlay idea still holds. Lower Sharpes only strengthen the “don’t oversell this” message.</w:t>
      </w:r>
    </w:p>
    <w:p w14:paraId="2C2F7E25" w14:textId="77777777" w:rsidR="00C95D04" w:rsidRDefault="00C95D04" w:rsidP="00C95D04">
      <w:pPr>
        <w:pStyle w:val="NormalWeb"/>
      </w:pPr>
      <w:r>
        <w:rPr>
          <w:rStyle w:val="Strong"/>
        </w:rPr>
        <w:t>Caveats on these numbers:</w:t>
      </w:r>
    </w:p>
    <w:p w14:paraId="35070CDC" w14:textId="77777777" w:rsidR="00C95D04" w:rsidRDefault="00C95D04" w:rsidP="00C95D04">
      <w:pPr>
        <w:numPr>
          <w:ilvl w:val="0"/>
          <w:numId w:val="28"/>
        </w:numPr>
        <w:spacing w:before="100" w:beforeAutospacing="1" w:after="100" w:afterAutospacing="1" w:line="240" w:lineRule="auto"/>
      </w:pPr>
      <w:r>
        <w:rPr>
          <w:rStyle w:val="Strong"/>
        </w:rPr>
        <w:lastRenderedPageBreak/>
        <w:t>The adjusted figures are themselves estimates.</w:t>
      </w:r>
      <w:r>
        <w:t xml:space="preserve"> Real 1M vol can spike well beyond what a 3M−6M extrapolation implies, so the true worst months may be worse still. The clean fix is to pull 1M and 2M ATM vols and interpolate in variance for the remaining life.</w:t>
      </w:r>
    </w:p>
    <w:p w14:paraId="6A852F55" w14:textId="77777777" w:rsidR="00C95D04" w:rsidRDefault="00C95D04" w:rsidP="00C95D04">
      <w:pPr>
        <w:numPr>
          <w:ilvl w:val="0"/>
          <w:numId w:val="28"/>
        </w:numPr>
        <w:spacing w:before="100" w:beforeAutospacing="1" w:after="100" w:afterAutospacing="1" w:line="240" w:lineRule="auto"/>
      </w:pPr>
      <w:r>
        <w:rPr>
          <w:rStyle w:val="Strong"/>
        </w:rPr>
        <w:t>Marks become P&amp;L if you exit early.</w:t>
      </w:r>
      <w:r>
        <w:t xml:space="preserve"> All of this assumes hold-to-expiry. With stop-losses, early unwinds or mark-to-market risk limits, the marks are realized P&amp;L, and the approximation would affect returns, not just risk statistics.</w:t>
      </w:r>
    </w:p>
    <w:p w14:paraId="1275C0CD" w14:textId="77777777" w:rsidR="00C95D04" w:rsidRDefault="00C95D04" w:rsidP="00C95D04">
      <w:pPr>
        <w:pStyle w:val="NormalWeb"/>
      </w:pPr>
      <w:r>
        <w:rPr>
          <w:rStyle w:val="Strong"/>
        </w:rPr>
        <w:t>A related issue I found while checking this: annualization</w:t>
      </w:r>
    </w:p>
    <w:p w14:paraId="4A7221AF" w14:textId="77777777" w:rsidR="00C95D04" w:rsidRDefault="00C95D04" w:rsidP="00C95D04">
      <w:pPr>
        <w:pStyle w:val="NormalWeb"/>
      </w:pPr>
      <w:r>
        <w:t>FX implied vol is quoted on calendar time, so the clean comparison is total realized variance over the window divided by the window’s length in years. We used average daily variance × 252 instead. That’s fine for a pair with about 252 trading days a year, but not for the others:</w:t>
      </w:r>
    </w:p>
    <w:p w14:paraId="17830CAB" w14:textId="77777777" w:rsidR="00C95D04" w:rsidRDefault="00C95D04" w:rsidP="00C95D04">
      <w:pPr>
        <w:numPr>
          <w:ilvl w:val="0"/>
          <w:numId w:val="29"/>
        </w:numPr>
        <w:spacing w:before="100" w:beforeAutospacing="1" w:after="100" w:afterAutospacing="1" w:line="240" w:lineRule="auto"/>
      </w:pPr>
      <w:r>
        <w:rPr>
          <w:rStyle w:val="Strong"/>
        </w:rPr>
        <w:t>COP</w:t>
      </w:r>
      <w:r>
        <w:t xml:space="preserve"> trades about 243 days a year, so our method overstated its realized vol by about 0.24 points. That understated its VRP.</w:t>
      </w:r>
    </w:p>
    <w:p w14:paraId="1989CAA6" w14:textId="77777777" w:rsidR="00C95D04" w:rsidRDefault="00C95D04" w:rsidP="00C95D04">
      <w:pPr>
        <w:numPr>
          <w:ilvl w:val="0"/>
          <w:numId w:val="29"/>
        </w:numPr>
        <w:spacing w:before="100" w:beforeAutospacing="1" w:after="100" w:afterAutospacing="1" w:line="240" w:lineRule="auto"/>
      </w:pPr>
      <w:r>
        <w:rPr>
          <w:rStyle w:val="Strong"/>
        </w:rPr>
        <w:t>MXN</w:t>
      </w:r>
      <w:r>
        <w:t xml:space="preserve"> trades about 261 days a year, so our method understated its realized vol by 0.20 points. That overstated its VRP.</w:t>
      </w:r>
    </w:p>
    <w:p w14:paraId="56300391" w14:textId="77777777" w:rsidR="00C95D04" w:rsidRDefault="00C95D04" w:rsidP="00C95D04">
      <w:pPr>
        <w:numPr>
          <w:ilvl w:val="0"/>
          <w:numId w:val="29"/>
        </w:numPr>
        <w:spacing w:before="100" w:beforeAutospacing="1" w:after="100" w:afterAutospacing="1" w:line="240" w:lineRule="auto"/>
      </w:pPr>
      <w:r>
        <w:rPr>
          <w:rStyle w:val="Strong"/>
        </w:rPr>
        <w:t>BRL, CLP and PEN</w:t>
      </w:r>
      <w:r>
        <w:t xml:space="preserve"> are within 0.1 points.</w:t>
      </w:r>
    </w:p>
    <w:p w14:paraId="0B05B389" w14:textId="77777777" w:rsidR="00C95D04" w:rsidRDefault="00C95D04" w:rsidP="00C95D04">
      <w:pPr>
        <w:pStyle w:val="NormalWeb"/>
      </w:pPr>
      <w:r>
        <w:t>No sign changes. But a 0.45-point swing between COP and MXN matters for cross-pair comparisons and for the ex-ante VRP signal, which would have tended to sell MXN too often.</w:t>
      </w:r>
    </w:p>
    <w:p w14:paraId="74C54AC9" w14:textId="77777777" w:rsidR="00C95D04" w:rsidRDefault="00C95D04" w:rsidP="00C95D04">
      <w:pPr>
        <w:pStyle w:val="NormalWeb"/>
      </w:pPr>
      <w:r>
        <w:t>Should I update the notebook to use calendar-time annualization and add the marking sensitivity as a section, so the version you present already includes both?</w:t>
      </w:r>
    </w:p>
    <w:p w14:paraId="208A1E7D" w14:textId="77777777" w:rsidR="000037CD" w:rsidRDefault="000037CD"/>
    <w:sectPr w:rsidR="000037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BBBF3" w14:textId="77777777" w:rsidR="0039731B" w:rsidRDefault="0039731B" w:rsidP="00582C80">
      <w:pPr>
        <w:spacing w:after="0" w:line="240" w:lineRule="auto"/>
      </w:pPr>
      <w:r>
        <w:separator/>
      </w:r>
    </w:p>
  </w:endnote>
  <w:endnote w:type="continuationSeparator" w:id="0">
    <w:p w14:paraId="475D041D" w14:textId="77777777" w:rsidR="0039731B" w:rsidRDefault="0039731B" w:rsidP="00582C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E3E06" w14:textId="77777777" w:rsidR="0039731B" w:rsidRDefault="0039731B" w:rsidP="00582C80">
      <w:pPr>
        <w:spacing w:after="0" w:line="240" w:lineRule="auto"/>
      </w:pPr>
      <w:r>
        <w:separator/>
      </w:r>
    </w:p>
  </w:footnote>
  <w:footnote w:type="continuationSeparator" w:id="0">
    <w:p w14:paraId="02B42BFB" w14:textId="77777777" w:rsidR="0039731B" w:rsidRDefault="0039731B" w:rsidP="00582C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79A6"/>
    <w:multiLevelType w:val="multilevel"/>
    <w:tmpl w:val="51DA9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B401E9"/>
    <w:multiLevelType w:val="multilevel"/>
    <w:tmpl w:val="DD08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6140C"/>
    <w:multiLevelType w:val="multilevel"/>
    <w:tmpl w:val="71C0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DE2DFA"/>
    <w:multiLevelType w:val="multilevel"/>
    <w:tmpl w:val="1758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8C1CE4"/>
    <w:multiLevelType w:val="multilevel"/>
    <w:tmpl w:val="2120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10CE4"/>
    <w:multiLevelType w:val="multilevel"/>
    <w:tmpl w:val="78943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45DB1"/>
    <w:multiLevelType w:val="multilevel"/>
    <w:tmpl w:val="15AC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C1DAE"/>
    <w:multiLevelType w:val="multilevel"/>
    <w:tmpl w:val="8202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F687E"/>
    <w:multiLevelType w:val="multilevel"/>
    <w:tmpl w:val="D8B4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208A2"/>
    <w:multiLevelType w:val="multilevel"/>
    <w:tmpl w:val="A66C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276EC"/>
    <w:multiLevelType w:val="multilevel"/>
    <w:tmpl w:val="1CB0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6E1A97"/>
    <w:multiLevelType w:val="multilevel"/>
    <w:tmpl w:val="9AB4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C06AC"/>
    <w:multiLevelType w:val="multilevel"/>
    <w:tmpl w:val="58D4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F3A18"/>
    <w:multiLevelType w:val="multilevel"/>
    <w:tmpl w:val="FA80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5356F"/>
    <w:multiLevelType w:val="multilevel"/>
    <w:tmpl w:val="4282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637691"/>
    <w:multiLevelType w:val="multilevel"/>
    <w:tmpl w:val="ED12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E1AD3"/>
    <w:multiLevelType w:val="multilevel"/>
    <w:tmpl w:val="8BA0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DF59E4"/>
    <w:multiLevelType w:val="multilevel"/>
    <w:tmpl w:val="AE58E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323194"/>
    <w:multiLevelType w:val="multilevel"/>
    <w:tmpl w:val="5398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8A6628"/>
    <w:multiLevelType w:val="multilevel"/>
    <w:tmpl w:val="8FCAD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96FBB"/>
    <w:multiLevelType w:val="multilevel"/>
    <w:tmpl w:val="6EA6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F07F9"/>
    <w:multiLevelType w:val="multilevel"/>
    <w:tmpl w:val="3DBE2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9F6B85"/>
    <w:multiLevelType w:val="multilevel"/>
    <w:tmpl w:val="5D842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4F2980"/>
    <w:multiLevelType w:val="multilevel"/>
    <w:tmpl w:val="A94E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8950F3"/>
    <w:multiLevelType w:val="multilevel"/>
    <w:tmpl w:val="957AE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E574932"/>
    <w:multiLevelType w:val="multilevel"/>
    <w:tmpl w:val="81C6F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432519"/>
    <w:multiLevelType w:val="multilevel"/>
    <w:tmpl w:val="CA9EB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46506A"/>
    <w:multiLevelType w:val="multilevel"/>
    <w:tmpl w:val="4CCA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4D2F40"/>
    <w:multiLevelType w:val="multilevel"/>
    <w:tmpl w:val="EC22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4088979">
    <w:abstractNumId w:val="17"/>
  </w:num>
  <w:num w:numId="2" w16cid:durableId="1482035697">
    <w:abstractNumId w:val="27"/>
  </w:num>
  <w:num w:numId="3" w16cid:durableId="1751389906">
    <w:abstractNumId w:val="2"/>
  </w:num>
  <w:num w:numId="4" w16cid:durableId="1064258218">
    <w:abstractNumId w:val="12"/>
  </w:num>
  <w:num w:numId="5" w16cid:durableId="284502442">
    <w:abstractNumId w:val="8"/>
  </w:num>
  <w:num w:numId="6" w16cid:durableId="1922638411">
    <w:abstractNumId w:val="4"/>
  </w:num>
  <w:num w:numId="7" w16cid:durableId="94057152">
    <w:abstractNumId w:val="20"/>
  </w:num>
  <w:num w:numId="8" w16cid:durableId="970478421">
    <w:abstractNumId w:val="18"/>
  </w:num>
  <w:num w:numId="9" w16cid:durableId="2010402874">
    <w:abstractNumId w:val="23"/>
  </w:num>
  <w:num w:numId="10" w16cid:durableId="245463802">
    <w:abstractNumId w:val="3"/>
  </w:num>
  <w:num w:numId="11" w16cid:durableId="260333932">
    <w:abstractNumId w:val="7"/>
  </w:num>
  <w:num w:numId="12" w16cid:durableId="1125853154">
    <w:abstractNumId w:val="0"/>
  </w:num>
  <w:num w:numId="13" w16cid:durableId="574513272">
    <w:abstractNumId w:val="15"/>
  </w:num>
  <w:num w:numId="14" w16cid:durableId="223374256">
    <w:abstractNumId w:val="9"/>
  </w:num>
  <w:num w:numId="15" w16cid:durableId="1648823242">
    <w:abstractNumId w:val="5"/>
  </w:num>
  <w:num w:numId="16" w16cid:durableId="328481173">
    <w:abstractNumId w:val="28"/>
  </w:num>
  <w:num w:numId="17" w16cid:durableId="1372917933">
    <w:abstractNumId w:val="19"/>
  </w:num>
  <w:num w:numId="18" w16cid:durableId="61100493">
    <w:abstractNumId w:val="24"/>
  </w:num>
  <w:num w:numId="19" w16cid:durableId="1917129086">
    <w:abstractNumId w:val="26"/>
  </w:num>
  <w:num w:numId="20" w16cid:durableId="39016318">
    <w:abstractNumId w:val="16"/>
  </w:num>
  <w:num w:numId="21" w16cid:durableId="2040088322">
    <w:abstractNumId w:val="22"/>
  </w:num>
  <w:num w:numId="22" w16cid:durableId="739013113">
    <w:abstractNumId w:val="21"/>
  </w:num>
  <w:num w:numId="23" w16cid:durableId="145367551">
    <w:abstractNumId w:val="11"/>
  </w:num>
  <w:num w:numId="24" w16cid:durableId="1447889693">
    <w:abstractNumId w:val="25"/>
  </w:num>
  <w:num w:numId="25" w16cid:durableId="800073646">
    <w:abstractNumId w:val="6"/>
  </w:num>
  <w:num w:numId="26" w16cid:durableId="1045252106">
    <w:abstractNumId w:val="1"/>
  </w:num>
  <w:num w:numId="27" w16cid:durableId="1861314594">
    <w:abstractNumId w:val="10"/>
  </w:num>
  <w:num w:numId="28" w16cid:durableId="23482427">
    <w:abstractNumId w:val="13"/>
  </w:num>
  <w:num w:numId="29" w16cid:durableId="21238396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C80"/>
    <w:rsid w:val="000037CD"/>
    <w:rsid w:val="002546AF"/>
    <w:rsid w:val="0039731B"/>
    <w:rsid w:val="004D5425"/>
    <w:rsid w:val="00582C80"/>
    <w:rsid w:val="00A40F46"/>
    <w:rsid w:val="00C95D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F4BFE"/>
  <w15:chartTrackingRefBased/>
  <w15:docId w15:val="{C7694243-7136-4A6E-817D-01B7E1C0F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C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C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2C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C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C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C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C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C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C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C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C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2C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C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C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C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C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C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C80"/>
    <w:rPr>
      <w:rFonts w:eastAsiaTheme="majorEastAsia" w:cstheme="majorBidi"/>
      <w:color w:val="272727" w:themeColor="text1" w:themeTint="D8"/>
    </w:rPr>
  </w:style>
  <w:style w:type="paragraph" w:styleId="Title">
    <w:name w:val="Title"/>
    <w:basedOn w:val="Normal"/>
    <w:next w:val="Normal"/>
    <w:link w:val="TitleChar"/>
    <w:uiPriority w:val="10"/>
    <w:qFormat/>
    <w:rsid w:val="00582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C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C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C80"/>
    <w:pPr>
      <w:spacing w:before="160"/>
      <w:jc w:val="center"/>
    </w:pPr>
    <w:rPr>
      <w:i/>
      <w:iCs/>
      <w:color w:val="404040" w:themeColor="text1" w:themeTint="BF"/>
    </w:rPr>
  </w:style>
  <w:style w:type="character" w:customStyle="1" w:styleId="QuoteChar">
    <w:name w:val="Quote Char"/>
    <w:basedOn w:val="DefaultParagraphFont"/>
    <w:link w:val="Quote"/>
    <w:uiPriority w:val="29"/>
    <w:rsid w:val="00582C80"/>
    <w:rPr>
      <w:i/>
      <w:iCs/>
      <w:color w:val="404040" w:themeColor="text1" w:themeTint="BF"/>
    </w:rPr>
  </w:style>
  <w:style w:type="paragraph" w:styleId="ListParagraph">
    <w:name w:val="List Paragraph"/>
    <w:basedOn w:val="Normal"/>
    <w:uiPriority w:val="34"/>
    <w:qFormat/>
    <w:rsid w:val="00582C80"/>
    <w:pPr>
      <w:ind w:left="720"/>
      <w:contextualSpacing/>
    </w:pPr>
  </w:style>
  <w:style w:type="character" w:styleId="IntenseEmphasis">
    <w:name w:val="Intense Emphasis"/>
    <w:basedOn w:val="DefaultParagraphFont"/>
    <w:uiPriority w:val="21"/>
    <w:qFormat/>
    <w:rsid w:val="00582C80"/>
    <w:rPr>
      <w:i/>
      <w:iCs/>
      <w:color w:val="0F4761" w:themeColor="accent1" w:themeShade="BF"/>
    </w:rPr>
  </w:style>
  <w:style w:type="paragraph" w:styleId="IntenseQuote">
    <w:name w:val="Intense Quote"/>
    <w:basedOn w:val="Normal"/>
    <w:next w:val="Normal"/>
    <w:link w:val="IntenseQuoteChar"/>
    <w:uiPriority w:val="30"/>
    <w:qFormat/>
    <w:rsid w:val="00582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C80"/>
    <w:rPr>
      <w:i/>
      <w:iCs/>
      <w:color w:val="0F4761" w:themeColor="accent1" w:themeShade="BF"/>
    </w:rPr>
  </w:style>
  <w:style w:type="character" w:styleId="IntenseReference">
    <w:name w:val="Intense Reference"/>
    <w:basedOn w:val="DefaultParagraphFont"/>
    <w:uiPriority w:val="32"/>
    <w:qFormat/>
    <w:rsid w:val="00582C80"/>
    <w:rPr>
      <w:b/>
      <w:bCs/>
      <w:smallCaps/>
      <w:color w:val="0F4761" w:themeColor="accent1" w:themeShade="BF"/>
      <w:spacing w:val="5"/>
    </w:rPr>
  </w:style>
  <w:style w:type="paragraph" w:styleId="Header">
    <w:name w:val="header"/>
    <w:basedOn w:val="Normal"/>
    <w:link w:val="HeaderChar"/>
    <w:uiPriority w:val="99"/>
    <w:unhideWhenUsed/>
    <w:rsid w:val="00582C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2C80"/>
  </w:style>
  <w:style w:type="paragraph" w:styleId="Footer">
    <w:name w:val="footer"/>
    <w:basedOn w:val="Normal"/>
    <w:link w:val="FooterChar"/>
    <w:uiPriority w:val="99"/>
    <w:unhideWhenUsed/>
    <w:rsid w:val="00582C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2C80"/>
  </w:style>
  <w:style w:type="paragraph" w:styleId="NormalWeb">
    <w:name w:val="Normal (Web)"/>
    <w:basedOn w:val="Normal"/>
    <w:uiPriority w:val="99"/>
    <w:semiHidden/>
    <w:unhideWhenUsed/>
    <w:rsid w:val="00582C8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82C80"/>
    <w:rPr>
      <w:b/>
      <w:bCs/>
    </w:rPr>
  </w:style>
  <w:style w:type="character" w:styleId="HTMLCode">
    <w:name w:val="HTML Code"/>
    <w:basedOn w:val="DefaultParagraphFont"/>
    <w:uiPriority w:val="99"/>
    <w:semiHidden/>
    <w:unhideWhenUsed/>
    <w:rsid w:val="00582C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1882</Words>
  <Characters>10733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Carlos Gaitan</dc:creator>
  <cp:keywords/>
  <dc:description/>
  <cp:lastModifiedBy>Luis Carlos Gaitan</cp:lastModifiedBy>
  <cp:revision>1</cp:revision>
  <dcterms:created xsi:type="dcterms:W3CDTF">2026-10-26T18:09:00Z</dcterms:created>
  <dcterms:modified xsi:type="dcterms:W3CDTF">2026-10-26T18:49:00Z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2026-10-26T18:49:48Z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ec302311-a76e-4d47-bdb2-f537e3ae027e</vt:lpwstr>
  </property>
  <property fmtid="{D5CDD505-2E9C-101B-9397-08002B2CF9AE}" pid="7" name="MSIP_Label_defa4170-0d19-0005-0004-bc88714345d2_ActionId">
    <vt:lpwstr>4b52899f-c688-4b66-b125-d8b73d5a4338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