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9A4F76">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77B0B251" w:rsidR="00A27197" w:rsidRPr="00A27197" w:rsidRDefault="00A27197"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 xml:space="preserve">on, </w:t>
      </w:r>
      <w:r w:rsidR="0074159A">
        <w:rPr>
          <w:rFonts w:ascii="Times New Roman" w:hAnsi="Times New Roman" w:cs="Times New Roman"/>
          <w:sz w:val="24"/>
          <w:szCs w:val="24"/>
        </w:rPr>
        <w:t>Exciton Transport</w:t>
      </w:r>
      <w:r w:rsidR="004B7D6E">
        <w:rPr>
          <w:rFonts w:ascii="Times New Roman" w:hAnsi="Times New Roman" w:cs="Times New Roman"/>
          <w:sz w:val="24"/>
          <w:szCs w:val="24"/>
        </w:rPr>
        <w:t>,</w:t>
      </w:r>
      <w:r w:rsidR="00987300">
        <w:rPr>
          <w:rFonts w:ascii="Times New Roman" w:hAnsi="Times New Roman" w:cs="Times New Roman"/>
          <w:sz w:val="24"/>
          <w:szCs w:val="24"/>
        </w:rPr>
        <w:t xml:space="preserve">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713800AA" w:rsidR="00A72BC3" w:rsidRDefault="00A72BC3" w:rsidP="004573EE">
      <w:pPr>
        <w:pStyle w:val="NoSpacing"/>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(i.e., exciton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r w:rsidR="00CA48E4">
        <w:rPr>
          <w:rFonts w:ascii="Times New Roman" w:hAnsi="Times New Roman" w:cs="Times New Roman"/>
          <w:sz w:val="24"/>
          <w:szCs w:val="24"/>
        </w:rPr>
        <w:t>chromophores</w:t>
      </w:r>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of energy transfer between chromophores</w:t>
      </w:r>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244F60">
        <w:rPr>
          <w:rFonts w:ascii="Times New Roman" w:hAnsi="Times New Roman" w:cs="Times New Roman"/>
          <w:position w:val="-4"/>
          <w:sz w:val="24"/>
          <w:szCs w:val="24"/>
        </w:rPr>
        <w:pict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v:imagedata r:id="rId5"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244F60">
        <w:rPr>
          <w:rFonts w:ascii="Times New Roman" w:hAnsi="Times New Roman" w:cs="Times New Roman"/>
          <w:position w:val="-4"/>
          <w:sz w:val="24"/>
          <w:szCs w:val="24"/>
        </w:rPr>
        <w:pict w14:anchorId="7C63AB80">
          <v:shape id="_x0000_i1026" type="#_x0000_t75" style="width:9.5pt;height:9.5pt">
            <v:imagedata r:id="rId6"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C845FE">
        <w:rPr>
          <w:rFonts w:ascii="Times New Roman" w:hAnsi="Times New Roman" w:cs="Times New Roman"/>
          <w:sz w:val="24"/>
          <w:szCs w:val="24"/>
        </w:rPr>
        <w:t>in both moderately swelled</w:t>
      </w:r>
      <w:r w:rsidR="005E1161">
        <w:rPr>
          <w:rFonts w:ascii="Times New Roman" w:hAnsi="Times New Roman" w:cs="Times New Roman"/>
          <w:sz w:val="24"/>
          <w:szCs w:val="24"/>
        </w:rPr>
        <w:t xml:space="preserve">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 xml:space="preserve">support quenching by defects or </w:t>
      </w:r>
      <w:proofErr w:type="spellStart"/>
      <w:r w:rsidR="009A0A94">
        <w:rPr>
          <w:rFonts w:ascii="Times New Roman" w:hAnsi="Times New Roman" w:cs="Times New Roman"/>
          <w:sz w:val="24"/>
          <w:szCs w:val="24"/>
        </w:rPr>
        <w:t>polarons</w:t>
      </w:r>
      <w:proofErr w:type="spellEnd"/>
      <w:r w:rsidR="009A0A94">
        <w:rPr>
          <w:rFonts w:ascii="Times New Roman" w:hAnsi="Times New Roman" w:cs="Times New Roman"/>
          <w:sz w:val="24"/>
          <w:szCs w:val="24"/>
        </w:rPr>
        <w:t>,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 xml:space="preserve">explanation for the </w:t>
      </w:r>
      <w:r w:rsidR="00A13D46" w:rsidRPr="00A13D46">
        <w:rPr>
          <w:rFonts w:ascii="Times New Roman" w:hAnsi="Times New Roman" w:cs="Times New Roman"/>
          <w:sz w:val="24"/>
          <w:szCs w:val="24"/>
        </w:rPr>
        <w:t>typically</w:t>
      </w:r>
      <w:r w:rsidR="001A0FE2">
        <w:rPr>
          <w:rFonts w:ascii="Times New Roman" w:hAnsi="Times New Roman" w:cs="Times New Roman"/>
          <w:sz w:val="24"/>
          <w:szCs w:val="24"/>
        </w:rPr>
        <w:t xml:space="preserve"> </w:t>
      </w:r>
      <w:r w:rsidR="009A0A94">
        <w:rPr>
          <w:rFonts w:ascii="Times New Roman" w:hAnsi="Times New Roman" w:cs="Times New Roman"/>
          <w:sz w:val="24"/>
          <w:szCs w:val="24"/>
        </w:rPr>
        <w:t>low fluorescence quantum yield of conjugated polymer particles as compared to the free polymer in solution</w:t>
      </w:r>
      <w:r w:rsidR="001A0FE2">
        <w:rPr>
          <w:rFonts w:ascii="Times New Roman" w:hAnsi="Times New Roman" w:cs="Times New Roman"/>
          <w:sz w:val="24"/>
          <w:szCs w:val="24"/>
        </w:rPr>
        <w:t xml:space="preserve"> </w:t>
      </w:r>
      <w:r w:rsidR="001A0FE2" w:rsidRPr="00A13D46">
        <w:rPr>
          <w:rFonts w:ascii="Times New Roman" w:hAnsi="Times New Roman" w:cs="Times New Roman"/>
          <w:sz w:val="24"/>
          <w:szCs w:val="24"/>
        </w:rPr>
        <w:t xml:space="preserve">as well as similar </w:t>
      </w:r>
      <w:r w:rsidR="00A13D46" w:rsidRPr="00A13D46">
        <w:rPr>
          <w:rFonts w:ascii="Times New Roman" w:hAnsi="Times New Roman" w:cs="Times New Roman"/>
          <w:sz w:val="24"/>
          <w:szCs w:val="24"/>
        </w:rPr>
        <w:t>effects observed in thin films</w:t>
      </w:r>
      <w:r w:rsidR="009A0A94">
        <w:rPr>
          <w:rFonts w:ascii="Times New Roman" w:hAnsi="Times New Roman" w:cs="Times New Roman"/>
          <w:sz w:val="24"/>
          <w:szCs w:val="24"/>
        </w:rPr>
        <w:t>.</w:t>
      </w:r>
    </w:p>
    <w:p w14:paraId="50E12799" w14:textId="77777777" w:rsidR="00E04265" w:rsidRDefault="00E04265" w:rsidP="004573EE">
      <w:pPr>
        <w:pStyle w:val="NoSpacing"/>
        <w:jc w:val="both"/>
        <w:rPr>
          <w:rFonts w:ascii="Times New Roman" w:hAnsi="Times New Roman" w:cs="Times New Roman"/>
          <w:sz w:val="24"/>
          <w:szCs w:val="24"/>
        </w:rPr>
      </w:pP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5EFC949" w14:textId="771859DB" w:rsidR="009E3694" w:rsidRPr="00AC170F" w:rsidRDefault="00F9414E" w:rsidP="00D61925">
      <w:pPr>
        <w:pStyle w:val="NoSpacing"/>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A13D46">
        <w:rPr>
          <w:rFonts w:ascii="Times New Roman" w:hAnsi="Times New Roman" w:cs="Times New Roman"/>
          <w:sz w:val="24"/>
          <w:szCs w:val="24"/>
        </w:rPr>
        <w:t xml:space="preserve"> </w:t>
      </w:r>
      <w:r w:rsidR="00C47A5C">
        <w:rPr>
          <w:rFonts w:ascii="Times New Roman" w:hAnsi="Times New Roman" w:cs="Times New Roman"/>
          <w:sz w:val="24"/>
          <w:szCs w:val="24"/>
        </w:rPr>
        <w:t>luminescent</w:t>
      </w:r>
      <w:r w:rsidR="00A13D46">
        <w:rPr>
          <w:rFonts w:ascii="Times New Roman" w:hAnsi="Times New Roman" w:cs="Times New Roman"/>
          <w:sz w:val="24"/>
          <w:szCs w:val="24"/>
        </w:rPr>
        <w:t xml:space="preserve"> materials, used</w:t>
      </w:r>
      <w:r w:rsidR="00353A57">
        <w:rPr>
          <w:rFonts w:ascii="Times New Roman" w:hAnsi="Times New Roman" w:cs="Times New Roman"/>
          <w:sz w:val="24"/>
          <w:szCs w:val="24"/>
        </w:rPr>
        <w:t xml:space="preserve"> as active ma</w:t>
      </w:r>
      <w:r w:rsidR="001768DF">
        <w:rPr>
          <w:rFonts w:ascii="Times New Roman" w:hAnsi="Times New Roman" w:cs="Times New Roman"/>
          <w:sz w:val="24"/>
          <w:szCs w:val="24"/>
        </w:rPr>
        <w:t>terials in organic photovoltaic</w:t>
      </w:r>
      <w:r w:rsidR="00225662">
        <w:rPr>
          <w:rFonts w:ascii="Times New Roman" w:hAnsi="Times New Roman" w:cs="Times New Roman"/>
          <w:sz w:val="24"/>
          <w:szCs w:val="24"/>
        </w:rPr>
        <w:t>s</w:t>
      </w:r>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proofErr w:type="gramStart"/>
      <w:r w:rsidR="00724A55">
        <w:rPr>
          <w:rFonts w:ascii="Times New Roman" w:hAnsi="Times New Roman" w:cs="Times New Roman"/>
          <w:sz w:val="24"/>
          <w:szCs w:val="24"/>
        </w:rPr>
        <w:t>.</w:t>
      </w:r>
      <w:r w:rsidR="00357040">
        <w:rPr>
          <w:rFonts w:ascii="Times New Roman" w:hAnsi="Times New Roman" w:cs="Times New Roman"/>
          <w:sz w:val="24"/>
          <w:szCs w:val="24"/>
        </w:rPr>
        <w:t>{</w:t>
      </w:r>
      <w:proofErr w:type="spellStart"/>
      <w:proofErr w:type="gramEnd"/>
      <w:r w:rsidR="00357040">
        <w:rPr>
          <w:rFonts w:ascii="Times New Roman" w:hAnsi="Times New Roman" w:cs="Times New Roman"/>
          <w:sz w:val="24"/>
          <w:szCs w:val="24"/>
        </w:rPr>
        <w:t>Dennler</w:t>
      </w:r>
      <w:proofErr w:type="spellEnd"/>
      <w:r w:rsidR="00357040">
        <w:rPr>
          <w:rFonts w:ascii="Times New Roman" w:hAnsi="Times New Roman" w:cs="Times New Roman"/>
          <w:sz w:val="24"/>
          <w:szCs w:val="24"/>
        </w:rPr>
        <w:t>, 2005 #10;Yim, 2008 #56}</w:t>
      </w:r>
      <w:r w:rsidR="00724A55">
        <w:rPr>
          <w:rFonts w:ascii="Times New Roman" w:hAnsi="Times New Roman" w:cs="Times New Roman"/>
          <w:sz w:val="24"/>
          <w:szCs w:val="24"/>
        </w:rPr>
        <w:t xml:space="preserve"> Conjugated polymer nanoparticles (CPNs) </w:t>
      </w:r>
      <w:r w:rsidR="00DA438A">
        <w:rPr>
          <w:rFonts w:ascii="Times New Roman" w:hAnsi="Times New Roman" w:cs="Times New Roman"/>
          <w:sz w:val="24"/>
          <w:szCs w:val="24"/>
        </w:rPr>
        <w:t>are well-suited to a variety of fluorescence-based imaging and sensing applications, exhibiting</w:t>
      </w:r>
      <w:r w:rsidR="00724A55">
        <w:rPr>
          <w:rFonts w:ascii="Times New Roman" w:hAnsi="Times New Roman" w:cs="Times New Roman"/>
          <w:sz w:val="24"/>
          <w:szCs w:val="24"/>
        </w:rPr>
        <w:t xml:space="preserve"> extraordinary figures of merit, </w:t>
      </w:r>
      <w:r w:rsidR="00DA438A">
        <w:rPr>
          <w:rFonts w:ascii="Times New Roman" w:hAnsi="Times New Roman" w:cs="Times New Roman"/>
          <w:sz w:val="24"/>
          <w:szCs w:val="24"/>
        </w:rPr>
        <w:t xml:space="preserve">including exceptional brightness and </w:t>
      </w:r>
      <w:proofErr w:type="spellStart"/>
      <w:r w:rsidR="00DA438A">
        <w:rPr>
          <w:rFonts w:ascii="Times New Roman" w:hAnsi="Times New Roman" w:cs="Times New Roman"/>
          <w:sz w:val="24"/>
          <w:szCs w:val="24"/>
        </w:rPr>
        <w:t>photostability</w:t>
      </w:r>
      <w:proofErr w:type="spellEnd"/>
      <w:r w:rsidR="00DA438A">
        <w:rPr>
          <w:rFonts w:ascii="Times New Roman" w:hAnsi="Times New Roman" w:cs="Times New Roman"/>
          <w:sz w:val="24"/>
          <w:szCs w:val="24"/>
        </w:rPr>
        <w:t>.[refs]</w:t>
      </w:r>
      <w:r w:rsidR="00AF6308">
        <w:rPr>
          <w:rFonts w:ascii="Times New Roman" w:hAnsi="Times New Roman" w:cs="Times New Roman"/>
          <w:sz w:val="24"/>
          <w:szCs w:val="24"/>
        </w:rPr>
        <w:t xml:space="preserve"> </w:t>
      </w:r>
      <w:r w:rsidR="00DA438A">
        <w:rPr>
          <w:rFonts w:ascii="Times New Roman" w:hAnsi="Times New Roman" w:cs="Times New Roman"/>
          <w:sz w:val="24"/>
          <w:szCs w:val="24"/>
        </w:rPr>
        <w:t>Furthermore, highly efficient energy transfer</w:t>
      </w:r>
      <w:r w:rsidR="003251F7">
        <w:rPr>
          <w:rFonts w:ascii="Times New Roman" w:hAnsi="Times New Roman" w:cs="Times New Roman"/>
          <w:sz w:val="24"/>
          <w:szCs w:val="24"/>
        </w:rPr>
        <w:t xml:space="preserve"> to dyes or other polymers incorporated in the particle or </w:t>
      </w:r>
      <w:r w:rsidR="00E04265">
        <w:rPr>
          <w:rFonts w:ascii="Times New Roman" w:hAnsi="Times New Roman" w:cs="Times New Roman"/>
          <w:sz w:val="24"/>
          <w:szCs w:val="24"/>
        </w:rPr>
        <w:t>to dyes covalently linked</w:t>
      </w:r>
      <w:r w:rsidR="003251F7">
        <w:rPr>
          <w:rFonts w:ascii="Times New Roman" w:hAnsi="Times New Roman" w:cs="Times New Roman"/>
          <w:sz w:val="24"/>
          <w:szCs w:val="24"/>
        </w:rPr>
        <w:t xml:space="preserve"> to the surface can provide red-shifted emission and sensors</w:t>
      </w:r>
      <w:r w:rsidR="00724A55">
        <w:rPr>
          <w:rFonts w:ascii="Times New Roman" w:hAnsi="Times New Roman" w:cs="Times New Roman"/>
          <w:sz w:val="24"/>
          <w:szCs w:val="24"/>
        </w:rPr>
        <w:t>.</w:t>
      </w:r>
      <w:r w:rsidR="003251F7">
        <w:rPr>
          <w:rFonts w:ascii="Times New Roman" w:hAnsi="Times New Roman" w:cs="Times New Roman"/>
          <w:sz w:val="24"/>
          <w:szCs w:val="24"/>
        </w:rPr>
        <w:t>[refs]</w:t>
      </w:r>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w:t>
      </w:r>
      <w:r w:rsidR="00CE3CF9">
        <w:rPr>
          <w:rFonts w:ascii="Times New Roman" w:hAnsi="Times New Roman" w:cs="Times New Roman"/>
          <w:sz w:val="24"/>
          <w:szCs w:val="24"/>
        </w:rPr>
        <w:t>tune CPN properties</w:t>
      </w:r>
      <w:r w:rsidR="00410B7A">
        <w:rPr>
          <w:rFonts w:ascii="Times New Roman" w:hAnsi="Times New Roman" w:cs="Times New Roman"/>
          <w:sz w:val="24"/>
          <w:szCs w:val="24"/>
        </w:rPr>
        <w:t xml:space="preserve"> for various applications</w:t>
      </w:r>
      <w:r w:rsidR="00225662">
        <w:rPr>
          <w:rFonts w:ascii="Times New Roman" w:hAnsi="Times New Roman" w:cs="Times New Roman"/>
          <w:sz w:val="24"/>
          <w:szCs w:val="24"/>
        </w:rPr>
        <w:t xml:space="preserve">, </w:t>
      </w:r>
      <w:r w:rsidR="00410B7A">
        <w:rPr>
          <w:rFonts w:ascii="Times New Roman" w:hAnsi="Times New Roman" w:cs="Times New Roman"/>
          <w:sz w:val="24"/>
          <w:szCs w:val="24"/>
        </w:rPr>
        <w:t xml:space="preserve">we seek to better </w:t>
      </w:r>
      <w:r w:rsidR="00225662">
        <w:rPr>
          <w:rFonts w:ascii="Times New Roman" w:hAnsi="Times New Roman" w:cs="Times New Roman"/>
          <w:sz w:val="24"/>
          <w:szCs w:val="24"/>
        </w:rPr>
        <w:t xml:space="preserve">understand the </w:t>
      </w:r>
      <w:r w:rsidR="00CC08CD">
        <w:rPr>
          <w:rFonts w:ascii="Times New Roman" w:hAnsi="Times New Roman" w:cs="Times New Roman"/>
          <w:sz w:val="24"/>
          <w:szCs w:val="24"/>
        </w:rPr>
        <w:t xml:space="preserve">species and </w:t>
      </w:r>
      <w:r w:rsidR="00C17EF0">
        <w:rPr>
          <w:rFonts w:ascii="Times New Roman" w:hAnsi="Times New Roman" w:cs="Times New Roman"/>
          <w:sz w:val="24"/>
          <w:szCs w:val="24"/>
        </w:rPr>
        <w:t>processes</w:t>
      </w:r>
      <w:r w:rsidR="00225662">
        <w:rPr>
          <w:rFonts w:ascii="Times New Roman" w:hAnsi="Times New Roman" w:cs="Times New Roman"/>
          <w:sz w:val="24"/>
          <w:szCs w:val="24"/>
        </w:rPr>
        <w:t xml:space="preserve"> </w:t>
      </w:r>
      <w:r w:rsidR="00C17EF0">
        <w:rPr>
          <w:rFonts w:ascii="Times New Roman" w:hAnsi="Times New Roman" w:cs="Times New Roman"/>
          <w:sz w:val="24"/>
          <w:szCs w:val="24"/>
        </w:rPr>
        <w:t>that dictate</w:t>
      </w:r>
      <w:r w:rsidR="00CC08CD">
        <w:rPr>
          <w:rFonts w:ascii="Times New Roman" w:hAnsi="Times New Roman" w:cs="Times New Roman"/>
          <w:sz w:val="24"/>
          <w:szCs w:val="24"/>
        </w:rPr>
        <w:t xml:space="preserve"> their properties</w:t>
      </w:r>
      <w:r w:rsidR="00724A55">
        <w:rPr>
          <w:rFonts w:ascii="Times New Roman" w:hAnsi="Times New Roman" w:cs="Times New Roman"/>
          <w:sz w:val="24"/>
          <w:szCs w:val="24"/>
        </w:rPr>
        <w:t xml:space="preserve">, </w:t>
      </w:r>
      <w:r w:rsidR="00CE3CF9">
        <w:rPr>
          <w:rFonts w:ascii="Times New Roman" w:hAnsi="Times New Roman" w:cs="Times New Roman"/>
          <w:sz w:val="24"/>
          <w:szCs w:val="24"/>
        </w:rPr>
        <w:t>and how they</w:t>
      </w:r>
      <w:r w:rsidR="00CC08CD">
        <w:rPr>
          <w:rFonts w:ascii="Times New Roman" w:hAnsi="Times New Roman" w:cs="Times New Roman"/>
          <w:sz w:val="24"/>
          <w:szCs w:val="24"/>
        </w:rPr>
        <w:t xml:space="preserve"> are </w:t>
      </w:r>
      <w:r w:rsidR="007339F0">
        <w:rPr>
          <w:rFonts w:ascii="Times New Roman" w:hAnsi="Times New Roman" w:cs="Times New Roman"/>
          <w:sz w:val="24"/>
          <w:szCs w:val="24"/>
        </w:rPr>
        <w:t>modulated</w:t>
      </w:r>
      <w:r w:rsidR="00CC08CD">
        <w:rPr>
          <w:rFonts w:ascii="Times New Roman" w:hAnsi="Times New Roman" w:cs="Times New Roman"/>
          <w:sz w:val="24"/>
          <w:szCs w:val="24"/>
        </w:rPr>
        <w:t xml:space="preserve"> by</w:t>
      </w:r>
      <w:r w:rsidR="008D4FA1">
        <w:rPr>
          <w:rFonts w:ascii="Times New Roman" w:hAnsi="Times New Roman" w:cs="Times New Roman"/>
          <w:sz w:val="24"/>
          <w:szCs w:val="24"/>
        </w:rPr>
        <w:t xml:space="preserve"> polymer conformation</w:t>
      </w:r>
      <w:r w:rsidR="00C845FE">
        <w:rPr>
          <w:rFonts w:ascii="Times New Roman" w:hAnsi="Times New Roman" w:cs="Times New Roman"/>
          <w:sz w:val="24"/>
          <w:szCs w:val="24"/>
        </w:rPr>
        <w:t xml:space="preserve"> and processing conditions</w:t>
      </w:r>
      <w:r w:rsidR="00CC08CD">
        <w:rPr>
          <w:rFonts w:ascii="Times New Roman" w:hAnsi="Times New Roman" w:cs="Times New Roman"/>
          <w:sz w:val="24"/>
          <w:szCs w:val="24"/>
        </w:rPr>
        <w:t>.</w:t>
      </w:r>
      <w:r w:rsidR="00357040">
        <w:rPr>
          <w:rFonts w:ascii="Times New Roman" w:hAnsi="Times New Roman" w:cs="Times New Roman"/>
          <w:sz w:val="24"/>
          <w:szCs w:val="24"/>
        </w:rPr>
        <w:t>{Schaller, 2002 #98;Wu, 2008 #99}</w:t>
      </w:r>
      <w:r w:rsidR="0039451C">
        <w:rPr>
          <w:rFonts w:ascii="Times New Roman" w:hAnsi="Times New Roman" w:cs="Times New Roman"/>
          <w:sz w:val="24"/>
          <w:szCs w:val="24"/>
        </w:rPr>
        <w:t xml:space="preserve"> </w:t>
      </w:r>
      <w:r w:rsidR="003251F7">
        <w:rPr>
          <w:rFonts w:ascii="Times New Roman" w:hAnsi="Times New Roman" w:cs="Times New Roman"/>
          <w:sz w:val="24"/>
          <w:szCs w:val="24"/>
        </w:rPr>
        <w:t xml:space="preserve">The complex, </w:t>
      </w:r>
      <w:proofErr w:type="spellStart"/>
      <w:r w:rsidR="003251F7">
        <w:rPr>
          <w:rFonts w:ascii="Times New Roman" w:hAnsi="Times New Roman" w:cs="Times New Roman"/>
          <w:sz w:val="24"/>
          <w:szCs w:val="24"/>
        </w:rPr>
        <w:t>nanoscale</w:t>
      </w:r>
      <w:proofErr w:type="spellEnd"/>
      <w:r w:rsidR="003251F7">
        <w:rPr>
          <w:rFonts w:ascii="Times New Roman" w:hAnsi="Times New Roman" w:cs="Times New Roman"/>
          <w:sz w:val="24"/>
          <w:szCs w:val="24"/>
        </w:rPr>
        <w:t xml:space="preserve">, </w:t>
      </w:r>
      <w:proofErr w:type="spellStart"/>
      <w:r w:rsidR="003251F7">
        <w:rPr>
          <w:rFonts w:ascii="Times New Roman" w:hAnsi="Times New Roman" w:cs="Times New Roman"/>
          <w:sz w:val="24"/>
          <w:szCs w:val="24"/>
        </w:rPr>
        <w:t>multichromophoric</w:t>
      </w:r>
      <w:proofErr w:type="spellEnd"/>
      <w:r w:rsidR="003251F7">
        <w:rPr>
          <w:rFonts w:ascii="Times New Roman" w:hAnsi="Times New Roman" w:cs="Times New Roman"/>
          <w:sz w:val="24"/>
          <w:szCs w:val="24"/>
        </w:rPr>
        <w:t xml:space="preserve"> nature of CPNs can give rise to a number of transient and persistent species interacting with the excited state including H- or J-</w:t>
      </w:r>
      <w:r w:rsidR="00161558">
        <w:rPr>
          <w:rFonts w:ascii="Times New Roman" w:hAnsi="Times New Roman" w:cs="Times New Roman"/>
          <w:sz w:val="24"/>
          <w:szCs w:val="24"/>
        </w:rPr>
        <w:t xml:space="preserve">aggregates, </w:t>
      </w:r>
      <w:proofErr w:type="spellStart"/>
      <w:r w:rsidR="003251F7">
        <w:rPr>
          <w:rFonts w:ascii="Times New Roman" w:hAnsi="Times New Roman" w:cs="Times New Roman"/>
          <w:sz w:val="24"/>
          <w:szCs w:val="24"/>
        </w:rPr>
        <w:t>excimers</w:t>
      </w:r>
      <w:proofErr w:type="spellEnd"/>
      <w:r w:rsidR="003251F7">
        <w:rPr>
          <w:rFonts w:ascii="Times New Roman" w:hAnsi="Times New Roman" w:cs="Times New Roman"/>
          <w:sz w:val="24"/>
          <w:szCs w:val="24"/>
        </w:rPr>
        <w:t xml:space="preserve">, and </w:t>
      </w:r>
      <w:proofErr w:type="spellStart"/>
      <w:r w:rsidR="003251F7">
        <w:rPr>
          <w:rFonts w:ascii="Times New Roman" w:hAnsi="Times New Roman" w:cs="Times New Roman"/>
          <w:sz w:val="24"/>
          <w:szCs w:val="24"/>
        </w:rPr>
        <w:t>exciplexes</w:t>
      </w:r>
      <w:proofErr w:type="spellEnd"/>
      <w:r w:rsidR="003251F7">
        <w:rPr>
          <w:rFonts w:ascii="Times New Roman" w:hAnsi="Times New Roman" w:cs="Times New Roman"/>
          <w:sz w:val="24"/>
          <w:szCs w:val="24"/>
        </w:rPr>
        <w:t xml:space="preserve">.[refs] Furthermore, </w:t>
      </w:r>
      <w:r w:rsidR="007339F0">
        <w:rPr>
          <w:rFonts w:ascii="Times New Roman" w:hAnsi="Times New Roman" w:cs="Times New Roman"/>
          <w:sz w:val="24"/>
          <w:szCs w:val="24"/>
        </w:rPr>
        <w:t>c</w:t>
      </w:r>
      <w:r w:rsidR="007874B2">
        <w:rPr>
          <w:rFonts w:ascii="Times New Roman" w:hAnsi="Times New Roman" w:cs="Times New Roman"/>
          <w:sz w:val="24"/>
          <w:szCs w:val="24"/>
        </w:rPr>
        <w:t>hemical defects</w:t>
      </w:r>
      <w:r w:rsidR="00D96EA6">
        <w:rPr>
          <w:rFonts w:ascii="Times New Roman" w:hAnsi="Times New Roman" w:cs="Times New Roman"/>
          <w:sz w:val="24"/>
          <w:szCs w:val="24"/>
        </w:rPr>
        <w:t xml:space="preserve">, </w:t>
      </w:r>
      <w:r w:rsidR="00EE3FA3">
        <w:rPr>
          <w:rFonts w:ascii="Times New Roman" w:hAnsi="Times New Roman" w:cs="Times New Roman"/>
          <w:sz w:val="24"/>
          <w:szCs w:val="24"/>
        </w:rPr>
        <w:t xml:space="preserve">excess charges (i.e. </w:t>
      </w:r>
      <w:r w:rsidR="0039451C">
        <w:rPr>
          <w:rFonts w:ascii="Times New Roman" w:hAnsi="Times New Roman" w:cs="Times New Roman"/>
          <w:sz w:val="24"/>
          <w:szCs w:val="24"/>
        </w:rPr>
        <w:t xml:space="preserve">hole </w:t>
      </w:r>
      <w:proofErr w:type="spellStart"/>
      <w:r w:rsidR="0039451C">
        <w:rPr>
          <w:rFonts w:ascii="Times New Roman" w:hAnsi="Times New Roman" w:cs="Times New Roman"/>
          <w:sz w:val="24"/>
          <w:szCs w:val="24"/>
        </w:rPr>
        <w:t>polarons</w:t>
      </w:r>
      <w:proofErr w:type="spellEnd"/>
      <w:r w:rsidR="00EE3FA3">
        <w:rPr>
          <w:rFonts w:ascii="Times New Roman" w:hAnsi="Times New Roman" w:cs="Times New Roman"/>
          <w:sz w:val="24"/>
          <w:szCs w:val="24"/>
        </w:rPr>
        <w:t>)</w:t>
      </w:r>
      <w:r w:rsidR="00D96EA6">
        <w:rPr>
          <w:rFonts w:ascii="Times New Roman" w:hAnsi="Times New Roman" w:cs="Times New Roman"/>
          <w:sz w:val="24"/>
          <w:szCs w:val="24"/>
        </w:rPr>
        <w:t>, and incorporated dyes</w:t>
      </w:r>
      <w:r w:rsidR="007874B2">
        <w:rPr>
          <w:rFonts w:ascii="Times New Roman" w:hAnsi="Times New Roman" w:cs="Times New Roman"/>
          <w:sz w:val="24"/>
          <w:szCs w:val="24"/>
        </w:rPr>
        <w:t xml:space="preserve"> </w:t>
      </w:r>
      <w:r w:rsidR="00D96EA6">
        <w:rPr>
          <w:rFonts w:ascii="Times New Roman" w:hAnsi="Times New Roman" w:cs="Times New Roman"/>
          <w:sz w:val="24"/>
          <w:szCs w:val="24"/>
        </w:rPr>
        <w:t>can have significant effects on fluorescence properties</w:t>
      </w:r>
      <w:r w:rsidR="000B6459">
        <w:rPr>
          <w:rFonts w:ascii="Times New Roman" w:hAnsi="Times New Roman" w:cs="Times New Roman"/>
          <w:sz w:val="24"/>
          <w:szCs w:val="24"/>
        </w:rPr>
        <w:t>.</w:t>
      </w:r>
      <w:r w:rsidR="00EE3FA3">
        <w:rPr>
          <w:rFonts w:ascii="Times New Roman" w:hAnsi="Times New Roman" w:cs="Times New Roman"/>
          <w:sz w:val="24"/>
          <w:szCs w:val="24"/>
        </w:rPr>
        <w:t xml:space="preserve"> </w:t>
      </w:r>
      <w:r w:rsidR="008242A0">
        <w:rPr>
          <w:rFonts w:ascii="Times New Roman" w:hAnsi="Times New Roman" w:cs="Times New Roman"/>
          <w:sz w:val="24"/>
          <w:szCs w:val="24"/>
        </w:rPr>
        <w:t xml:space="preserve">In </w:t>
      </w:r>
      <w:r w:rsidR="008242A0">
        <w:rPr>
          <w:rFonts w:ascii="Times New Roman" w:hAnsi="Times New Roman" w:cs="Times New Roman"/>
          <w:sz w:val="24"/>
          <w:szCs w:val="24"/>
        </w:rPr>
        <w:lastRenderedPageBreak/>
        <w:t>addition,</w:t>
      </w:r>
      <w:r w:rsidR="000E1712">
        <w:rPr>
          <w:rFonts w:ascii="Times New Roman" w:hAnsi="Times New Roman" w:cs="Times New Roman"/>
          <w:sz w:val="24"/>
          <w:szCs w:val="24"/>
        </w:rPr>
        <w:t xml:space="preserve"> energy transfer</w:t>
      </w:r>
      <w:r w:rsidR="002417FF">
        <w:rPr>
          <w:rFonts w:ascii="Times New Roman" w:hAnsi="Times New Roman" w:cs="Times New Roman"/>
          <w:sz w:val="24"/>
          <w:szCs w:val="24"/>
        </w:rPr>
        <w:t xml:space="preserve"> between </w:t>
      </w:r>
      <w:r w:rsidR="00DB5518">
        <w:rPr>
          <w:rFonts w:ascii="Times New Roman" w:hAnsi="Times New Roman" w:cs="Times New Roman"/>
          <w:sz w:val="24"/>
          <w:szCs w:val="24"/>
        </w:rPr>
        <w:t xml:space="preserve">like </w:t>
      </w:r>
      <w:r w:rsidR="00B95690">
        <w:rPr>
          <w:rFonts w:ascii="Times New Roman" w:hAnsi="Times New Roman" w:cs="Times New Roman"/>
          <w:sz w:val="24"/>
          <w:szCs w:val="24"/>
        </w:rPr>
        <w:t xml:space="preserve">conjugated polymer chromophores (i.e., </w:t>
      </w:r>
      <w:r w:rsidR="003161DC">
        <w:rPr>
          <w:rFonts w:ascii="Times New Roman" w:hAnsi="Times New Roman" w:cs="Times New Roman"/>
          <w:sz w:val="24"/>
          <w:szCs w:val="24"/>
        </w:rPr>
        <w:t xml:space="preserve">exciton diffusion) </w:t>
      </w:r>
      <w:r w:rsidR="00B95690">
        <w:rPr>
          <w:rFonts w:ascii="Times New Roman" w:hAnsi="Times New Roman" w:cs="Times New Roman"/>
          <w:sz w:val="24"/>
          <w:szCs w:val="24"/>
        </w:rPr>
        <w:t xml:space="preserve">can </w:t>
      </w:r>
      <w:r w:rsidR="00D96EA6">
        <w:rPr>
          <w:rFonts w:ascii="Times New Roman" w:hAnsi="Times New Roman" w:cs="Times New Roman"/>
          <w:sz w:val="24"/>
          <w:szCs w:val="24"/>
        </w:rPr>
        <w:t xml:space="preserve">result in a cascade of multiple energy transfer events, </w:t>
      </w:r>
      <w:r w:rsidR="00B95690">
        <w:rPr>
          <w:rFonts w:ascii="Times New Roman" w:hAnsi="Times New Roman" w:cs="Times New Roman"/>
          <w:sz w:val="24"/>
          <w:szCs w:val="24"/>
        </w:rPr>
        <w:t>greatly amplify</w:t>
      </w:r>
      <w:r w:rsidR="00D96EA6">
        <w:rPr>
          <w:rFonts w:ascii="Times New Roman" w:hAnsi="Times New Roman" w:cs="Times New Roman"/>
          <w:sz w:val="24"/>
          <w:szCs w:val="24"/>
        </w:rPr>
        <w:t>ing</w:t>
      </w:r>
      <w:r w:rsidR="00B95690">
        <w:rPr>
          <w:rFonts w:ascii="Times New Roman" w:hAnsi="Times New Roman" w:cs="Times New Roman"/>
          <w:sz w:val="24"/>
          <w:szCs w:val="24"/>
        </w:rPr>
        <w:t xml:space="preserve"> </w:t>
      </w:r>
      <w:r w:rsidR="00D96EA6">
        <w:rPr>
          <w:rFonts w:ascii="Times New Roman" w:hAnsi="Times New Roman" w:cs="Times New Roman"/>
          <w:sz w:val="24"/>
          <w:szCs w:val="24"/>
        </w:rPr>
        <w:t>the effects of these species</w:t>
      </w:r>
      <w:proofErr w:type="gramStart"/>
      <w:r w:rsidR="00D96EA6">
        <w:rPr>
          <w:rFonts w:ascii="Times New Roman" w:hAnsi="Times New Roman" w:cs="Times New Roman"/>
          <w:sz w:val="24"/>
          <w:szCs w:val="24"/>
        </w:rPr>
        <w:t>.[</w:t>
      </w:r>
      <w:proofErr w:type="gramEnd"/>
      <w:r w:rsidR="00D96EA6">
        <w:rPr>
          <w:rFonts w:ascii="Times New Roman" w:hAnsi="Times New Roman" w:cs="Times New Roman"/>
          <w:sz w:val="24"/>
          <w:szCs w:val="24"/>
        </w:rPr>
        <w:t>refs]</w:t>
      </w:r>
      <w:r w:rsidR="00F205CE">
        <w:rPr>
          <w:rFonts w:ascii="Times New Roman" w:hAnsi="Times New Roman" w:cs="Times New Roman"/>
          <w:sz w:val="24"/>
          <w:szCs w:val="24"/>
        </w:rPr>
        <w:t xml:space="preserve"> </w:t>
      </w:r>
      <w:r w:rsidR="003161DC" w:rsidRPr="00637F6E">
        <w:rPr>
          <w:rFonts w:ascii="Times New Roman" w:hAnsi="Times New Roman" w:cs="Times New Roman"/>
          <w:sz w:val="24"/>
          <w:szCs w:val="24"/>
        </w:rPr>
        <w:t>Recently, we showed that</w:t>
      </w:r>
      <w:r w:rsidR="008D2BA2" w:rsidRPr="00637F6E">
        <w:rPr>
          <w:rFonts w:ascii="Times New Roman" w:hAnsi="Times New Roman" w:cs="Times New Roman"/>
          <w:sz w:val="24"/>
          <w:szCs w:val="24"/>
        </w:rPr>
        <w:t xml:space="preserve"> </w:t>
      </w:r>
      <w:r w:rsidR="00637F6E" w:rsidRPr="00637F6E">
        <w:rPr>
          <w:rFonts w:ascii="Times New Roman" w:hAnsi="Times New Roman" w:cs="Times New Roman"/>
          <w:sz w:val="24"/>
          <w:szCs w:val="24"/>
        </w:rPr>
        <w:t>multiple energy transfer</w:t>
      </w:r>
      <w:r w:rsidR="008D2BA2" w:rsidRPr="00637F6E">
        <w:rPr>
          <w:rFonts w:ascii="Times New Roman" w:hAnsi="Times New Roman" w:cs="Times New Roman"/>
          <w:sz w:val="24"/>
          <w:szCs w:val="24"/>
        </w:rPr>
        <w:t xml:space="preserve"> in CPNs</w:t>
      </w:r>
      <w:r w:rsidR="002301D8" w:rsidRPr="00637F6E">
        <w:rPr>
          <w:rFonts w:ascii="Times New Roman" w:hAnsi="Times New Roman" w:cs="Times New Roman"/>
          <w:sz w:val="24"/>
          <w:szCs w:val="24"/>
        </w:rPr>
        <w:t xml:space="preserve"> </w:t>
      </w:r>
      <w:r w:rsidR="00EE054B" w:rsidRPr="00637F6E">
        <w:rPr>
          <w:rFonts w:ascii="Times New Roman" w:hAnsi="Times New Roman" w:cs="Times New Roman"/>
          <w:sz w:val="24"/>
          <w:szCs w:val="24"/>
        </w:rPr>
        <w:t xml:space="preserve">gives rise to </w:t>
      </w:r>
      <w:r w:rsidR="00637F6E" w:rsidRPr="00637F6E">
        <w:rPr>
          <w:rFonts w:ascii="Times New Roman" w:hAnsi="Times New Roman" w:cs="Times New Roman"/>
          <w:sz w:val="24"/>
          <w:szCs w:val="24"/>
        </w:rPr>
        <w:t xml:space="preserve">characteristic </w:t>
      </w:r>
      <w:r w:rsidR="00EE054B" w:rsidRPr="00637F6E">
        <w:rPr>
          <w:rFonts w:ascii="Times New Roman" w:hAnsi="Times New Roman" w:cs="Times New Roman"/>
          <w:sz w:val="24"/>
          <w:szCs w:val="24"/>
        </w:rPr>
        <w:t xml:space="preserve">complex </w:t>
      </w:r>
      <w:r w:rsidR="00D61925">
        <w:rPr>
          <w:rFonts w:ascii="Times New Roman" w:hAnsi="Times New Roman" w:cs="Times New Roman"/>
          <w:sz w:val="24"/>
          <w:szCs w:val="24"/>
        </w:rPr>
        <w:t>fluorescence</w:t>
      </w:r>
      <w:r w:rsidR="00637F6E" w:rsidRPr="00637F6E">
        <w:rPr>
          <w:rFonts w:ascii="Times New Roman" w:hAnsi="Times New Roman" w:cs="Times New Roman"/>
          <w:sz w:val="24"/>
          <w:szCs w:val="24"/>
        </w:rPr>
        <w:t xml:space="preserve"> kinetics</w:t>
      </w:r>
      <w:r w:rsidR="002301D8" w:rsidRPr="00637F6E">
        <w:rPr>
          <w:rFonts w:ascii="Times New Roman" w:hAnsi="Times New Roman" w:cs="Times New Roman"/>
          <w:sz w:val="24"/>
          <w:szCs w:val="24"/>
        </w:rPr>
        <w:t>.</w:t>
      </w:r>
      <w:r w:rsidR="00357040">
        <w:rPr>
          <w:rFonts w:ascii="Times New Roman" w:hAnsi="Times New Roman" w:cs="Times New Roman"/>
          <w:sz w:val="24"/>
          <w:szCs w:val="24"/>
        </w:rPr>
        <w:t>{Groff, 2013 #60}</w:t>
      </w:r>
    </w:p>
    <w:p w14:paraId="4B9083E9" w14:textId="3B1E8BEB" w:rsidR="00B55E22" w:rsidRPr="00773D5A" w:rsidRDefault="00DF3E2F" w:rsidP="005D199F">
      <w:pPr>
        <w:pStyle w:val="NoSpacing"/>
        <w:ind w:firstLine="720"/>
        <w:jc w:val="both"/>
        <w:rPr>
          <w:rFonts w:ascii="Times New Roman" w:hAnsi="Times New Roman" w:cs="Times New Roman"/>
          <w:sz w:val="24"/>
          <w:szCs w:val="24"/>
          <w:highlight w:val="yellow"/>
        </w:rPr>
      </w:pPr>
      <w:r>
        <w:rPr>
          <w:rFonts w:ascii="Times New Roman" w:hAnsi="Times New Roman" w:cs="Times New Roman"/>
          <w:sz w:val="24"/>
          <w:szCs w:val="24"/>
        </w:rPr>
        <w:t>Here, we investigate the effects of solvent-in</w:t>
      </w:r>
      <w:r w:rsidR="00DA438A">
        <w:rPr>
          <w:rFonts w:ascii="Times New Roman" w:hAnsi="Times New Roman" w:cs="Times New Roman"/>
          <w:sz w:val="24"/>
          <w:szCs w:val="24"/>
        </w:rPr>
        <w:t>duced swelling on the excited state dynamics</w:t>
      </w:r>
      <w:r w:rsidR="00F205CE">
        <w:rPr>
          <w:rFonts w:ascii="Times New Roman" w:hAnsi="Times New Roman" w:cs="Times New Roman"/>
          <w:sz w:val="24"/>
          <w:szCs w:val="24"/>
        </w:rPr>
        <w:t xml:space="preserve"> in CPNs,</w:t>
      </w:r>
      <w:r w:rsidR="00B47503">
        <w:rPr>
          <w:rFonts w:ascii="Times New Roman" w:hAnsi="Times New Roman" w:cs="Times New Roman"/>
          <w:sz w:val="24"/>
          <w:szCs w:val="24"/>
        </w:rPr>
        <w:t xml:space="preserve"> </w:t>
      </w:r>
      <w:r w:rsidR="00DB5518">
        <w:rPr>
          <w:rFonts w:ascii="Times New Roman" w:hAnsi="Times New Roman" w:cs="Times New Roman"/>
          <w:sz w:val="24"/>
          <w:szCs w:val="24"/>
        </w:rPr>
        <w:t xml:space="preserve">using </w:t>
      </w:r>
      <w:r>
        <w:rPr>
          <w:rFonts w:ascii="Times New Roman" w:hAnsi="Times New Roman" w:cs="Times New Roman"/>
          <w:sz w:val="24"/>
          <w:szCs w:val="24"/>
        </w:rPr>
        <w:t xml:space="preserve">steady-state and time-resolved </w:t>
      </w:r>
      <w:r w:rsidR="005D199F">
        <w:rPr>
          <w:rFonts w:ascii="Times New Roman" w:hAnsi="Times New Roman" w:cs="Times New Roman"/>
          <w:sz w:val="24"/>
          <w:szCs w:val="24"/>
        </w:rPr>
        <w:t>fluorescence spectroscopy</w:t>
      </w:r>
      <w:r w:rsidR="00DB5518">
        <w:rPr>
          <w:rFonts w:ascii="Times New Roman" w:hAnsi="Times New Roman" w:cs="Times New Roman"/>
          <w:sz w:val="24"/>
          <w:szCs w:val="24"/>
        </w:rPr>
        <w:t xml:space="preserve"> to develop and test</w:t>
      </w:r>
      <w:r w:rsidR="00F205CE">
        <w:rPr>
          <w:rFonts w:ascii="Times New Roman" w:hAnsi="Times New Roman" w:cs="Times New Roman"/>
          <w:sz w:val="24"/>
          <w:szCs w:val="24"/>
        </w:rPr>
        <w:t xml:space="preserve"> </w:t>
      </w:r>
      <w:r w:rsidR="00DB5518">
        <w:rPr>
          <w:rFonts w:ascii="Times New Roman" w:hAnsi="Times New Roman" w:cs="Times New Roman"/>
          <w:sz w:val="24"/>
          <w:szCs w:val="24"/>
        </w:rPr>
        <w:t xml:space="preserve">a </w:t>
      </w:r>
      <w:r w:rsidR="00F205CE">
        <w:rPr>
          <w:rFonts w:ascii="Times New Roman" w:hAnsi="Times New Roman" w:cs="Times New Roman"/>
          <w:sz w:val="24"/>
          <w:szCs w:val="24"/>
        </w:rPr>
        <w:t>multiple energy transfer model</w:t>
      </w:r>
      <w:r w:rsidR="00DA438A">
        <w:rPr>
          <w:rFonts w:ascii="Times New Roman" w:hAnsi="Times New Roman" w:cs="Times New Roman"/>
          <w:sz w:val="24"/>
          <w:szCs w:val="24"/>
        </w:rPr>
        <w:t xml:space="preserve"> and thus gain a clearer picture</w:t>
      </w:r>
      <w:r w:rsidR="00DB5518">
        <w:rPr>
          <w:rFonts w:ascii="Times New Roman" w:hAnsi="Times New Roman" w:cs="Times New Roman"/>
          <w:sz w:val="24"/>
          <w:szCs w:val="24"/>
        </w:rPr>
        <w:t xml:space="preserve"> of the interplay of the various </w:t>
      </w:r>
      <w:r w:rsidR="00DA438A">
        <w:rPr>
          <w:rFonts w:ascii="Times New Roman" w:hAnsi="Times New Roman" w:cs="Times New Roman"/>
          <w:sz w:val="24"/>
          <w:szCs w:val="24"/>
        </w:rPr>
        <w:t xml:space="preserve">species and </w:t>
      </w:r>
      <w:r w:rsidR="00DB5518">
        <w:rPr>
          <w:rFonts w:ascii="Times New Roman" w:hAnsi="Times New Roman" w:cs="Times New Roman"/>
          <w:sz w:val="24"/>
          <w:szCs w:val="24"/>
        </w:rPr>
        <w:t xml:space="preserve">processes that determine the optical properties </w:t>
      </w:r>
      <w:r w:rsidR="00D96EA6">
        <w:rPr>
          <w:rFonts w:ascii="Times New Roman" w:hAnsi="Times New Roman" w:cs="Times New Roman"/>
          <w:sz w:val="24"/>
          <w:szCs w:val="24"/>
        </w:rPr>
        <w:t xml:space="preserve">and excited state dynamics </w:t>
      </w:r>
      <w:r w:rsidR="00DB5518">
        <w:rPr>
          <w:rFonts w:ascii="Times New Roman" w:hAnsi="Times New Roman" w:cs="Times New Roman"/>
          <w:sz w:val="24"/>
          <w:szCs w:val="24"/>
        </w:rPr>
        <w:t>of CPNs</w:t>
      </w:r>
      <w:r>
        <w:rPr>
          <w:rFonts w:ascii="Times New Roman" w:hAnsi="Times New Roman" w:cs="Times New Roman"/>
          <w:sz w:val="24"/>
          <w:szCs w:val="24"/>
        </w:rPr>
        <w:t>.</w:t>
      </w:r>
      <w:r w:rsidR="005D199F">
        <w:rPr>
          <w:rFonts w:ascii="Times New Roman" w:hAnsi="Times New Roman" w:cs="Times New Roman"/>
          <w:sz w:val="24"/>
          <w:szCs w:val="24"/>
        </w:rPr>
        <w:t xml:space="preserve"> We previously employed a similar approach </w:t>
      </w:r>
      <w:r w:rsidR="00F3181B">
        <w:rPr>
          <w:rFonts w:ascii="Times New Roman" w:hAnsi="Times New Roman" w:cs="Times New Roman"/>
          <w:sz w:val="24"/>
          <w:szCs w:val="24"/>
        </w:rPr>
        <w:t xml:space="preserve">to </w:t>
      </w:r>
      <w:r w:rsidR="000468B1" w:rsidRPr="000468B1">
        <w:rPr>
          <w:rFonts w:ascii="Times New Roman" w:hAnsi="Times New Roman" w:cs="Times New Roman"/>
          <w:sz w:val="24"/>
          <w:szCs w:val="24"/>
        </w:rPr>
        <w:t>determine</w:t>
      </w:r>
      <w:r w:rsidR="00F3181B">
        <w:rPr>
          <w:rFonts w:ascii="Times New Roman" w:hAnsi="Times New Roman" w:cs="Times New Roman"/>
          <w:sz w:val="24"/>
          <w:szCs w:val="24"/>
        </w:rPr>
        <w:t xml:space="preserve"> th</w:t>
      </w:r>
      <w:r w:rsidR="000C20EE">
        <w:rPr>
          <w:rFonts w:ascii="Times New Roman" w:hAnsi="Times New Roman" w:cs="Times New Roman"/>
          <w:sz w:val="24"/>
          <w:szCs w:val="24"/>
        </w:rPr>
        <w:t>e length scale of exciton diffusion</w:t>
      </w:r>
      <w:r w:rsidR="00F3181B">
        <w:rPr>
          <w:rFonts w:ascii="Times New Roman" w:hAnsi="Times New Roman" w:cs="Times New Roman"/>
          <w:sz w:val="24"/>
          <w:szCs w:val="24"/>
        </w:rPr>
        <w:t xml:space="preserve"> </w:t>
      </w:r>
      <w:r w:rsidR="000C20EE">
        <w:rPr>
          <w:rFonts w:ascii="Times New Roman" w:hAnsi="Times New Roman" w:cs="Times New Roman"/>
          <w:sz w:val="24"/>
          <w:szCs w:val="24"/>
        </w:rPr>
        <w:t>in dye-doped CPNs</w:t>
      </w:r>
      <w:r w:rsidR="00F3181B">
        <w:rPr>
          <w:rFonts w:ascii="Times New Roman" w:hAnsi="Times New Roman" w:cs="Times New Roman"/>
          <w:sz w:val="24"/>
          <w:szCs w:val="24"/>
        </w:rPr>
        <w:t>.</w:t>
      </w:r>
      <w:r w:rsidR="00357040">
        <w:rPr>
          <w:rFonts w:ascii="Times New Roman" w:hAnsi="Times New Roman" w:cs="Times New Roman"/>
          <w:sz w:val="24"/>
          <w:szCs w:val="24"/>
        </w:rPr>
        <w:t>{Groff, 2013 #60}</w:t>
      </w:r>
      <w:r>
        <w:rPr>
          <w:rFonts w:ascii="Times New Roman" w:hAnsi="Times New Roman" w:cs="Times New Roman"/>
          <w:sz w:val="24"/>
          <w:szCs w:val="24"/>
        </w:rPr>
        <w:t xml:space="preserve"> </w:t>
      </w:r>
      <w:r w:rsidR="002711B5">
        <w:rPr>
          <w:rFonts w:ascii="Times New Roman" w:hAnsi="Times New Roman" w:cs="Times New Roman"/>
          <w:sz w:val="24"/>
          <w:szCs w:val="24"/>
        </w:rPr>
        <w:t>Particle swelling increases</w:t>
      </w:r>
      <w:r w:rsidR="00253D7E">
        <w:rPr>
          <w:rFonts w:ascii="Times New Roman" w:hAnsi="Times New Roman" w:cs="Times New Roman"/>
          <w:sz w:val="24"/>
          <w:szCs w:val="24"/>
        </w:rPr>
        <w:t xml:space="preserve"> </w:t>
      </w:r>
      <w:r w:rsidR="007A4C55">
        <w:rPr>
          <w:rFonts w:ascii="Times New Roman" w:hAnsi="Times New Roman" w:cs="Times New Roman"/>
          <w:sz w:val="24"/>
          <w:szCs w:val="24"/>
        </w:rPr>
        <w:t>the inter-chromophore distance</w:t>
      </w:r>
      <w:r w:rsidR="002711B5">
        <w:rPr>
          <w:rFonts w:ascii="Times New Roman" w:hAnsi="Times New Roman" w:cs="Times New Roman"/>
          <w:sz w:val="24"/>
          <w:szCs w:val="24"/>
        </w:rPr>
        <w:t>, causing</w:t>
      </w:r>
      <w:r w:rsidR="009413AC">
        <w:rPr>
          <w:rFonts w:ascii="Times New Roman" w:hAnsi="Times New Roman" w:cs="Times New Roman"/>
          <w:sz w:val="24"/>
          <w:szCs w:val="24"/>
        </w:rPr>
        <w:t xml:space="preserve"> a reduction in the rate of multiple energy transfer</w:t>
      </w:r>
      <w:r w:rsidR="002711B5">
        <w:rPr>
          <w:rFonts w:ascii="Times New Roman" w:hAnsi="Times New Roman" w:cs="Times New Roman"/>
          <w:sz w:val="24"/>
          <w:szCs w:val="24"/>
        </w:rPr>
        <w:t xml:space="preserve"> and thus a reduction in the quenching efficiency</w:t>
      </w:r>
      <w:r w:rsidR="00EF56C8">
        <w:rPr>
          <w:rFonts w:ascii="Times New Roman" w:hAnsi="Times New Roman" w:cs="Times New Roman"/>
          <w:sz w:val="24"/>
          <w:szCs w:val="24"/>
        </w:rPr>
        <w:t xml:space="preserve"> and an increase in the excited state lifetime.</w:t>
      </w:r>
      <w:r w:rsidR="009413AC">
        <w:rPr>
          <w:rFonts w:ascii="Times New Roman" w:hAnsi="Times New Roman" w:cs="Times New Roman"/>
          <w:sz w:val="24"/>
          <w:szCs w:val="24"/>
        </w:rPr>
        <w:t xml:space="preserve"> </w:t>
      </w:r>
      <w:r w:rsidR="00EF56C8">
        <w:rPr>
          <w:rFonts w:ascii="Times New Roman" w:hAnsi="Times New Roman" w:cs="Times New Roman"/>
          <w:sz w:val="24"/>
          <w:szCs w:val="24"/>
        </w:rPr>
        <w:t xml:space="preserve">By </w:t>
      </w:r>
      <w:r w:rsidR="00F205CE">
        <w:rPr>
          <w:rFonts w:ascii="Times New Roman" w:hAnsi="Times New Roman" w:cs="Times New Roman"/>
          <w:sz w:val="24"/>
          <w:szCs w:val="24"/>
        </w:rPr>
        <w:t>fitting parameters of a multiple energy transfer model to</w:t>
      </w:r>
      <w:r w:rsidR="00FB0EAB">
        <w:rPr>
          <w:rFonts w:ascii="Times New Roman" w:hAnsi="Times New Roman" w:cs="Times New Roman"/>
          <w:sz w:val="24"/>
          <w:szCs w:val="24"/>
        </w:rPr>
        <w:t xml:space="preserve"> picosecond</w:t>
      </w:r>
      <w:r w:rsidR="001240B9">
        <w:rPr>
          <w:rFonts w:ascii="Times New Roman" w:hAnsi="Times New Roman" w:cs="Times New Roman"/>
          <w:sz w:val="24"/>
          <w:szCs w:val="24"/>
        </w:rPr>
        <w:t xml:space="preserve"> fluorescence anisotropy decay</w:t>
      </w:r>
      <w:r w:rsidR="00AF754A">
        <w:rPr>
          <w:rFonts w:ascii="Times New Roman" w:hAnsi="Times New Roman" w:cs="Times New Roman"/>
          <w:sz w:val="24"/>
          <w:szCs w:val="24"/>
        </w:rPr>
        <w:t xml:space="preserve"> </w:t>
      </w:r>
      <w:r w:rsidR="00EF56C8">
        <w:rPr>
          <w:rFonts w:ascii="Times New Roman" w:hAnsi="Times New Roman" w:cs="Times New Roman"/>
          <w:sz w:val="24"/>
          <w:szCs w:val="24"/>
        </w:rPr>
        <w:t>results</w:t>
      </w:r>
      <w:r w:rsidR="00E11CF2">
        <w:rPr>
          <w:rFonts w:ascii="Times New Roman" w:hAnsi="Times New Roman" w:cs="Times New Roman"/>
          <w:sz w:val="24"/>
          <w:szCs w:val="24"/>
        </w:rPr>
        <w:t xml:space="preserve">, we </w:t>
      </w:r>
      <w:r w:rsidR="00231F52">
        <w:rPr>
          <w:rFonts w:ascii="Times New Roman" w:hAnsi="Times New Roman" w:cs="Times New Roman"/>
          <w:sz w:val="24"/>
          <w:szCs w:val="24"/>
        </w:rPr>
        <w:t>obtain an approximate picture of the characteristic leng</w:t>
      </w:r>
      <w:r w:rsidR="00F205CE">
        <w:rPr>
          <w:rFonts w:ascii="Times New Roman" w:hAnsi="Times New Roman" w:cs="Times New Roman"/>
          <w:sz w:val="24"/>
          <w:szCs w:val="24"/>
        </w:rPr>
        <w:t xml:space="preserve">th scale and time scale of energy </w:t>
      </w:r>
      <w:r w:rsidR="00231F52">
        <w:rPr>
          <w:rFonts w:ascii="Times New Roman" w:hAnsi="Times New Roman" w:cs="Times New Roman"/>
          <w:sz w:val="24"/>
          <w:szCs w:val="24"/>
        </w:rPr>
        <w:t>transfer</w:t>
      </w:r>
      <w:r w:rsidR="00F205CE">
        <w:rPr>
          <w:rFonts w:ascii="Times New Roman" w:hAnsi="Times New Roman" w:cs="Times New Roman"/>
          <w:sz w:val="24"/>
          <w:szCs w:val="24"/>
        </w:rPr>
        <w:t xml:space="preserve"> between pairs of like chromophores (homo-transfer)</w:t>
      </w:r>
      <w:r w:rsidR="00E04265">
        <w:rPr>
          <w:rFonts w:ascii="Times New Roman" w:hAnsi="Times New Roman" w:cs="Times New Roman"/>
          <w:sz w:val="24"/>
          <w:szCs w:val="24"/>
        </w:rPr>
        <w:t xml:space="preserve"> as well as how the </w:t>
      </w:r>
      <w:r w:rsidR="00CA2C06">
        <w:rPr>
          <w:rFonts w:ascii="Times New Roman" w:hAnsi="Times New Roman" w:cs="Times New Roman"/>
          <w:sz w:val="24"/>
          <w:szCs w:val="24"/>
        </w:rPr>
        <w:t>energy transfer cascade is modulated by swelling</w:t>
      </w:r>
      <w:r w:rsidR="00231F52">
        <w:rPr>
          <w:rFonts w:ascii="Times New Roman" w:hAnsi="Times New Roman" w:cs="Times New Roman"/>
          <w:sz w:val="24"/>
          <w:szCs w:val="24"/>
        </w:rPr>
        <w:t>.</w:t>
      </w:r>
      <w:r w:rsidR="00AF754A">
        <w:rPr>
          <w:rFonts w:ascii="Times New Roman" w:hAnsi="Times New Roman" w:cs="Times New Roman"/>
          <w:sz w:val="24"/>
          <w:szCs w:val="24"/>
        </w:rPr>
        <w:t xml:space="preserve"> </w:t>
      </w:r>
      <w:r w:rsidR="00326C94">
        <w:rPr>
          <w:rFonts w:ascii="Times New Roman" w:hAnsi="Times New Roman" w:cs="Times New Roman"/>
          <w:sz w:val="24"/>
          <w:szCs w:val="24"/>
        </w:rPr>
        <w:t xml:space="preserve">The </w:t>
      </w:r>
      <w:r w:rsidR="00072D6C">
        <w:rPr>
          <w:rFonts w:ascii="Times New Roman" w:hAnsi="Times New Roman" w:cs="Times New Roman"/>
          <w:sz w:val="24"/>
          <w:szCs w:val="24"/>
        </w:rPr>
        <w:t>agreement with model predictions</w:t>
      </w:r>
      <w:r w:rsidR="00326C94">
        <w:rPr>
          <w:rFonts w:ascii="Times New Roman" w:hAnsi="Times New Roman" w:cs="Times New Roman"/>
          <w:sz w:val="24"/>
          <w:szCs w:val="24"/>
        </w:rPr>
        <w:t xml:space="preserve"> over a broad r</w:t>
      </w:r>
      <w:r w:rsidR="005D7F68">
        <w:rPr>
          <w:rFonts w:ascii="Times New Roman" w:hAnsi="Times New Roman" w:cs="Times New Roman"/>
          <w:sz w:val="24"/>
          <w:szCs w:val="24"/>
        </w:rPr>
        <w:t>ange of swelling supports the proposed multiple energy transfer pict</w:t>
      </w:r>
      <w:r w:rsidR="00CA2C06">
        <w:rPr>
          <w:rFonts w:ascii="Times New Roman" w:hAnsi="Times New Roman" w:cs="Times New Roman"/>
          <w:sz w:val="24"/>
          <w:szCs w:val="24"/>
        </w:rPr>
        <w:t>ure. The comparison of</w:t>
      </w:r>
      <w:r w:rsidR="007A38AC">
        <w:rPr>
          <w:rFonts w:ascii="Times New Roman" w:hAnsi="Times New Roman" w:cs="Times New Roman"/>
          <w:sz w:val="24"/>
          <w:szCs w:val="24"/>
        </w:rPr>
        <w:t xml:space="preserve"> results </w:t>
      </w:r>
      <w:r w:rsidR="00CA2C06">
        <w:rPr>
          <w:rFonts w:ascii="Times New Roman" w:hAnsi="Times New Roman" w:cs="Times New Roman"/>
          <w:sz w:val="24"/>
          <w:szCs w:val="24"/>
        </w:rPr>
        <w:t xml:space="preserve">from two different polymers </w:t>
      </w:r>
      <w:r w:rsidR="007A38AC">
        <w:rPr>
          <w:rFonts w:ascii="Times New Roman" w:hAnsi="Times New Roman" w:cs="Times New Roman"/>
          <w:sz w:val="24"/>
          <w:szCs w:val="24"/>
        </w:rPr>
        <w:t>suggests that higher rates of</w:t>
      </w:r>
      <w:r w:rsidR="007A0D8C" w:rsidRPr="001240B9">
        <w:rPr>
          <w:rFonts w:ascii="Times New Roman" w:hAnsi="Times New Roman" w:cs="Times New Roman"/>
          <w:sz w:val="24"/>
          <w:szCs w:val="24"/>
        </w:rPr>
        <w:t xml:space="preserve"> </w:t>
      </w:r>
      <w:r w:rsidR="005D7F68">
        <w:rPr>
          <w:rFonts w:ascii="Times New Roman" w:hAnsi="Times New Roman" w:cs="Times New Roman"/>
          <w:sz w:val="24"/>
          <w:szCs w:val="24"/>
        </w:rPr>
        <w:t>homo-transfer</w:t>
      </w:r>
      <w:r w:rsidR="007A38AC">
        <w:rPr>
          <w:rFonts w:ascii="Times New Roman" w:hAnsi="Times New Roman" w:cs="Times New Roman"/>
          <w:sz w:val="24"/>
          <w:szCs w:val="24"/>
        </w:rPr>
        <w:t xml:space="preserve">, which is sometimes desired (e.g., to improve exciton </w:t>
      </w:r>
      <w:r w:rsidR="00F871AC">
        <w:rPr>
          <w:rFonts w:ascii="Times New Roman" w:hAnsi="Times New Roman" w:cs="Times New Roman"/>
          <w:sz w:val="24"/>
          <w:szCs w:val="24"/>
        </w:rPr>
        <w:t>transpo</w:t>
      </w:r>
      <w:r w:rsidR="006805BA">
        <w:rPr>
          <w:rFonts w:ascii="Times New Roman" w:hAnsi="Times New Roman" w:cs="Times New Roman"/>
          <w:sz w:val="24"/>
          <w:szCs w:val="24"/>
        </w:rPr>
        <w:t>rt in photovoltaics, or for some sensor schemes</w:t>
      </w:r>
      <w:r w:rsidR="00F871AC">
        <w:rPr>
          <w:rFonts w:ascii="Times New Roman" w:hAnsi="Times New Roman" w:cs="Times New Roman"/>
          <w:sz w:val="24"/>
          <w:szCs w:val="24"/>
        </w:rPr>
        <w:t>)</w:t>
      </w:r>
      <w:r w:rsidR="009A1E2F">
        <w:rPr>
          <w:rFonts w:ascii="Times New Roman" w:hAnsi="Times New Roman" w:cs="Times New Roman"/>
          <w:sz w:val="24"/>
          <w:szCs w:val="24"/>
        </w:rPr>
        <w:t xml:space="preserve"> </w:t>
      </w:r>
      <w:r w:rsidR="00F871AC">
        <w:rPr>
          <w:rFonts w:ascii="Times New Roman" w:hAnsi="Times New Roman" w:cs="Times New Roman"/>
          <w:sz w:val="24"/>
          <w:szCs w:val="24"/>
        </w:rPr>
        <w:t xml:space="preserve">comes at the price of reduced </w:t>
      </w:r>
      <w:r w:rsidR="008B5B97">
        <w:rPr>
          <w:rFonts w:ascii="Times New Roman" w:hAnsi="Times New Roman" w:cs="Times New Roman"/>
          <w:sz w:val="24"/>
          <w:szCs w:val="24"/>
        </w:rPr>
        <w:t>fluorescence quantum yield</w:t>
      </w:r>
      <w:r w:rsidR="006805BA">
        <w:rPr>
          <w:rFonts w:ascii="Times New Roman" w:hAnsi="Times New Roman" w:cs="Times New Roman"/>
          <w:sz w:val="24"/>
          <w:szCs w:val="24"/>
        </w:rPr>
        <w:t xml:space="preserve"> due to increased quenching by defects</w:t>
      </w:r>
      <w:r w:rsidR="00B14F9E">
        <w:rPr>
          <w:rFonts w:ascii="Times New Roman" w:hAnsi="Times New Roman" w:cs="Times New Roman"/>
          <w:sz w:val="24"/>
          <w:szCs w:val="24"/>
        </w:rPr>
        <w:t>. This provides a possible expla</w:t>
      </w:r>
      <w:r w:rsidR="008B5B97">
        <w:rPr>
          <w:rFonts w:ascii="Times New Roman" w:hAnsi="Times New Roman" w:cs="Times New Roman"/>
          <w:sz w:val="24"/>
          <w:szCs w:val="24"/>
        </w:rPr>
        <w:t xml:space="preserve">nation for the large </w:t>
      </w:r>
      <w:r w:rsidR="001B3C35">
        <w:rPr>
          <w:rFonts w:ascii="Times New Roman" w:hAnsi="Times New Roman" w:cs="Times New Roman"/>
          <w:sz w:val="24"/>
          <w:szCs w:val="24"/>
        </w:rPr>
        <w:t>reduction in</w:t>
      </w:r>
      <w:r w:rsidR="00B14F9E">
        <w:rPr>
          <w:rFonts w:ascii="Times New Roman" w:hAnsi="Times New Roman" w:cs="Times New Roman"/>
          <w:sz w:val="24"/>
          <w:szCs w:val="24"/>
        </w:rPr>
        <w:t xml:space="preserve"> fluorescence quantum yield </w:t>
      </w:r>
      <w:r w:rsidR="006805BA">
        <w:rPr>
          <w:rFonts w:ascii="Times New Roman" w:hAnsi="Times New Roman" w:cs="Times New Roman"/>
          <w:sz w:val="24"/>
          <w:szCs w:val="24"/>
        </w:rPr>
        <w:t xml:space="preserve">often </w:t>
      </w:r>
      <w:r w:rsidR="00B14F9E">
        <w:rPr>
          <w:rFonts w:ascii="Times New Roman" w:hAnsi="Times New Roman" w:cs="Times New Roman"/>
          <w:sz w:val="24"/>
          <w:szCs w:val="24"/>
        </w:rPr>
        <w:t>observed f</w:t>
      </w:r>
      <w:r w:rsidR="001B3C35">
        <w:rPr>
          <w:rFonts w:ascii="Times New Roman" w:hAnsi="Times New Roman" w:cs="Times New Roman"/>
          <w:sz w:val="24"/>
          <w:szCs w:val="24"/>
        </w:rPr>
        <w:t>or some</w:t>
      </w:r>
      <w:r w:rsidR="008B5B97">
        <w:rPr>
          <w:rFonts w:ascii="Times New Roman" w:hAnsi="Times New Roman" w:cs="Times New Roman"/>
          <w:sz w:val="24"/>
          <w:szCs w:val="24"/>
        </w:rPr>
        <w:t xml:space="preserve"> conjugated polymer films and particl</w:t>
      </w:r>
      <w:r w:rsidR="001B3C35">
        <w:rPr>
          <w:rFonts w:ascii="Times New Roman" w:hAnsi="Times New Roman" w:cs="Times New Roman"/>
          <w:sz w:val="24"/>
          <w:szCs w:val="24"/>
        </w:rPr>
        <w:t>es as compared to the free polymer</w:t>
      </w:r>
      <w:r w:rsidR="006805BA">
        <w:rPr>
          <w:rFonts w:ascii="Times New Roman" w:hAnsi="Times New Roman" w:cs="Times New Roman"/>
          <w:sz w:val="24"/>
          <w:szCs w:val="24"/>
        </w:rPr>
        <w:t xml:space="preserve"> in solution</w:t>
      </w:r>
      <w:r w:rsidR="00B14F9E">
        <w:rPr>
          <w:rFonts w:ascii="Times New Roman" w:hAnsi="Times New Roman" w:cs="Times New Roman"/>
          <w:sz w:val="24"/>
          <w:szCs w:val="24"/>
        </w:rPr>
        <w:t>.</w:t>
      </w:r>
      <w:r w:rsidR="007A0D8C">
        <w:rPr>
          <w:rFonts w:ascii="Times New Roman" w:hAnsi="Times New Roman" w:cs="Times New Roman"/>
          <w:sz w:val="24"/>
          <w:szCs w:val="24"/>
        </w:rPr>
        <w:t xml:space="preserve"> </w:t>
      </w:r>
      <w:r w:rsidR="00D96EA6">
        <w:rPr>
          <w:rFonts w:ascii="Times New Roman" w:hAnsi="Times New Roman" w:cs="Times New Roman"/>
          <w:sz w:val="24"/>
          <w:szCs w:val="24"/>
        </w:rPr>
        <w:t xml:space="preserve">On the basis of this picture, we suggest that in some cases, the optical properties </w:t>
      </w:r>
      <w:r w:rsidR="004D5899">
        <w:rPr>
          <w:rFonts w:ascii="Times New Roman" w:hAnsi="Times New Roman" w:cs="Times New Roman"/>
          <w:sz w:val="24"/>
          <w:szCs w:val="24"/>
        </w:rPr>
        <w:t xml:space="preserve">CP films and particles </w:t>
      </w:r>
      <w:r w:rsidR="00D96EA6">
        <w:rPr>
          <w:rFonts w:ascii="Times New Roman" w:hAnsi="Times New Roman" w:cs="Times New Roman"/>
          <w:sz w:val="24"/>
          <w:szCs w:val="24"/>
        </w:rPr>
        <w:t xml:space="preserve">can be improved by interfering with the multiple energy transfer cascade, either by competitive energy transfer or by </w:t>
      </w:r>
      <w:r w:rsidR="004D5899">
        <w:rPr>
          <w:rFonts w:ascii="Times New Roman" w:hAnsi="Times New Roman" w:cs="Times New Roman"/>
          <w:sz w:val="24"/>
          <w:szCs w:val="24"/>
        </w:rPr>
        <w:t xml:space="preserve">increasing </w:t>
      </w:r>
      <w:proofErr w:type="spellStart"/>
      <w:r w:rsidR="004D5899">
        <w:rPr>
          <w:rFonts w:ascii="Times New Roman" w:hAnsi="Times New Roman" w:cs="Times New Roman"/>
          <w:sz w:val="24"/>
          <w:szCs w:val="24"/>
        </w:rPr>
        <w:t>interchromophore</w:t>
      </w:r>
      <w:proofErr w:type="spellEnd"/>
      <w:r w:rsidR="004D5899">
        <w:rPr>
          <w:rFonts w:ascii="Times New Roman" w:hAnsi="Times New Roman" w:cs="Times New Roman"/>
          <w:sz w:val="24"/>
          <w:szCs w:val="24"/>
        </w:rPr>
        <w:t xml:space="preserve"> spacing.</w:t>
      </w:r>
      <w:r w:rsidR="00D96EA6">
        <w:rPr>
          <w:rFonts w:ascii="Times New Roman" w:hAnsi="Times New Roman" w:cs="Times New Roman"/>
          <w:sz w:val="24"/>
          <w:szCs w:val="24"/>
        </w:rPr>
        <w:t xml:space="preserve"> </w:t>
      </w:r>
    </w:p>
    <w:p w14:paraId="1E12808B" w14:textId="77777777" w:rsidR="004D5899" w:rsidRDefault="004D5899" w:rsidP="00551E65">
      <w:pPr>
        <w:pStyle w:val="NoSpacing"/>
        <w:spacing w:line="480" w:lineRule="auto"/>
        <w:rPr>
          <w:rFonts w:ascii="Times New Roman" w:hAnsi="Times New Roman" w:cs="Times New Roman"/>
          <w:b/>
          <w:sz w:val="24"/>
          <w:szCs w:val="24"/>
        </w:rPr>
      </w:pP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1F6A2331" w:rsidR="00D43EBF" w:rsidRDefault="00551E65" w:rsidP="001B3C35">
      <w:pPr>
        <w:pStyle w:val="Default"/>
        <w:ind w:firstLine="720"/>
        <w:jc w:val="both"/>
      </w:pPr>
      <w:r w:rsidRPr="000D0E8B">
        <w:rPr>
          <w:b/>
          <w:bCs/>
        </w:rPr>
        <w:t xml:space="preserve">Materials.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 xml:space="preserve">The fluorescent dye fluorescein was purchased from Life Technologies (Invitrogen, </w:t>
      </w:r>
      <w:r w:rsidR="008C45F6">
        <w:t>Grand Island, NY</w:t>
      </w:r>
      <w:r w:rsidRPr="000D0E8B">
        <w:t>).</w:t>
      </w:r>
      <w:r w:rsidR="000D0E8B" w:rsidRPr="000D0E8B">
        <w:t xml:space="preserve"> The </w:t>
      </w:r>
      <w:r w:rsidR="000D0E8B">
        <w:t>fluorescent dye Lucifer Yellow CH dipotassium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2B305F4E" w:rsidR="009B6506" w:rsidRDefault="00D43EBF" w:rsidP="006C1D84">
      <w:pPr>
        <w:pStyle w:val="Default"/>
        <w:ind w:firstLine="720"/>
        <w:jc w:val="both"/>
      </w:pPr>
      <w:r>
        <w:rPr>
          <w:b/>
        </w:rPr>
        <w:t xml:space="preserve">Nanoparticle Preparation.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proofErr w:type="gramStart"/>
      <w:r w:rsidR="009B6506">
        <w:t>.</w:t>
      </w:r>
      <w:r w:rsidR="00357040">
        <w:t>{</w:t>
      </w:r>
      <w:proofErr w:type="gramEnd"/>
      <w:r w:rsidR="00357040">
        <w:t>Szymanski, 2005 #42}</w:t>
      </w:r>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 xml:space="preserve">under nitrogen flow for 8 hours at room temperature in order to remove </w:t>
      </w:r>
      <w:r w:rsidR="00C17C34">
        <w:lastRenderedPageBreak/>
        <w:t>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samples were </w:t>
      </w:r>
      <w:r w:rsidR="000D722E" w:rsidRPr="007C68EE">
        <w:t xml:space="preserve">evaporated under vacuum in a </w:t>
      </w:r>
      <w:r w:rsidR="007C68EE" w:rsidRPr="007C68EE">
        <w:t>vacuum oven at room temperature</w:t>
      </w:r>
      <w:r w:rsidR="000D722E">
        <w:t xml:space="preserve"> </w:t>
      </w:r>
      <w:r w:rsidR="00C17C34">
        <w:t>using a two-stage rotary vane pump</w:t>
      </w:r>
      <w:r w:rsidR="008C1A8F">
        <w:t xml:space="preserve"> </w:t>
      </w:r>
      <w:r w:rsidR="008C1A8F" w:rsidRPr="007C68EE">
        <w:t xml:space="preserve">with a base pressure of </w:t>
      </w:r>
      <w:r w:rsidR="00596146" w:rsidRPr="007C68EE">
        <w:t>~</w:t>
      </w:r>
      <w:r w:rsidR="007C68EE" w:rsidRPr="007C68EE">
        <w:t xml:space="preserve">10 </w:t>
      </w:r>
      <w:proofErr w:type="spellStart"/>
      <w:r w:rsidR="007C68EE" w:rsidRPr="007C68EE">
        <w:t>torr</w:t>
      </w:r>
      <w:proofErr w:type="spellEnd"/>
      <w:r w:rsidR="00C17C34">
        <w:t>.</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w:t>
      </w:r>
      <w:r w:rsidR="00B32988" w:rsidRPr="007D15BE">
        <w:t xml:space="preserve">typically </w:t>
      </w:r>
      <w:r w:rsidR="00961D88" w:rsidRPr="007D15BE">
        <w:t xml:space="preserve">reduced by </w:t>
      </w:r>
      <w:r w:rsidR="007D15BE" w:rsidRPr="007D15BE">
        <w:t>60</w:t>
      </w:r>
      <w:r w:rsidR="00961D88" w:rsidRPr="007D15BE">
        <w:t>% during the vacuum evaporation process</w:t>
      </w:r>
      <w:r w:rsidR="00072D6C">
        <w:t xml:space="preserve">. A </w:t>
      </w:r>
      <w:proofErr w:type="spellStart"/>
      <w:r w:rsidR="00072D6C">
        <w:t>Raoult’s</w:t>
      </w:r>
      <w:proofErr w:type="spellEnd"/>
      <w:r w:rsidR="00072D6C">
        <w:t xml:space="preserve"> Law calculation</w:t>
      </w:r>
      <w:r w:rsidR="007C68EE">
        <w:t xml:space="preserve"> </w:t>
      </w:r>
      <w:r w:rsidR="00072D6C">
        <w:t xml:space="preserve">indicates </w:t>
      </w:r>
      <w:r w:rsidR="007C68EE">
        <w:t>that &lt;1% THF remains in solution at ~40% volume loss</w:t>
      </w:r>
      <w:r w:rsidR="00961D88" w:rsidRPr="007D15BE">
        <w:t>.</w:t>
      </w:r>
      <w:r w:rsidR="00D461B4">
        <w:t xml:space="preserve"> No residual THF odor was detected in the aqueous samples.</w:t>
      </w:r>
      <w:r w:rsidR="00341835">
        <w:t xml:space="preserve"> </w:t>
      </w:r>
      <w:r w:rsidR="00596146" w:rsidRPr="00341835">
        <w:t>Also, at this point, further evaporation yielded no change in the fluoresc</w:t>
      </w:r>
      <w:r w:rsidR="00341835" w:rsidRPr="00341835">
        <w:t>ence spectrum or quantum yield</w:t>
      </w:r>
      <w:r w:rsidR="00341835">
        <w:t>.</w:t>
      </w:r>
      <w:r w:rsidR="00596146">
        <w:t xml:space="preserve"> </w:t>
      </w:r>
      <w:r w:rsidR="00D461B4">
        <w:t xml:space="preserve">We validated this process further by assessing the </w:t>
      </w:r>
      <w:r w:rsidR="00843846" w:rsidRPr="003D3E31">
        <w:t>batch-to-batch</w:t>
      </w:r>
      <w:r w:rsidR="00843846">
        <w:t xml:space="preserve"> </w:t>
      </w:r>
      <w:r w:rsidR="00D461B4">
        <w:t>reproducibility of the fluorescence spectra</w:t>
      </w:r>
      <w:r w:rsidR="0050076E">
        <w:t xml:space="preserve">, </w:t>
      </w:r>
      <w:r w:rsidR="00D461B4">
        <w:t xml:space="preserve">and fluorescence quantum yield of the </w:t>
      </w:r>
      <w:r w:rsidR="00752D67">
        <w:t xml:space="preserve">aqueous </w:t>
      </w:r>
      <w:r w:rsidR="00D461B4">
        <w:t>nan</w:t>
      </w:r>
      <w:r w:rsidR="003D3E31">
        <w:t xml:space="preserve">oparticle samples. Four </w:t>
      </w:r>
      <w:r w:rsidR="003D3E31" w:rsidRPr="003D3E31">
        <w:t>batches</w:t>
      </w:r>
      <w:r w:rsidR="003A0007">
        <w:t xml:space="preserve"> </w:t>
      </w:r>
      <w:r w:rsidR="003D3E31">
        <w:t>of nanoparticles</w:t>
      </w:r>
      <w:r w:rsidR="00D461B4">
        <w:t xml:space="preserve"> were prepared</w:t>
      </w:r>
      <w:r w:rsidR="003D3E31">
        <w:t xml:space="preserve"> using each polymer</w:t>
      </w:r>
      <w:r w:rsidR="00D461B4">
        <w:t>. The nanoparticle flu</w:t>
      </w:r>
      <w:r w:rsidR="00FE649D">
        <w:t>orescence spectra were identical</w:t>
      </w:r>
      <w:r w:rsidR="00D461B4">
        <w:t xml:space="preserve"> in shape and peak emission wavelength for both polymers</w:t>
      </w:r>
      <w:r w:rsidR="0050076E">
        <w:t>. T</w:t>
      </w:r>
      <w:r w:rsidR="00D461B4">
        <w:t xml:space="preserve">he fluorescence quantum yield varied between 4%-6% 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w:t>
      </w:r>
      <w:r w:rsidR="006805BA" w:rsidRPr="006805BA">
        <w:rPr>
          <w:highlight w:val="yellow"/>
        </w:rPr>
        <w:t>[</w:t>
      </w:r>
      <w:proofErr w:type="gramStart"/>
      <w:r w:rsidR="006805BA" w:rsidRPr="006805BA">
        <w:rPr>
          <w:highlight w:val="yellow"/>
        </w:rPr>
        <w:t>might</w:t>
      </w:r>
      <w:proofErr w:type="gramEnd"/>
      <w:r w:rsidR="006805BA" w:rsidRPr="006805BA">
        <w:rPr>
          <w:highlight w:val="yellow"/>
        </w:rPr>
        <w:t xml:space="preserve"> want to give the fraction of polymer lost in the filtration process</w:t>
      </w:r>
      <w:r w:rsidR="006805BA">
        <w:rPr>
          <w:highlight w:val="yellow"/>
        </w:rPr>
        <w:t>, as determined by UV-</w:t>
      </w:r>
      <w:proofErr w:type="spellStart"/>
      <w:r w:rsidR="006805BA">
        <w:rPr>
          <w:highlight w:val="yellow"/>
        </w:rPr>
        <w:t>vis</w:t>
      </w:r>
      <w:proofErr w:type="spellEnd"/>
      <w:r w:rsidR="006805BA" w:rsidRPr="006805BA">
        <w:rPr>
          <w:highlight w:val="yellow"/>
        </w:rPr>
        <w:t>]</w:t>
      </w:r>
      <w:r w:rsidR="006805BA">
        <w:t xml:space="preserve"> </w:t>
      </w:r>
      <w:r w:rsidR="00FF1B18">
        <w:t>The resulting suspensions are clear (not turbid) and stable for months with no visible signs of aggregation.</w:t>
      </w:r>
    </w:p>
    <w:p w14:paraId="761C155F" w14:textId="2E6CD2B3" w:rsidR="00B5659B" w:rsidRDefault="00B5659B" w:rsidP="006C1D84">
      <w:pPr>
        <w:pStyle w:val="Default"/>
        <w:ind w:firstLine="720"/>
        <w:jc w:val="both"/>
      </w:pPr>
      <w:r>
        <w:rPr>
          <w:b/>
        </w:rPr>
        <w:t xml:space="preserve">Swelling Procedure. </w:t>
      </w:r>
      <w:r>
        <w:t xml:space="preserve">In addition to nanoparticles in water and polymer in THF, swelled nanoparticle samples were prepared by diluting an aliquot of concentrated nanoparticle suspension with the appropriate volume of water, followed by slowly adding THF to produce 3 mL </w:t>
      </w:r>
      <w:r w:rsidRPr="000D54B4">
        <w:t>of suspension</w:t>
      </w:r>
      <w:r>
        <w:t xml:space="preserve"> with volume ratios of THF/water between 0.2 and 0.95. Each sample was gently agitated to ensure solution homogeneity. The sample absorbance was kept at or under ~0.05 (~0.02 for 95% THF). </w:t>
      </w:r>
      <w:r w:rsidRPr="000D54B4">
        <w:t>Samples were</w:t>
      </w:r>
      <w:r>
        <w:t xml:space="preserve"> capped and the headspace</w:t>
      </w:r>
      <w:r w:rsidRPr="000D54B4">
        <w:t xml:space="preserve"> purged with nitrogen </w:t>
      </w:r>
      <w:r>
        <w:t>in order to limit quenching and photobleaching by O</w:t>
      </w:r>
      <w:r w:rsidRPr="00C84617">
        <w:rPr>
          <w:vertAlign w:val="subscript"/>
        </w:rPr>
        <w:t>2</w:t>
      </w:r>
      <w:r>
        <w:t xml:space="preserve"> (purging was limited to </w:t>
      </w:r>
      <w:r w:rsidRPr="000D54B4">
        <w:t>~2 minute</w:t>
      </w:r>
      <w:r>
        <w:t>s, in order to limit loss of THF).</w:t>
      </w:r>
    </w:p>
    <w:p w14:paraId="569B6731" w14:textId="0F693FD1" w:rsidR="000E5025" w:rsidRDefault="000E5025" w:rsidP="004573EE">
      <w:pPr>
        <w:pStyle w:val="Default"/>
        <w:spacing w:line="360" w:lineRule="auto"/>
        <w:ind w:firstLine="720"/>
        <w:jc w:val="both"/>
      </w:pPr>
      <w:r>
        <w:rPr>
          <w:b/>
        </w:rPr>
        <w:t>Characterization Methods.</w:t>
      </w:r>
      <w:r>
        <w:t xml:space="preserve"> UV-Vis absorption spectra were acquired using a Shimadzu UV2101PC scanning spectrophotometer with 1 cm quartz cuvettes. Fluorescence spectra and fluorescence quan</w:t>
      </w:r>
      <w:r w:rsidR="00072E01">
        <w:t xml:space="preserve">tum yield were measured with a </w:t>
      </w:r>
      <w:r>
        <w:t>commercial fluorimeter (</w:t>
      </w:r>
      <w:proofErr w:type="spellStart"/>
      <w:r>
        <w:t>Quantamaster</w:t>
      </w:r>
      <w:proofErr w:type="spellEnd"/>
      <w:r>
        <w:t>, Photon Technology International) using 1 cm quartz cuvettes</w:t>
      </w:r>
      <w:proofErr w:type="gramStart"/>
      <w:r>
        <w:t>.</w:t>
      </w:r>
      <w:r w:rsidR="00B5659B" w:rsidRPr="00B5659B">
        <w:rPr>
          <w:highlight w:val="yellow"/>
        </w:rPr>
        <w:t>[</w:t>
      </w:r>
      <w:proofErr w:type="gramEnd"/>
      <w:r w:rsidR="00B5659B">
        <w:rPr>
          <w:highlight w:val="yellow"/>
        </w:rPr>
        <w:t xml:space="preserve">also </w:t>
      </w:r>
      <w:r w:rsidR="00B5659B" w:rsidRPr="00B5659B">
        <w:rPr>
          <w:highlight w:val="yellow"/>
        </w:rPr>
        <w:t>AFM?]</w:t>
      </w:r>
    </w:p>
    <w:p w14:paraId="22D2ADCD" w14:textId="5B11E2F3" w:rsidR="000E5025" w:rsidRPr="000E5025" w:rsidRDefault="00715B09" w:rsidP="004573EE">
      <w:pPr>
        <w:pStyle w:val="Default"/>
        <w:spacing w:line="36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fs </w:t>
      </w:r>
      <w:proofErr w:type="spellStart"/>
      <w:r w:rsidR="00B115F5">
        <w:t>pulsewidth</w:t>
      </w:r>
      <w:proofErr w:type="spellEnd"/>
      <w:r w:rsidR="00B115F5">
        <w:t>) were used as the excitation source</w:t>
      </w:r>
      <w:r>
        <w:t xml:space="preserve"> for th</w:t>
      </w:r>
      <w:r w:rsidR="009B1E0F">
        <w:t>e nanoparticle samples. Fluorescence</w:t>
      </w:r>
      <w:r w:rsidR="00B115F5">
        <w:t xml:space="preserve"> was collected perpendicular to the excitation source</w:t>
      </w:r>
      <w:r w:rsidR="00850B06">
        <w:t xml:space="preserve"> and passed</w:t>
      </w:r>
      <w:r>
        <w:t xml:space="preserve">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w:t>
      </w:r>
      <w:r w:rsidR="00072D6C">
        <w:t xml:space="preserve">with respect to </w:t>
      </w:r>
      <w:proofErr w:type="spellStart"/>
      <w:r w:rsidR="00855215">
        <w:t>to</w:t>
      </w:r>
      <w:proofErr w:type="spellEnd"/>
      <w:r w:rsidR="00855215">
        <w:t xml:space="preserve"> the vertic</w:t>
      </w:r>
      <w:r w:rsidR="00072D6C">
        <w:t>ally polarized excitation</w:t>
      </w:r>
      <w:r w:rsidR="00855215">
        <w:t>. All three polariza</w:t>
      </w:r>
      <w:r w:rsidR="00B348B2">
        <w:t xml:space="preserve">tion </w:t>
      </w:r>
      <w:r w:rsidR="008430B9">
        <w:t>angles were utilized for anisotropy decay measurements</w:t>
      </w:r>
      <w:r w:rsidR="00B348B2">
        <w:t>,</w:t>
      </w:r>
      <w:r w:rsidR="00855215">
        <w:t xml:space="preserve"> </w:t>
      </w:r>
      <w:r w:rsidR="008430B9">
        <w:t xml:space="preserve">and </w:t>
      </w:r>
      <w:r w:rsidR="00855215">
        <w:t xml:space="preserve">magic angle </w:t>
      </w:r>
      <w:r w:rsidR="00376009">
        <w:t xml:space="preserve">polarizer </w:t>
      </w:r>
      <w:r w:rsidR="00855215">
        <w:t>o</w:t>
      </w:r>
      <w:r w:rsidR="008430B9">
        <w:t>rientation was adopted for excited state population decay measurements</w:t>
      </w:r>
      <w:r w:rsidR="00855215">
        <w:t xml:space="preserve">. </w:t>
      </w:r>
      <w:r w:rsidR="00B348B2">
        <w:t xml:space="preserve">The output of a single </w:t>
      </w:r>
      <w:r w:rsidR="00B348B2">
        <w:lastRenderedPageBreak/>
        <w:t xml:space="preserve">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357040">
        <w:t>{Schaffer, 1999 #88;Cross, 1984 #87}</w:t>
      </w:r>
      <w:r w:rsidR="00B348B2">
        <w:t xml:space="preserve"> The excitation </w:t>
      </w:r>
      <w:r w:rsidR="004B1606" w:rsidRPr="0037628C">
        <w:t>power</w:t>
      </w:r>
      <w:r w:rsidR="00B348B2">
        <w:t xml:space="preserve"> was attenuated </w:t>
      </w:r>
      <w:r w:rsidR="00850B06">
        <w:t>(</w:t>
      </w:r>
      <w:r w:rsidR="00327BE8">
        <w:t xml:space="preserve">between ~300 µW and 1 </w:t>
      </w:r>
      <w:proofErr w:type="spellStart"/>
      <w:r w:rsidR="00327BE8">
        <w:t>mW</w:t>
      </w:r>
      <w:proofErr w:type="spellEnd"/>
      <w:r w:rsidR="00850B06">
        <w:t>, typ.</w:t>
      </w:r>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MCA-3A). Be</w:t>
      </w:r>
      <w:r w:rsidR="00072E01">
        <w:t>fore and after each measurement</w:t>
      </w:r>
      <w:r w:rsidR="008A36F5">
        <w:t xml:space="preserve">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 xml:space="preserve">signal-to-noise ratios (SNR) </w:t>
      </w:r>
      <w:r w:rsidR="00D24ABA" w:rsidRPr="00D24ABA">
        <w:t>for each run</w:t>
      </w:r>
      <w:r w:rsidR="002C4A76">
        <w:t xml:space="preserve"> </w:t>
      </w:r>
      <w:r w:rsidR="009E2DA0">
        <w:t>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w:t>
      </w:r>
      <w:r w:rsidR="00D24ABA">
        <w:t>ru</w:t>
      </w:r>
      <w:r w:rsidR="000D54B4">
        <w:t xml:space="preserve">ns per sample. </w:t>
      </w:r>
      <w:r w:rsidR="00AA6F3D">
        <w:t>Intensity decays were</w:t>
      </w:r>
      <w:r w:rsidR="000D54B4">
        <w:t xml:space="preserve"> collected for 5-20 minutes </w:t>
      </w:r>
      <w:r w:rsidR="00D24ABA">
        <w:t xml:space="preserve">each </w:t>
      </w:r>
      <w:r w:rsidR="000D54B4">
        <w:t>to obtain the above mentioned SNR values, depending on the lifetime o</w:t>
      </w:r>
      <w:r w:rsidR="00361DB4">
        <w:t>f the</w:t>
      </w:r>
      <w:r w:rsidR="000D54B4">
        <w:t xml:space="preserve"> sample.</w:t>
      </w:r>
    </w:p>
    <w:p w14:paraId="076253A3" w14:textId="52287BA4" w:rsidR="000E5025" w:rsidRDefault="00D21A62" w:rsidP="004573EE">
      <w:pPr>
        <w:pStyle w:val="Default"/>
        <w:spacing w:line="360" w:lineRule="auto"/>
        <w:ind w:firstLine="720"/>
        <w:jc w:val="both"/>
      </w:pPr>
      <w:r>
        <w:t xml:space="preserve"> </w:t>
      </w:r>
    </w:p>
    <w:p w14:paraId="622F5699" w14:textId="77777777" w:rsidR="003F19F8" w:rsidRDefault="003F19F8" w:rsidP="003F19F8">
      <w:pPr>
        <w:pStyle w:val="Default"/>
        <w:spacing w:line="480" w:lineRule="auto"/>
        <w:jc w:val="both"/>
        <w:rPr>
          <w:b/>
        </w:rPr>
      </w:pPr>
      <w:r>
        <w:rPr>
          <w:b/>
        </w:rPr>
        <w:t>RESULTS/DISCUSSION</w:t>
      </w:r>
    </w:p>
    <w:p w14:paraId="4D1A293C" w14:textId="68A47FF5" w:rsidR="00996A95" w:rsidRDefault="00F55236" w:rsidP="00996A95">
      <w:pPr>
        <w:pStyle w:val="Default"/>
        <w:spacing w:line="480" w:lineRule="auto"/>
        <w:jc w:val="center"/>
        <w:rPr>
          <w:b/>
        </w:rPr>
      </w:pPr>
      <w:r>
        <w:rPr>
          <w:b/>
          <w:noProof/>
        </w:rPr>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43AFF868" w:rsidR="00996A95" w:rsidRPr="00996A95" w:rsidRDefault="00996A95" w:rsidP="00996A95">
      <w:pPr>
        <w:pStyle w:val="Default"/>
        <w:spacing w:line="480" w:lineRule="auto"/>
        <w:jc w:val="both"/>
        <w:rPr>
          <w:sz w:val="20"/>
          <w:szCs w:val="20"/>
        </w:rPr>
      </w:pPr>
      <w:r>
        <w:rPr>
          <w:b/>
          <w:sz w:val="20"/>
          <w:szCs w:val="20"/>
        </w:rPr>
        <w:t xml:space="preserve">Fig. </w:t>
      </w:r>
      <w:r w:rsidR="00CD5A09">
        <w:rPr>
          <w:b/>
          <w:sz w:val="20"/>
          <w:szCs w:val="20"/>
        </w:rPr>
        <w:t>1</w:t>
      </w:r>
      <w:r>
        <w:rPr>
          <w:b/>
          <w:sz w:val="20"/>
          <w:szCs w:val="20"/>
        </w:rPr>
        <w:t>.</w:t>
      </w:r>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1DA9894C" w:rsidR="001410E0" w:rsidRDefault="001410E0" w:rsidP="001410E0">
      <w:pPr>
        <w:pStyle w:val="Default"/>
        <w:spacing w:line="480" w:lineRule="auto"/>
        <w:jc w:val="both"/>
        <w:rPr>
          <w:sz w:val="20"/>
          <w:szCs w:val="20"/>
        </w:rPr>
      </w:pPr>
      <w:r>
        <w:rPr>
          <w:b/>
          <w:sz w:val="20"/>
          <w:szCs w:val="20"/>
        </w:rPr>
        <w:lastRenderedPageBreak/>
        <w:t xml:space="preserve">Fig. </w:t>
      </w:r>
      <w:r w:rsidR="00CD5A09">
        <w:rPr>
          <w:b/>
          <w:sz w:val="20"/>
          <w:szCs w:val="20"/>
        </w:rPr>
        <w:t>2</w:t>
      </w:r>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0513DAC8"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UV-vis and fluorescence</w:t>
      </w:r>
      <w:r w:rsidR="009B3D2F" w:rsidRPr="00361DB4">
        <w:rPr>
          <w:b/>
        </w:rPr>
        <w:t>.</w:t>
      </w:r>
      <w:proofErr w:type="gramEnd"/>
      <w:r w:rsidR="00567D3A">
        <w:t xml:space="preserve"> </w:t>
      </w:r>
      <w:r w:rsidR="000475D5">
        <w:t>The</w:t>
      </w:r>
      <w:r w:rsidR="003D7E27">
        <w:t xml:space="preserve"> </w:t>
      </w:r>
      <w:r w:rsidR="00072E01">
        <w:t>UV-V</w:t>
      </w:r>
      <w:r w:rsidR="005D2E3A">
        <w:t xml:space="preserve">is and fluorescence spectra </w:t>
      </w:r>
      <w:r w:rsidR="003D7E27">
        <w:t xml:space="preserve">of PFBT and MEH-PPV as a function of solvent </w:t>
      </w:r>
      <w:r w:rsidR="0054793B" w:rsidRPr="000475D5">
        <w:t>composition</w:t>
      </w:r>
      <w:r w:rsidR="003D7E27">
        <w:t xml:space="preserve"> are given in Figs. </w:t>
      </w:r>
      <w:r w:rsidR="00CD5A09">
        <w:t>1</w:t>
      </w:r>
      <w:r w:rsidR="003D7E27">
        <w:t xml:space="preserve"> and </w:t>
      </w:r>
      <w:r w:rsidR="00CD5A09">
        <w:t>2</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 xml:space="preserve">blue shift, </w:t>
      </w:r>
      <w:r w:rsidR="00F53F0A">
        <w:t>and slight broadening of the</w:t>
      </w:r>
      <w:r w:rsidR="003D7E27">
        <w:t xml:space="preserve"> sample spectrum</w:t>
      </w:r>
      <w:r w:rsidR="00A57196">
        <w:t xml:space="preserve"> </w:t>
      </w:r>
      <w:r w:rsidR="00F53F0A">
        <w:t>in 100% THF</w:t>
      </w:r>
      <w:r w:rsidR="003D7E27">
        <w:t>. The</w:t>
      </w:r>
      <w:r w:rsidR="00654BE2">
        <w:t xml:space="preserve"> emission spectra show a</w:t>
      </w:r>
      <w:r w:rsidR="003D7E27">
        <w:t xml:space="preserve"> monotonic increase in fluorescence intensity </w:t>
      </w:r>
      <w:r w:rsidR="006469A8">
        <w:t>with increasing THF</w:t>
      </w:r>
      <w:r w:rsidR="003D7E27">
        <w:t>, and the spectra also exhibit a blue shift ~5 nm</w:t>
      </w:r>
      <w:r w:rsidR="00940633">
        <w:t xml:space="preserve"> </w:t>
      </w:r>
      <w:r w:rsidR="00F53F0A" w:rsidRPr="00F53F0A">
        <w:t>with</w:t>
      </w:r>
      <w:r w:rsidR="00940633">
        <w:t xml:space="preserve">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w:t>
      </w:r>
      <w:r w:rsidR="00F53F0A" w:rsidRPr="00F53F0A">
        <w:t>appears that</w:t>
      </w:r>
      <w:r w:rsidR="003D7E27" w:rsidRPr="009A3923">
        <w:t xml:space="preserve"> </w:t>
      </w:r>
      <w:r w:rsidR="00D359CB" w:rsidRPr="009A3923">
        <w:t>from</w:t>
      </w:r>
      <w:r w:rsidR="003D7E27" w:rsidRPr="009A3923">
        <w:t xml:space="preserve"> ~40% THF </w:t>
      </w:r>
      <w:r w:rsidR="00F53F0A">
        <w:t>to 80% THF</w:t>
      </w:r>
      <w:r w:rsidR="003D7E27" w:rsidRPr="009A3923">
        <w:t xml:space="preserve"> there are </w:t>
      </w:r>
      <w:r w:rsidR="00F53F0A" w:rsidRPr="00F53F0A">
        <w:t>possibly</w:t>
      </w:r>
      <w:r w:rsidR="00717C15">
        <w:t xml:space="preserve"> </w:t>
      </w:r>
      <w:r w:rsidR="003D7E27" w:rsidRPr="009A3923">
        <w:t xml:space="preserve">two phases present in solution </w:t>
      </w:r>
      <w:r w:rsidR="00F53F0A" w:rsidRPr="00F53F0A">
        <w:t>based on</w:t>
      </w:r>
      <w:r w:rsidR="003D7E27" w:rsidRPr="009A3923">
        <w:t xml:space="preserve">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73E56">
        <w:t>, which correspond to isolated polymer chains and aggregate species, respectively</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69C9A067" w:rsidR="00FF5B3F" w:rsidRDefault="005C36E5" w:rsidP="00FF5B3F">
      <w:pPr>
        <w:pStyle w:val="Default"/>
        <w:spacing w:line="480" w:lineRule="auto"/>
        <w:jc w:val="center"/>
      </w:pPr>
      <w:r>
        <w:rPr>
          <w:noProof/>
        </w:rPr>
        <w:drawing>
          <wp:inline distT="0" distB="0" distL="0" distR="0" wp14:anchorId="1B2C0EF5" wp14:editId="73BE622F">
            <wp:extent cx="2705100" cy="1095375"/>
            <wp:effectExtent l="0" t="0" r="0" b="9525"/>
            <wp:docPr id="1" name="Picture 1" descr="C:\Users\Louis\Desktop\Spectra\Flu\2014\PFBT-PLQY-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ouis\Desktop\Spectra\Flu\2014\PFBT-PLQY-SolventDepend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095375"/>
                    </a:xfrm>
                    <a:prstGeom prst="rect">
                      <a:avLst/>
                    </a:prstGeom>
                    <a:noFill/>
                    <a:ln>
                      <a:noFill/>
                    </a:ln>
                  </pic:spPr>
                </pic:pic>
              </a:graphicData>
            </a:graphic>
          </wp:inline>
        </w:drawing>
      </w:r>
    </w:p>
    <w:p w14:paraId="0CEC69E7" w14:textId="3CCDE0F5" w:rsidR="00FF5B3F" w:rsidRPr="00FF5B3F" w:rsidRDefault="00FF5B3F" w:rsidP="00FF5B3F">
      <w:pPr>
        <w:pStyle w:val="Default"/>
        <w:spacing w:line="480" w:lineRule="auto"/>
        <w:jc w:val="both"/>
        <w:rPr>
          <w:sz w:val="20"/>
          <w:szCs w:val="20"/>
        </w:rPr>
      </w:pPr>
      <w:r>
        <w:rPr>
          <w:b/>
          <w:sz w:val="20"/>
          <w:szCs w:val="20"/>
        </w:rPr>
        <w:t>Fig. 3.</w:t>
      </w:r>
      <w:r>
        <w:rPr>
          <w:sz w:val="20"/>
          <w:szCs w:val="20"/>
        </w:rPr>
        <w:t xml:space="preserve"> </w:t>
      </w:r>
      <w:proofErr w:type="gramStart"/>
      <w:r>
        <w:rPr>
          <w:sz w:val="20"/>
          <w:szCs w:val="20"/>
        </w:rPr>
        <w:t>Fluorescence quantu</w:t>
      </w:r>
      <w:r w:rsidR="005C36E5">
        <w:rPr>
          <w:sz w:val="20"/>
          <w:szCs w:val="20"/>
        </w:rPr>
        <w:t>m yield</w:t>
      </w:r>
      <w:r>
        <w:rPr>
          <w:sz w:val="20"/>
          <w:szCs w:val="20"/>
        </w:rPr>
        <w:t xml:space="preserve"> vs. THF volume </w:t>
      </w:r>
      <w:r w:rsidR="005C36E5">
        <w:rPr>
          <w:sz w:val="20"/>
          <w:szCs w:val="20"/>
        </w:rPr>
        <w:t>fraction for (a) MEH-PPV</w:t>
      </w:r>
      <w:r>
        <w:rPr>
          <w:sz w:val="20"/>
          <w:szCs w:val="20"/>
        </w:rPr>
        <w:t xml:space="preserve"> and </w:t>
      </w:r>
      <w:r w:rsidR="005C36E5">
        <w:rPr>
          <w:sz w:val="20"/>
          <w:szCs w:val="20"/>
        </w:rPr>
        <w:t xml:space="preserve">(b) </w:t>
      </w:r>
      <w:r>
        <w:rPr>
          <w:sz w:val="20"/>
          <w:szCs w:val="20"/>
        </w:rPr>
        <w:t>PFBT.</w:t>
      </w:r>
      <w:proofErr w:type="gramEnd"/>
    </w:p>
    <w:p w14:paraId="2FB14FE7" w14:textId="74958E14"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rsidR="005C36E5">
        <w:rPr>
          <w:rFonts w:ascii="Symbol" w:hAnsi="Symbol"/>
        </w:rPr>
        <w:t></w:t>
      </w:r>
      <w:r>
        <w:t>are given in Fig. 3. The quantum yield of PFBT increases monotonically with increasing THF. However, MEH-PPV shows an initial</w:t>
      </w:r>
      <w:r w:rsidR="005657E0">
        <w:t xml:space="preserve"> </w:t>
      </w:r>
      <w:r w:rsidR="002D4C7C" w:rsidRPr="002D4C7C">
        <w:t>intensity</w:t>
      </w:r>
      <w:r>
        <w:t xml:space="preserve"> </w:t>
      </w:r>
      <w:r>
        <w:lastRenderedPageBreak/>
        <w:t xml:space="preserve">increase from 0%-20% THF, followed by the quantum yield staying relatively consistent from 20% to 80% THF, then increasing at higher %THF. The </w:t>
      </w:r>
      <w:r w:rsidR="00DD0807">
        <w:t>~12% difference in</w:t>
      </w:r>
      <w:r>
        <w:t xml:space="preserve"> quantum yield </w:t>
      </w:r>
      <w:r w:rsidR="00DD0807">
        <w:t>between</w:t>
      </w:r>
      <w:r>
        <w:t xml:space="preserve"> the </w:t>
      </w:r>
      <w:r w:rsidR="00DD0807">
        <w:t xml:space="preserve">CPN </w:t>
      </w:r>
      <w:r>
        <w:t>sample</w:t>
      </w:r>
      <w:r w:rsidR="00DD0807">
        <w:t>s in 95% THF</w:t>
      </w:r>
      <w:r>
        <w:t xml:space="preserve"> </w:t>
      </w:r>
      <w:r w:rsidR="0095218A">
        <w:t>and</w:t>
      </w:r>
      <w:r>
        <w:t xml:space="preserve"> the </w:t>
      </w:r>
      <w:r w:rsidR="0095218A">
        <w:t xml:space="preserve">dissolved </w:t>
      </w:r>
      <w:r w:rsidR="001B716E">
        <w:t>polymers in THF is likely a statistical anomaly</w:t>
      </w:r>
      <w:r w:rsidR="009472F9">
        <w:t xml:space="preserve"> due</w:t>
      </w:r>
      <w:r>
        <w:t xml:space="preserve"> to the uncertainty in the absorbance</w:t>
      </w:r>
      <w:r w:rsidR="0073270E">
        <w:t>.</w:t>
      </w:r>
      <w:r>
        <w:t xml:space="preserve"> </w:t>
      </w:r>
      <w:r w:rsidR="001B716E">
        <w:t>While the</w:t>
      </w:r>
      <w:r w:rsidRPr="00E90120">
        <w:t xml:space="preserve"> </w:t>
      </w:r>
      <w:r w:rsidR="00CC6270" w:rsidRPr="00E90120">
        <w:t xml:space="preserve">fluorescence </w:t>
      </w:r>
      <w:r w:rsidR="00361DB4" w:rsidRPr="00E90120">
        <w:t>quantum yield remains relatively constant</w:t>
      </w:r>
      <w:r w:rsidR="00CC6270" w:rsidRPr="00E90120">
        <w:t xml:space="preserve"> for MEH-PPV from 20% to 80% THF</w:t>
      </w:r>
      <w:r w:rsidR="001B716E">
        <w:t>, the relative contribution of the ~600 nm shoulder decreases steadily with increasing THF concentration, likely indicating that this feature is associated with aggregate species</w:t>
      </w:r>
      <w:r w:rsidR="00CC6270" w:rsidRPr="00E90120">
        <w:t xml:space="preserve">. </w:t>
      </w:r>
    </w:p>
    <w:p w14:paraId="64A78BBF" w14:textId="6CDE559A" w:rsidR="00FF5B3F" w:rsidRDefault="0078350D" w:rsidP="003D7E27">
      <w:pPr>
        <w:pStyle w:val="Default"/>
        <w:spacing w:line="480" w:lineRule="auto"/>
        <w:ind w:firstLine="720"/>
        <w:jc w:val="both"/>
      </w:pPr>
      <w:r>
        <w:t>One possible interpretation of the</w:t>
      </w:r>
      <w:r w:rsidR="00E51F3E" w:rsidRPr="008A243A">
        <w:t xml:space="preserve"> results outline</w:t>
      </w:r>
      <w:r w:rsidR="0031617D">
        <w:t>d</w:t>
      </w:r>
      <w:r w:rsidR="00E51F3E" w:rsidRPr="008A243A">
        <w:t xml:space="preserve"> in Fig</w:t>
      </w:r>
      <w:r w:rsidR="008A243A" w:rsidRPr="008A243A">
        <w:t>s</w:t>
      </w:r>
      <w:r w:rsidR="00E51F3E" w:rsidRPr="008A243A">
        <w:t>.</w:t>
      </w:r>
      <w:r w:rsidR="008A243A" w:rsidRPr="008A243A">
        <w:t xml:space="preserve"> 2 and</w:t>
      </w:r>
      <w:r>
        <w:t xml:space="preserve"> 3 is</w:t>
      </w:r>
      <w:r w:rsidR="00E51F3E" w:rsidRPr="008A243A">
        <w:t xml:space="preserve"> that </w:t>
      </w:r>
      <w:r w:rsidR="001F736E">
        <w:t xml:space="preserve">the coupling between </w:t>
      </w:r>
      <w:r w:rsidR="00FF5B3F" w:rsidRPr="008A243A">
        <w:t>transition dipole</w:t>
      </w:r>
      <w:r w:rsidR="001F736E">
        <w:t>s</w:t>
      </w:r>
      <w:r w:rsidR="00FF5B3F" w:rsidRPr="008A243A">
        <w:t xml:space="preserve"> is somewhat stronger for MEH-PPV</w:t>
      </w:r>
      <w:r w:rsidR="00E51F3E" w:rsidRPr="008A243A">
        <w:t xml:space="preserve"> </w:t>
      </w:r>
      <w:r>
        <w:t xml:space="preserve">as </w:t>
      </w:r>
      <w:r w:rsidR="00E51F3E" w:rsidRPr="008A243A">
        <w:t>compa</w:t>
      </w:r>
      <w:r w:rsidR="001F736E">
        <w:t>red to PFBT. This is supported by the steady-state</w:t>
      </w:r>
      <w:r w:rsidR="00E51F3E" w:rsidRPr="008A243A">
        <w:t xml:space="preserve"> spectra</w:t>
      </w:r>
      <w:r w:rsidR="0089390E">
        <w:t>, which exhibit a pronounced red-shift (in both absorption and emission) for MEH-PPV, while PFBT exhibits much smaller shifts</w:t>
      </w:r>
      <w:r w:rsidR="00E51F3E" w:rsidRPr="008A243A">
        <w:t xml:space="preserve">. </w:t>
      </w:r>
      <w:r w:rsidR="00CA2C06">
        <w:t>T</w:t>
      </w:r>
      <w:r w:rsidR="008A243A">
        <w:t xml:space="preserve">he lesser red shift in the absorption spectra of MEH-PPV </w:t>
      </w:r>
      <w:r w:rsidR="00CA2C06">
        <w:t xml:space="preserve">as compared to the emission can be explained by a </w:t>
      </w:r>
      <w:proofErr w:type="gramStart"/>
      <w:r w:rsidR="00CA2C06">
        <w:t>small</w:t>
      </w:r>
      <w:r w:rsidR="008A243A">
        <w:t xml:space="preserve"> </w:t>
      </w:r>
      <w:r w:rsidR="005C025E">
        <w:t xml:space="preserve"> fraction</w:t>
      </w:r>
      <w:proofErr w:type="gramEnd"/>
      <w:r w:rsidR="005C025E">
        <w:t xml:space="preserve"> of </w:t>
      </w:r>
      <w:r>
        <w:t xml:space="preserve">highly red-shifted </w:t>
      </w:r>
      <w:r w:rsidR="005C025E">
        <w:t>J-aggregate species</w:t>
      </w:r>
      <w:r w:rsidR="008A243A">
        <w:t>.</w:t>
      </w:r>
      <w:r w:rsidR="004E7F56">
        <w:t xml:space="preserve"> </w:t>
      </w:r>
      <w:r w:rsidR="005C025E">
        <w:t>This is consistent with the two-state picture of</w:t>
      </w:r>
      <w:r w:rsidR="004E7F56">
        <w:t xml:space="preserve"> Barbara, et al., used to discuss the bimodal emission properties in </w:t>
      </w:r>
      <w:r w:rsidR="00050749" w:rsidRPr="002628A8">
        <w:t>single molecule spectra</w:t>
      </w:r>
      <w:r w:rsidR="002628A8" w:rsidRPr="002628A8">
        <w:t xml:space="preserve"> of</w:t>
      </w:r>
      <w:r w:rsidR="003A50F7">
        <w:t xml:space="preserve"> </w:t>
      </w:r>
      <w:r w:rsidR="004E7F56">
        <w:t>both PFBT and MEH-PPV. In this picture, there is a minority aggregate state that exhibits weak, red-shifted emission, and ac</w:t>
      </w:r>
      <w:r w:rsidR="00B52D85">
        <w:t>ts a</w:t>
      </w:r>
      <w:r>
        <w:t>s an ene</w:t>
      </w:r>
      <w:r w:rsidR="0083628E">
        <w:t>rgy acceptor to the other (</w:t>
      </w:r>
      <w:proofErr w:type="spellStart"/>
      <w:r w:rsidR="0083628E">
        <w:t>unaggregated</w:t>
      </w:r>
      <w:proofErr w:type="spellEnd"/>
      <w:r w:rsidR="0083628E">
        <w:t>)</w:t>
      </w:r>
      <w:r>
        <w:t xml:space="preserve"> chromophores</w:t>
      </w:r>
      <w:proofErr w:type="gramStart"/>
      <w:r w:rsidR="00B52D85">
        <w:t>.</w:t>
      </w:r>
      <w:r w:rsidR="00357040">
        <w:t>{</w:t>
      </w:r>
      <w:proofErr w:type="gramEnd"/>
      <w:r w:rsidR="00357040">
        <w:t>Yu, 2000 #113;Yip, 1998 #110;Grey, 2006 #102;Lee, 2006 #105;Kim, 2006 #108}</w:t>
      </w:r>
      <w:hyperlink w:anchor="_ENREF_18" w:tooltip="Yip, 1998 #110" w:history="1"/>
      <w:hyperlink w:anchor="_ENREF_18" w:tooltip="Grey, 2006 #102" w:history="1"/>
      <w:r w:rsidR="004E7F56">
        <w:t xml:space="preserve"> </w:t>
      </w:r>
      <w:r w:rsidR="00272217">
        <w:t>In the c</w:t>
      </w:r>
      <w:r w:rsidR="00CA2C06">
        <w:t>ase of swelling, it is likely that swelling either</w:t>
      </w:r>
      <w:r w:rsidR="00272217">
        <w:t xml:space="preserve"> disrupts aggregate formation, or that it reduces the rate of energy transfer to aggregate species</w:t>
      </w:r>
      <w:r w:rsidR="00AF4A3A">
        <w:t>, or both</w:t>
      </w:r>
      <w:r w:rsidR="00B52D85">
        <w:t xml:space="preserve">. </w:t>
      </w:r>
    </w:p>
    <w:p w14:paraId="0AA90D82" w14:textId="3389D15D" w:rsidR="00CD5A09" w:rsidRDefault="00D52279" w:rsidP="00CD5A09">
      <w:pPr>
        <w:pStyle w:val="Default"/>
        <w:spacing w:line="480" w:lineRule="auto"/>
        <w:jc w:val="center"/>
      </w:pPr>
      <w:r>
        <w:rPr>
          <w:noProof/>
        </w:rPr>
        <w:lastRenderedPageBreak/>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470ED293" w:rsidR="00CD5A09" w:rsidRDefault="00CD5A09" w:rsidP="00CD5A09">
      <w:pPr>
        <w:pStyle w:val="Default"/>
        <w:spacing w:line="480" w:lineRule="auto"/>
        <w:jc w:val="both"/>
        <w:rPr>
          <w:sz w:val="20"/>
          <w:szCs w:val="20"/>
        </w:rPr>
      </w:pPr>
      <w:r w:rsidRPr="003F3436">
        <w:rPr>
          <w:b/>
          <w:sz w:val="20"/>
          <w:szCs w:val="20"/>
        </w:rPr>
        <w:t xml:space="preserve">Fig. </w:t>
      </w:r>
      <w:r w:rsidR="00FF5B3F">
        <w:rPr>
          <w:b/>
          <w:sz w:val="20"/>
          <w:szCs w:val="20"/>
        </w:rPr>
        <w:t>4</w:t>
      </w:r>
      <w:r>
        <w:rPr>
          <w:b/>
          <w:sz w:val="20"/>
          <w:szCs w:val="20"/>
        </w:rPr>
        <w:t>.</w:t>
      </w:r>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w:t>
      </w:r>
      <w:proofErr w:type="gramStart"/>
      <w:r>
        <w:rPr>
          <w:sz w:val="20"/>
          <w:szCs w:val="20"/>
        </w:rPr>
        <w:t>,d</w:t>
      </w:r>
      <w:proofErr w:type="spellEnd"/>
      <w:proofErr w:type="gram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r>
        <w:rPr>
          <w:b/>
          <w:sz w:val="20"/>
          <w:szCs w:val="20"/>
        </w:rPr>
        <w:t>Table 1.</w:t>
      </w:r>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2BA0C49E" w:rsidR="004E5516" w:rsidRPr="00A45F4A" w:rsidRDefault="00A91DDD" w:rsidP="00507D8E">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lastRenderedPageBreak/>
        <w:t>Kolrausch</w:t>
      </w:r>
      <w:proofErr w:type="spellEnd"/>
      <w:r>
        <w:t>-Williams-Watts (KWW) function</w:t>
      </w:r>
      <w:r w:rsidR="00A76894">
        <w:t xml:space="preserve"> or stretched exponential</w:t>
      </w:r>
      <w:r>
        <w:t>, given by</w:t>
      </w:r>
      <w:r w:rsidR="006A103C">
        <w:t xml:space="preserve"> </w:t>
      </w:r>
      <w:r w:rsidR="00244F60">
        <w:rPr>
          <w:position w:val="-10"/>
        </w:rPr>
        <w:pict w14:anchorId="386ADF0B">
          <v:shape id="_x0000_i1027" type="#_x0000_t75" style="width:108.5pt;height:19pt">
            <v:imagedata r:id="rId11"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r w:rsidR="00357040">
        <w:t>{Chen, 2003 #8}</w:t>
      </w:r>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83628E">
        <w:t>,</w:t>
      </w:r>
      <w:r w:rsidR="00EA0DE4">
        <w:t xml:space="preserve"> which was fit best by a single exponential, the remaining intensity decays fit </w:t>
      </w:r>
      <w:r w:rsidR="009B704F">
        <w:t>poorly to a single exponential</w:t>
      </w:r>
      <w:r w:rsidR="00CB42B3" w:rsidRPr="004F2A79">
        <w:t>,</w:t>
      </w:r>
      <w:r w:rsidR="009B704F">
        <w:t xml:space="preserve"> </w:t>
      </w:r>
      <w:r w:rsidR="004706D2">
        <w:t xml:space="preserve">with the residuals </w:t>
      </w:r>
      <w:r w:rsidR="009B704F">
        <w:t>showing systematic deviation consistent with bi-exponential or multi-exponential</w:t>
      </w:r>
      <w:r w:rsidR="00CB42B3" w:rsidRPr="004F2A79">
        <w:t xml:space="preserve"> </w:t>
      </w:r>
      <w:r w:rsidR="009B704F">
        <w:t>dynamics</w:t>
      </w:r>
      <w:r w:rsidR="00A75696">
        <w:t>.</w:t>
      </w:r>
      <w:r w:rsidR="009B704F">
        <w:t xml:space="preserve"> </w:t>
      </w:r>
      <w:r w:rsidR="00A75696">
        <w:t xml:space="preserve">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FF5B3F">
        <w:t>4</w:t>
      </w:r>
      <w:r w:rsidR="00A75696">
        <w:t xml:space="preserve">. </w:t>
      </w:r>
      <w:r w:rsidR="004E5516">
        <w:t xml:space="preserve">The lifetimes for both systems follow a </w:t>
      </w:r>
      <w:r w:rsidR="00C51FAB">
        <w:t>monotonically</w:t>
      </w:r>
      <w:r w:rsidR="004E5516">
        <w:t xml:space="preserve">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w:t>
      </w:r>
      <w:r w:rsidR="00A653E8">
        <w:t>0</w:t>
      </w:r>
      <w:r w:rsidR="00232459">
        <w:t xml:space="preserve"> </w:t>
      </w:r>
      <w:proofErr w:type="spellStart"/>
      <w:r w:rsidR="00232459">
        <w:t>ps</w:t>
      </w:r>
      <w:proofErr w:type="spellEnd"/>
      <w:r w:rsidR="00232459">
        <w:t xml:space="preserve"> versus ~</w:t>
      </w:r>
      <w:r w:rsidR="00D4626F">
        <w:t>700</w:t>
      </w:r>
      <w:r w:rsidR="003B7D17">
        <w:t xml:space="preserve"> </w:t>
      </w:r>
      <w:proofErr w:type="spellStart"/>
      <w:r w:rsidR="003B7D17">
        <w:t>ps</w:t>
      </w:r>
      <w:proofErr w:type="spellEnd"/>
      <w:r w:rsidR="003B7D17">
        <w:t xml:space="preserve"> previously for PFBT)</w:t>
      </w:r>
      <w:r w:rsidR="00CA2C06">
        <w:t>, which</w:t>
      </w:r>
      <w:r w:rsidR="00232459">
        <w:t xml:space="preserve"> can be ascribed to a mor</w:t>
      </w:r>
      <w:r w:rsidR="004706D2">
        <w:t>e complete THF removal</w:t>
      </w:r>
      <w:r w:rsidR="008A7CAE">
        <w:t xml:space="preserve">. </w:t>
      </w:r>
      <w:r w:rsidR="008A7CAE" w:rsidRPr="008A7CAE">
        <w:t>T</w:t>
      </w:r>
      <w:r w:rsidR="00196B76" w:rsidRPr="008A7CAE">
        <w:t>his expla</w:t>
      </w:r>
      <w:r w:rsidR="008A7CAE" w:rsidRPr="008A7CAE">
        <w:t>nation is also consistent with</w:t>
      </w:r>
      <w:r w:rsidR="008A7CAE">
        <w:t xml:space="preserve"> the</w:t>
      </w:r>
      <w:r w:rsidR="00232459">
        <w:t xml:space="preserve">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721C88">
        <w:t xml:space="preserve"> CPNs</w:t>
      </w:r>
      <w:r w:rsidR="00D4626F">
        <w:t>)</w:t>
      </w:r>
      <w:proofErr w:type="gramStart"/>
      <w:r w:rsidR="00D4626F">
        <w:t>.</w:t>
      </w:r>
      <w:r w:rsidR="00D43EC4">
        <w:t>{</w:t>
      </w:r>
      <w:proofErr w:type="gramEnd"/>
      <w:r w:rsidR="00D43EC4">
        <w:t>Groff, 2013 #60}</w:t>
      </w:r>
      <w:r w:rsidR="00232459">
        <w:t xml:space="preserve"> </w:t>
      </w:r>
      <w:r w:rsidR="00E00280" w:rsidRPr="00A76894">
        <w:rPr>
          <w:rFonts w:ascii="Symbol" w:hAnsi="Symbol"/>
          <w:i/>
        </w:rPr>
        <w:t></w:t>
      </w:r>
      <w:r w:rsidR="00E00280">
        <w:t xml:space="preserve">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w:t>
      </w:r>
      <w:r w:rsidR="00861817">
        <w:t>cating</w:t>
      </w:r>
      <w:r w:rsidR="0023270E">
        <w:t xml:space="preserve"> </w:t>
      </w:r>
      <w:r w:rsidR="0023270E" w:rsidRPr="008A7CAE">
        <w:t xml:space="preserve">an overall decrease in lifetime heterogeneity, </w:t>
      </w:r>
      <w:r w:rsidR="00964CC9" w:rsidRPr="008A7CAE">
        <w:t>though</w:t>
      </w:r>
      <w:r w:rsidR="003709AB" w:rsidRPr="008A7CAE">
        <w:t xml:space="preserve"> even in good solvent there is some heterogeneity</w:t>
      </w:r>
      <w:r w:rsidR="00420C3A" w:rsidRPr="008A7CAE">
        <w:t>.</w:t>
      </w:r>
      <w:r w:rsidR="00A45F4A">
        <w:t xml:space="preserve"> </w:t>
      </w:r>
      <w:r w:rsidR="0075613E" w:rsidRPr="0075613E">
        <w:t>Similarl</w:t>
      </w:r>
      <w:r w:rsidR="003D1B10" w:rsidRPr="0075613E">
        <w:t>y</w:t>
      </w:r>
      <w:r w:rsidR="0075613E">
        <w:t>,</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w:t>
      </w:r>
      <w:r w:rsidR="00FA4B03" w:rsidRPr="0075613E">
        <w:t>monotonical</w:t>
      </w:r>
      <w:r w:rsidR="0075613E" w:rsidRPr="0075613E">
        <w:t>l</w:t>
      </w:r>
      <w:r w:rsidR="0075613E">
        <w:t>y</w:t>
      </w:r>
      <w:r w:rsidR="00FA4B03">
        <w:t xml:space="preserve"> </w:t>
      </w:r>
      <w:r w:rsidR="00A45F4A" w:rsidRPr="003D1B10">
        <w:t xml:space="preserve">from ~0.6 </w:t>
      </w:r>
      <w:r w:rsidR="003D1B10" w:rsidRPr="003D1B10">
        <w:t>for CPNs in water to unity</w:t>
      </w:r>
      <w:r w:rsidR="003D1B10">
        <w:t xml:space="preserve"> in THF</w:t>
      </w:r>
      <w:r w:rsidR="00B24FA0">
        <w:t xml:space="preserve">. A </w:t>
      </w:r>
      <w:r w:rsidR="00C0742D">
        <w:t>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is observed for PFBT from ~0.7 at 60% THF to ~0.3 at 80% THF, and is indicative of a dramatic increase in the distribution of exciton lifetimes.</w:t>
      </w:r>
      <w:r w:rsidR="00421553">
        <w:t xml:space="preserve"> This</w:t>
      </w:r>
      <w:r w:rsidR="0041049A">
        <w:t xml:space="preserve"> deviation from the trend of increasing </w:t>
      </w:r>
      <w:r w:rsidR="0041049A" w:rsidRPr="0041049A">
        <w:rPr>
          <w:rFonts w:ascii="Symbol" w:hAnsi="Symbol"/>
          <w:i/>
        </w:rPr>
        <w:t></w:t>
      </w:r>
      <w:r w:rsidR="0041049A">
        <w:t xml:space="preserve"> as % THF increases</w:t>
      </w:r>
      <w:r w:rsidR="00421553">
        <w:t xml:space="preserve"> </w:t>
      </w:r>
      <w:r w:rsidR="0041049A">
        <w:t>is hypothesized to be due to the presence of two distinct emitting populations with substantially different lifetimes at moderately high % THF, discussed further below.</w:t>
      </w:r>
      <w:r w:rsidR="006A6F96">
        <w:t xml:space="preserve"> </w:t>
      </w:r>
      <w:r w:rsidR="00A45F4A" w:rsidRPr="00925CC9">
        <w:t xml:space="preserve">The </w:t>
      </w:r>
      <w:r w:rsidR="0041049A" w:rsidRPr="0041049A">
        <w:t>overall trend of increasing</w:t>
      </w:r>
      <w:r w:rsidR="003D1B10" w:rsidRPr="0041049A">
        <w:t xml:space="preserve"> </w:t>
      </w:r>
      <w:r w:rsidR="00A45F4A" w:rsidRPr="0041049A">
        <w:rPr>
          <w:rFonts w:ascii="Symbol" w:hAnsi="Symbol"/>
          <w:i/>
        </w:rPr>
        <w:t></w:t>
      </w:r>
      <w:r w:rsidR="00A45F4A" w:rsidRPr="00925CC9">
        <w:t xml:space="preserve"> </w:t>
      </w:r>
      <w:r w:rsidR="0041049A">
        <w:t>for both polymers</w:t>
      </w:r>
      <w:r w:rsidR="00885BC3">
        <w:t xml:space="preserve"> </w:t>
      </w:r>
      <w:r w:rsidR="0041049A">
        <w:t>is</w:t>
      </w:r>
      <w:r w:rsidR="00A45F4A" w:rsidRPr="00925CC9">
        <w:t xml:space="preserve"> </w:t>
      </w:r>
      <w:r w:rsidR="0041049A">
        <w:t xml:space="preserve">assumed to result from </w:t>
      </w:r>
      <w:r w:rsidR="009F20F9">
        <w:t xml:space="preserve">increases in equilibrium chromophore spacing as THF </w:t>
      </w:r>
      <w:r w:rsidR="009F20F9">
        <w:lastRenderedPageBreak/>
        <w:t xml:space="preserve">concentration increases, leading to </w:t>
      </w:r>
      <w:r w:rsidR="00B24FA0">
        <w:t>the reduction of</w:t>
      </w:r>
      <w:r w:rsidR="00C87D82" w:rsidRPr="00925CC9">
        <w:t xml:space="preserve"> the</w:t>
      </w:r>
      <w:r w:rsidR="003D1B10" w:rsidRPr="00925CC9">
        <w:t xml:space="preserve"> </w:t>
      </w:r>
      <w:r w:rsidR="00DE0E6C" w:rsidRPr="00925CC9">
        <w:t>rate</w:t>
      </w:r>
      <w:r w:rsidR="008A6CEA" w:rsidRPr="00925CC9">
        <w:t>s</w:t>
      </w:r>
      <w:r w:rsidR="003D1B10" w:rsidRPr="00925CC9">
        <w:t xml:space="preserve"> of </w:t>
      </w:r>
      <w:r w:rsidR="00837782">
        <w:t>multiple</w:t>
      </w:r>
      <w:r w:rsidR="00DE0E6C" w:rsidRPr="00925CC9">
        <w:t xml:space="preserve"> </w:t>
      </w:r>
      <w:r w:rsidR="008A6CEA" w:rsidRPr="00925CC9">
        <w:t>energy transfer</w:t>
      </w:r>
      <w:r w:rsidR="00DE0E6C" w:rsidRPr="00925CC9">
        <w:t xml:space="preserve"> </w:t>
      </w:r>
      <w:proofErr w:type="gramStart"/>
      <w:r w:rsidR="00DE0E6C" w:rsidRPr="00925CC9">
        <w:t xml:space="preserve">to </w:t>
      </w:r>
      <w:r w:rsidR="001F512B" w:rsidRPr="00925CC9">
        <w:t xml:space="preserve"> </w:t>
      </w:r>
      <w:r w:rsidR="00DE0E6C" w:rsidRPr="00925CC9">
        <w:t>quenchers</w:t>
      </w:r>
      <w:proofErr w:type="gramEnd"/>
      <w:r w:rsidR="006E4258">
        <w:t xml:space="preserve">. </w:t>
      </w:r>
      <w:r w:rsidR="00837782" w:rsidRPr="00837782">
        <w:t>This picture</w:t>
      </w:r>
      <w:r w:rsidR="0030527F" w:rsidRPr="00837782">
        <w:t xml:space="preserve"> is supported by prior results of dye-doped CPNs, wh</w:t>
      </w:r>
      <w:r w:rsidR="00421553">
        <w:t>ere</w:t>
      </w:r>
      <w:r w:rsidR="0030527F" w:rsidRPr="00837782">
        <w:t xml:space="preserve"> a reduction in </w:t>
      </w:r>
      <w:r w:rsidR="00885BC3" w:rsidRPr="00925CC9">
        <w:rPr>
          <w:rFonts w:ascii="Symbol" w:hAnsi="Symbol"/>
          <w:i/>
        </w:rPr>
        <w:t></w:t>
      </w:r>
      <w:r w:rsidR="0030527F" w:rsidRPr="00837782">
        <w:t xml:space="preserve"> </w:t>
      </w:r>
      <w:r w:rsidR="00421553">
        <w:t xml:space="preserve">was observed </w:t>
      </w:r>
      <w:r w:rsidR="0030527F" w:rsidRPr="00837782">
        <w:t>as additional quenchers (dyes) were introduced</w:t>
      </w:r>
      <w:proofErr w:type="gramStart"/>
      <w:r w:rsidR="0030527F" w:rsidRPr="00837782">
        <w:t>.</w:t>
      </w:r>
      <w:r w:rsidR="00357040">
        <w:t>{</w:t>
      </w:r>
      <w:proofErr w:type="gramEnd"/>
      <w:r w:rsidR="00357040">
        <w:t>Groff, 2013 #60}</w:t>
      </w:r>
      <w:r w:rsidR="0030527F">
        <w:t xml:space="preserve"> </w:t>
      </w:r>
      <w:r w:rsidR="00C52642" w:rsidRPr="00664CB2">
        <w:rPr>
          <w:strike/>
          <w:highlight w:val="yellow"/>
        </w:rPr>
        <w:t xml:space="preserve">The </w:t>
      </w:r>
      <w:r w:rsidR="009F20F9" w:rsidRPr="00664CB2">
        <w:rPr>
          <w:strike/>
          <w:highlight w:val="yellow"/>
        </w:rPr>
        <w:t>end result in this picture</w:t>
      </w:r>
      <w:r w:rsidR="0041049A" w:rsidRPr="00664CB2">
        <w:rPr>
          <w:strike/>
          <w:highlight w:val="yellow"/>
        </w:rPr>
        <w:t xml:space="preserve"> </w:t>
      </w:r>
      <w:r w:rsidR="00C52642" w:rsidRPr="00664CB2">
        <w:rPr>
          <w:strike/>
          <w:highlight w:val="yellow"/>
        </w:rPr>
        <w:t>is that</w:t>
      </w:r>
      <w:r w:rsidR="00C51FAB" w:rsidRPr="00664CB2">
        <w:rPr>
          <w:strike/>
          <w:highlight w:val="yellow"/>
        </w:rPr>
        <w:t xml:space="preserve"> an exciton is less likely to fall within the quenching volume of a quencher</w:t>
      </w:r>
      <w:r w:rsidR="00B24FA0" w:rsidRPr="00664CB2">
        <w:rPr>
          <w:strike/>
          <w:highlight w:val="yellow"/>
        </w:rPr>
        <w:t xml:space="preserve">, which </w:t>
      </w:r>
      <w:r w:rsidR="00685858" w:rsidRPr="00664CB2">
        <w:rPr>
          <w:strike/>
          <w:highlight w:val="yellow"/>
        </w:rPr>
        <w:t>causes</w:t>
      </w:r>
      <w:r w:rsidR="00B24FA0" w:rsidRPr="00664CB2">
        <w:rPr>
          <w:strike/>
          <w:highlight w:val="yellow"/>
        </w:rPr>
        <w:t xml:space="preserve"> the increases in </w:t>
      </w:r>
      <w:r w:rsidR="00B24FA0" w:rsidRPr="00664CB2">
        <w:rPr>
          <w:rFonts w:ascii="Symbol" w:hAnsi="Symbol"/>
          <w:i/>
          <w:strike/>
          <w:highlight w:val="yellow"/>
        </w:rPr>
        <w:t></w:t>
      </w:r>
      <w:r w:rsidR="00B24FA0" w:rsidRPr="003A47DC">
        <w:rPr>
          <w:highlight w:val="yellow"/>
        </w:rPr>
        <w:t>.</w:t>
      </w:r>
      <w:r w:rsidR="00664CB2" w:rsidRPr="00664CB2">
        <w:rPr>
          <w:highlight w:val="yellow"/>
        </w:rPr>
        <w:t>[unclear/</w:t>
      </w:r>
      <w:proofErr w:type="spellStart"/>
      <w:r w:rsidR="00664CB2" w:rsidRPr="00664CB2">
        <w:rPr>
          <w:highlight w:val="yellow"/>
        </w:rPr>
        <w:t>awk</w:t>
      </w:r>
      <w:proofErr w:type="spellEnd"/>
      <w:r w:rsidR="00664CB2" w:rsidRPr="00664CB2">
        <w:rPr>
          <w:highlight w:val="yellow"/>
        </w:rPr>
        <w:t>. delete this?]</w:t>
      </w:r>
      <w:r w:rsidR="00B24FA0">
        <w:t xml:space="preserve"> </w:t>
      </w:r>
      <w:r w:rsidR="00506326">
        <w:t xml:space="preserve">The </w:t>
      </w:r>
      <w:r w:rsidR="00506326" w:rsidRPr="00685858">
        <w:t xml:space="preserve">results of the </w:t>
      </w:r>
      <w:r w:rsidR="00685858" w:rsidRPr="00685858">
        <w:t xml:space="preserve">bi-exponential </w:t>
      </w:r>
      <w:proofErr w:type="gramStart"/>
      <w:r w:rsidR="00685858" w:rsidRPr="00685858">
        <w:t>least-squares</w:t>
      </w:r>
      <w:proofErr w:type="gramEnd"/>
      <w:r w:rsidR="00685858" w:rsidRPr="00685858">
        <w:t xml:space="preserve"> fitting analysis</w:t>
      </w:r>
      <w:r w:rsidR="00455B55">
        <w:t xml:space="preserve"> </w:t>
      </w:r>
      <w:r w:rsidR="00506326">
        <w:t xml:space="preserve">are discussed </w:t>
      </w:r>
      <w:r w:rsidR="0001039F">
        <w:t xml:space="preserve">in greater detail </w:t>
      </w:r>
      <w:r w:rsidR="00506326">
        <w:t>below.</w:t>
      </w:r>
    </w:p>
    <w:p w14:paraId="5D482CA8" w14:textId="371197DE" w:rsidR="002739D2" w:rsidRDefault="00A75696" w:rsidP="00FF5B3F">
      <w:pPr>
        <w:pStyle w:val="Default"/>
        <w:spacing w:line="480" w:lineRule="auto"/>
        <w:ind w:firstLine="720"/>
        <w:jc w:val="both"/>
      </w:pPr>
      <w:r>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00EF1060">
        <w:t xml:space="preserve">For MEH-PPV, the </w:t>
      </w:r>
      <w:r w:rsidR="004706D2">
        <w:t>larger</w:t>
      </w:r>
      <w:r w:rsidR="00EF1060">
        <w:t xml:space="preserve"> time constant increase</w:t>
      </w:r>
      <w:r w:rsidR="00AE1660">
        <w:t>s</w:t>
      </w:r>
      <w:r w:rsidR="00EF1060">
        <w:t xml:space="preserve"> </w:t>
      </w:r>
      <w:r w:rsidR="003C5A7B">
        <w:t>monotonically with increasing THF fraction</w:t>
      </w:r>
      <w:r w:rsidR="00EF1060">
        <w:t xml:space="preserve">, and the weighted amplitudes do not change appreciably except for MEH-PPV in </w:t>
      </w:r>
      <w:r w:rsidR="00AB28E0" w:rsidRPr="00C51FAB">
        <w:t>100%</w:t>
      </w:r>
      <w:r w:rsidR="00AB28E0">
        <w:t xml:space="preserve"> </w:t>
      </w:r>
      <w:r w:rsidR="00EF1060">
        <w:t>THF</w:t>
      </w:r>
      <w:r w:rsidR="00AB28E0">
        <w:t xml:space="preserve"> </w:t>
      </w:r>
      <w:r w:rsidR="00685858" w:rsidRPr="00685858">
        <w:t xml:space="preserve">where </w:t>
      </w:r>
      <w:r w:rsidR="00685858">
        <w:t>lifetime i</w:t>
      </w:r>
      <w:r w:rsidR="004706D2">
        <w:t>s characterized almost entire</w:t>
      </w:r>
      <w:r w:rsidR="00685858">
        <w:t>ly by the short time constant</w:t>
      </w:r>
      <w:r w:rsidR="00EF1060">
        <w:t xml:space="preserve">. </w:t>
      </w:r>
      <w:r w:rsidR="00406D05" w:rsidRPr="00406D05">
        <w:t>In contrast</w:t>
      </w:r>
      <w:r w:rsidR="00EF1060" w:rsidRPr="00406D05">
        <w:t>,</w:t>
      </w:r>
      <w:r w:rsidR="00406D05" w:rsidRPr="00406D05">
        <w:t xml:space="preserve"> </w:t>
      </w:r>
      <w:r w:rsidR="00EF1060">
        <w:t>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lifetime </w:t>
      </w:r>
      <w:r w:rsidR="00EF1060">
        <w:t xml:space="preserve">results </w:t>
      </w:r>
      <w:r w:rsidR="00C51FAB" w:rsidRPr="00C51FAB">
        <w:t>perhaps</w:t>
      </w:r>
      <w:r w:rsidR="008050F9">
        <w:t xml:space="preserve"> </w:t>
      </w:r>
      <w:r w:rsidR="00EF1060">
        <w:t>suggest</w:t>
      </w:r>
      <w:r w:rsidR="001F747C">
        <w:t xml:space="preserve"> </w:t>
      </w:r>
      <w:r w:rsidR="00267596">
        <w:t>a</w:t>
      </w:r>
      <w:r w:rsidR="0066135B">
        <w:t xml:space="preserve"> </w:t>
      </w:r>
      <w:r w:rsidR="004706D2">
        <w:t>two state-like equilibrium</w:t>
      </w:r>
      <w:r w:rsidR="00F16612">
        <w:t xml:space="preserve">, in which </w:t>
      </w:r>
      <w:r w:rsidR="00F2711B">
        <w:t xml:space="preserve">swelled </w:t>
      </w:r>
      <w:r w:rsidR="001D617C">
        <w:t>nanoparticles</w:t>
      </w:r>
      <w:r w:rsidR="00DA66D0">
        <w:t xml:space="preserve"> and </w:t>
      </w:r>
      <w:r w:rsidR="00DA66D0" w:rsidRPr="00DA66D0">
        <w:t>isolated polymer chains</w:t>
      </w:r>
      <w:r w:rsidR="00E70BAB">
        <w:t xml:space="preserve"> </w:t>
      </w:r>
      <w:r w:rsidR="00EF1060">
        <w:t>coexist in equilibrium, within a narrow range of THF concentration</w:t>
      </w:r>
      <w:r w:rsidR="003A3F56">
        <w:t>s</w:t>
      </w:r>
      <w:r w:rsidR="00EF1060">
        <w:t>.</w:t>
      </w:r>
      <w:r w:rsidR="001D617C">
        <w:t xml:space="preserve"> This hypothesis is further supported by the anomalously low </w:t>
      </w:r>
      <w:r w:rsidR="001D617C" w:rsidRPr="001D617C">
        <w:rPr>
          <w:rFonts w:ascii="Symbol" w:hAnsi="Symbol"/>
          <w:i/>
        </w:rPr>
        <w:t></w:t>
      </w:r>
      <w:r w:rsidR="005370C5">
        <w:t xml:space="preserve"> </w:t>
      </w:r>
      <w:r w:rsidR="001D617C">
        <w:t>observed for PFBT in 80% THF</w:t>
      </w:r>
      <w:r w:rsidR="00A20D8F">
        <w:t xml:space="preserve"> and is discussed in more detail below</w:t>
      </w:r>
      <w:r w:rsidR="0066135B" w:rsidRPr="000F43CF">
        <w:t>.</w:t>
      </w:r>
    </w:p>
    <w:p w14:paraId="34E60D49" w14:textId="63FE4611" w:rsidR="00A45F4A" w:rsidRPr="00C91256" w:rsidRDefault="00357040" w:rsidP="00C91256">
      <w:pPr>
        <w:pStyle w:val="Default"/>
        <w:spacing w:line="480" w:lineRule="auto"/>
        <w:ind w:firstLine="720"/>
        <w:jc w:val="both"/>
      </w:pPr>
      <w:r>
        <w:t xml:space="preserve">Given the </w:t>
      </w:r>
      <w:proofErr w:type="gramStart"/>
      <w:r>
        <w:t>red-shifting</w:t>
      </w:r>
      <w:proofErr w:type="gramEnd"/>
      <w:r>
        <w:t xml:space="preserve"> of fluorescence emission in CPNs, it is assumed that chain collapse into nanoparticles introduces J-aggregate </w:t>
      </w:r>
      <w:r w:rsidR="00A20D8F">
        <w:t>species</w:t>
      </w:r>
      <w:r w:rsidR="000D3473">
        <w:t xml:space="preserve">. J-aggregation is typically accompanied by an increase in radiative rate due to an increase in </w:t>
      </w:r>
      <w:r w:rsidR="00E86987">
        <w:t>the net transition dipole</w:t>
      </w:r>
      <w:r w:rsidR="00A20D8F">
        <w:t xml:space="preserve"> moment</w:t>
      </w:r>
      <w:proofErr w:type="gramStart"/>
      <w:r w:rsidR="000D3473">
        <w:t>.</w:t>
      </w:r>
      <w:r w:rsidR="00A75AC0">
        <w:t>{</w:t>
      </w:r>
      <w:proofErr w:type="gramEnd"/>
      <w:r w:rsidR="00A75AC0">
        <w:t>Jelly, 1936 #21;</w:t>
      </w:r>
      <w:r w:rsidR="000D3473">
        <w:t>Wurthner, 2011 #140} With this in mind, the</w:t>
      </w:r>
      <w:r w:rsidR="005C36E5">
        <w:t xml:space="preserve"> radiative rate </w:t>
      </w:r>
      <w:r w:rsidR="000D3473">
        <w:t>of a given polymer or CPN sample</w:t>
      </w:r>
      <w:r w:rsidR="005C36E5">
        <w:t xml:space="preserve"> </w:t>
      </w:r>
      <w:r w:rsidR="00D43EC4">
        <w:t>wa</w:t>
      </w:r>
      <w:r w:rsidR="00C91256">
        <w:t>s</w:t>
      </w:r>
      <w:r w:rsidR="005C36E5">
        <w:t xml:space="preserve"> calculated using the fluorescence quantum yield and </w:t>
      </w:r>
      <w:r w:rsidR="00C91256">
        <w:t xml:space="preserve">fluorescence lifetime </w:t>
      </w:r>
      <w:r w:rsidR="005C36E5">
        <w:t xml:space="preserve">by </w:t>
      </w:r>
      <w:r w:rsidR="005C36E5">
        <w:rPr>
          <w:noProof/>
          <w:position w:val="-14"/>
        </w:rPr>
        <w:drawing>
          <wp:inline distT="0" distB="0" distL="0" distR="0" wp14:anchorId="567A7276" wp14:editId="088E655E">
            <wp:extent cx="74295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 cy="238125"/>
                    </a:xfrm>
                    <a:prstGeom prst="rect">
                      <a:avLst/>
                    </a:prstGeom>
                    <a:noFill/>
                    <a:ln>
                      <a:noFill/>
                    </a:ln>
                  </pic:spPr>
                </pic:pic>
              </a:graphicData>
            </a:graphic>
          </wp:inline>
        </w:drawing>
      </w:r>
      <w:r w:rsidR="00C91256">
        <w:t xml:space="preserve">. While the uncertainty was too high to observe a </w:t>
      </w:r>
      <w:r w:rsidR="00A20D8F">
        <w:t>clear trend</w:t>
      </w:r>
      <w:r w:rsidR="00C91256">
        <w:t xml:space="preserve">, </w:t>
      </w:r>
      <w:r w:rsidR="00C91256" w:rsidRPr="00C91256">
        <w:t>the radiative rate varied over a factor of ~2 for PFBT (~1.2×10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2.5×10</w:t>
      </w:r>
      <w:r w:rsidR="00C91256" w:rsidRPr="00C91256">
        <w:rPr>
          <w:vertAlign w:val="superscript"/>
        </w:rPr>
        <w:t>8</w:t>
      </w:r>
      <w:r w:rsidR="00C91256" w:rsidRPr="00C91256">
        <w:t xml:space="preserve"> s</w:t>
      </w:r>
      <w:r w:rsidR="00C91256" w:rsidRPr="00C91256">
        <w:rPr>
          <w:vertAlign w:val="superscript"/>
        </w:rPr>
        <w:t>-1</w:t>
      </w:r>
      <w:r w:rsidR="00C91256" w:rsidRPr="00C91256">
        <w:t>) and a factor of ~4 (~3.0×10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w:t>
      </w:r>
      <w:r w:rsidR="00C91256" w:rsidRPr="00C91256">
        <w:lastRenderedPageBreak/>
        <w:t>1.2×10</w:t>
      </w:r>
      <w:r w:rsidR="00C91256" w:rsidRPr="00C91256">
        <w:rPr>
          <w:vertAlign w:val="superscript"/>
        </w:rPr>
        <w:t>9</w:t>
      </w:r>
      <w:r w:rsidR="00C91256" w:rsidRPr="00C91256">
        <w:t xml:space="preserve"> s</w:t>
      </w:r>
      <w:r w:rsidR="00C91256" w:rsidRPr="00C91256">
        <w:rPr>
          <w:vertAlign w:val="superscript"/>
        </w:rPr>
        <w:t>-1</w:t>
      </w:r>
      <w:r w:rsidR="00C91256" w:rsidRPr="00C91256">
        <w:t>) for MEH-PPV over the range of THF concentration</w:t>
      </w:r>
      <w:r w:rsidR="00C91256">
        <w:t xml:space="preserve">, indicating that transition dipole coupling between like chromophores is </w:t>
      </w:r>
      <w:r w:rsidR="00D43EC4">
        <w:t xml:space="preserve">possibly </w:t>
      </w:r>
      <w:r w:rsidR="00C91256">
        <w:t>stronger in MEH-PPV as compared to PFBT.</w:t>
      </w:r>
    </w:p>
    <w:p w14:paraId="789884B4" w14:textId="0E2ED7BD" w:rsidR="00363B83" w:rsidRDefault="00636D2A" w:rsidP="00363B83">
      <w:pPr>
        <w:pStyle w:val="Default"/>
        <w:spacing w:line="480" w:lineRule="auto"/>
        <w:jc w:val="center"/>
        <w:rPr>
          <w:sz w:val="20"/>
          <w:szCs w:val="20"/>
        </w:rPr>
      </w:pPr>
      <w:r>
        <w:rPr>
          <w:noProof/>
          <w:sz w:val="20"/>
          <w:szCs w:val="20"/>
        </w:rPr>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51C4FFB5" w:rsidR="00363B83" w:rsidRDefault="00363B83" w:rsidP="00784FB9">
      <w:pPr>
        <w:pStyle w:val="Default"/>
        <w:spacing w:line="480" w:lineRule="auto"/>
        <w:jc w:val="both"/>
        <w:rPr>
          <w:sz w:val="20"/>
          <w:szCs w:val="20"/>
        </w:rPr>
      </w:pPr>
      <w:r>
        <w:rPr>
          <w:b/>
          <w:sz w:val="20"/>
          <w:szCs w:val="20"/>
        </w:rPr>
        <w:t xml:space="preserve">Fig. </w:t>
      </w:r>
      <w:r w:rsidR="000072CF">
        <w:rPr>
          <w:b/>
          <w:sz w:val="20"/>
          <w:szCs w:val="20"/>
        </w:rPr>
        <w:t>5</w:t>
      </w:r>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4B915045" w:rsidR="00C9020A" w:rsidRDefault="00C9020A" w:rsidP="00C9020A">
      <w:pPr>
        <w:pStyle w:val="Default"/>
        <w:spacing w:line="480" w:lineRule="auto"/>
        <w:jc w:val="both"/>
        <w:rPr>
          <w:sz w:val="20"/>
          <w:szCs w:val="20"/>
        </w:rPr>
      </w:pPr>
      <w:r>
        <w:rPr>
          <w:b/>
          <w:sz w:val="20"/>
          <w:szCs w:val="20"/>
        </w:rPr>
        <w:t xml:space="preserve">Fig. </w:t>
      </w:r>
      <w:r w:rsidR="000072CF">
        <w:rPr>
          <w:b/>
          <w:sz w:val="20"/>
          <w:szCs w:val="20"/>
        </w:rPr>
        <w:t>6</w:t>
      </w:r>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0594582C" w14:textId="715A07DC" w:rsidR="00EC1847" w:rsidRDefault="00424148" w:rsidP="000072A1">
      <w:pPr>
        <w:pStyle w:val="Default"/>
        <w:spacing w:line="480" w:lineRule="auto"/>
        <w:ind w:firstLine="720"/>
        <w:jc w:val="both"/>
      </w:pPr>
      <w:proofErr w:type="gramStart"/>
      <w:r>
        <w:rPr>
          <w:b/>
        </w:rPr>
        <w:t xml:space="preserve">Lattice </w:t>
      </w:r>
      <w:r w:rsidR="00AD5A4D">
        <w:rPr>
          <w:b/>
        </w:rPr>
        <w:t>Swelling</w:t>
      </w:r>
      <w:r w:rsidR="000E001B">
        <w:rPr>
          <w:b/>
        </w:rPr>
        <w:t xml:space="preserve"> Model</w:t>
      </w:r>
      <w:r w:rsidR="00AD5A4D">
        <w:rPr>
          <w:b/>
        </w:rPr>
        <w:t>.</w:t>
      </w:r>
      <w:proofErr w:type="gramEnd"/>
      <w:r w:rsidR="00AD5A4D">
        <w:t xml:space="preserve"> </w:t>
      </w:r>
      <w:r w:rsidR="002721D7">
        <w:t>I</w:t>
      </w:r>
      <w:r w:rsidR="00FF4B2D" w:rsidRPr="002721D7">
        <w:t xml:space="preserve">n a dense, </w:t>
      </w:r>
      <w:proofErr w:type="spellStart"/>
      <w:r w:rsidR="00FF4B2D" w:rsidRPr="002721D7">
        <w:t>multichromophoric</w:t>
      </w:r>
      <w:proofErr w:type="spellEnd"/>
      <w:r w:rsidR="00FF4B2D" w:rsidRPr="002721D7">
        <w:t xml:space="preserve"> system, </w:t>
      </w:r>
      <w:r w:rsidR="006615F9" w:rsidRPr="002721D7">
        <w:t xml:space="preserve">(incoherent) </w:t>
      </w:r>
      <w:r w:rsidR="00456954" w:rsidRPr="002721D7">
        <w:t xml:space="preserve">exciton transport </w:t>
      </w:r>
      <w:r w:rsidR="00FF4B2D" w:rsidRPr="002721D7">
        <w:t xml:space="preserve">can be described as </w:t>
      </w:r>
      <w:r w:rsidR="006615F9" w:rsidRPr="002721D7">
        <w:t xml:space="preserve">a series of energy transfer </w:t>
      </w:r>
      <w:r w:rsidR="0002168C" w:rsidRPr="002721D7">
        <w:t>steps to</w:t>
      </w:r>
      <w:r w:rsidR="006542BA" w:rsidRPr="002721D7">
        <w:t xml:space="preserve"> roughly equivalent </w:t>
      </w:r>
      <w:r w:rsidR="0002168C" w:rsidRPr="002721D7">
        <w:t xml:space="preserve">neighboring </w:t>
      </w:r>
      <w:r w:rsidR="006542BA" w:rsidRPr="002721D7">
        <w:t xml:space="preserve">chromophores, terminated by </w:t>
      </w:r>
      <w:r w:rsidR="007D734A" w:rsidRPr="002721D7">
        <w:t>a quencher</w:t>
      </w:r>
      <w:r w:rsidR="002721D7">
        <w:t xml:space="preserve"> </w:t>
      </w:r>
      <w:r w:rsidR="002721D7" w:rsidRPr="000D597B">
        <w:t>(e.g.</w:t>
      </w:r>
      <w:r w:rsidR="002721D7">
        <w:t xml:space="preserve"> </w:t>
      </w:r>
      <w:r w:rsidR="00283706">
        <w:t xml:space="preserve">a </w:t>
      </w:r>
      <w:proofErr w:type="spellStart"/>
      <w:r w:rsidR="002721D7">
        <w:t>nonfluorescent</w:t>
      </w:r>
      <w:proofErr w:type="spellEnd"/>
      <w:r w:rsidR="002721D7">
        <w:t xml:space="preserve"> chemical defect</w:t>
      </w:r>
      <w:r w:rsidR="002721D7" w:rsidRPr="000D597B">
        <w:t xml:space="preserve"> or red</w:t>
      </w:r>
      <w:r w:rsidR="002721D7">
        <w:t>-</w:t>
      </w:r>
      <w:r w:rsidR="002721D7" w:rsidRPr="000D597B">
        <w:t>shifte</w:t>
      </w:r>
      <w:r w:rsidR="002721D7">
        <w:t>d, weakly fluorescent aggregate</w:t>
      </w:r>
      <w:r w:rsidR="002721D7" w:rsidRPr="000D597B">
        <w:t>)</w:t>
      </w:r>
      <w:r w:rsidR="007D734A" w:rsidRPr="002721D7">
        <w:t>, or radiative or non-radiative relaxation t</w:t>
      </w:r>
      <w:r w:rsidR="002721D7" w:rsidRPr="002721D7">
        <w:t>o the ground electronic state</w:t>
      </w:r>
      <w:r w:rsidR="002721D7">
        <w:t>.</w:t>
      </w:r>
      <w:r w:rsidR="000D597B" w:rsidRPr="000D597B">
        <w:t xml:space="preserve"> </w:t>
      </w:r>
      <w:r w:rsidR="002721D7">
        <w:t>T</w:t>
      </w:r>
      <w:r w:rsidR="000D597B" w:rsidRPr="000D597B">
        <w:t xml:space="preserve">he rate of </w:t>
      </w:r>
      <w:r w:rsidR="002721D7">
        <w:t>multiple energy transfer</w:t>
      </w:r>
      <w:r w:rsidR="000D597B" w:rsidRPr="000D597B">
        <w:t xml:space="preserve"> depends on the </w:t>
      </w:r>
      <w:proofErr w:type="spellStart"/>
      <w:r w:rsidR="000D597B" w:rsidRPr="000D597B">
        <w:t>interchromophore</w:t>
      </w:r>
      <w:proofErr w:type="spellEnd"/>
      <w:r w:rsidR="000D597B" w:rsidRPr="000D597B">
        <w:t xml:space="preserve"> spacing, which is determined by the amount of swelling in the CPN</w:t>
      </w:r>
      <w:r w:rsidR="00192C0A">
        <w:t>s (i.e. by the solvent composition</w:t>
      </w:r>
      <w:r w:rsidR="000D597B" w:rsidRPr="000D597B">
        <w:t xml:space="preserve">). We hypothesize that the multiple energy transfer rate is </w:t>
      </w:r>
      <w:r w:rsidR="00FE32D2">
        <w:t>increased</w:t>
      </w:r>
      <w:r w:rsidR="008D01E0">
        <w:t xml:space="preserve"> </w:t>
      </w:r>
      <w:r w:rsidR="000D597B" w:rsidRPr="000D597B">
        <w:t>at lo</w:t>
      </w:r>
      <w:r w:rsidR="00192C0A">
        <w:t>w THF co</w:t>
      </w:r>
      <w:r w:rsidR="00401FD0">
        <w:t xml:space="preserve">ncentrations due </w:t>
      </w:r>
      <w:r w:rsidR="002721D7" w:rsidRPr="002721D7">
        <w:t>to</w:t>
      </w:r>
      <w:r w:rsidR="003F4006">
        <w:t xml:space="preserve"> </w:t>
      </w:r>
      <w:r w:rsidR="00401FD0">
        <w:t>increased chromophore density</w:t>
      </w:r>
      <w:r w:rsidR="00D163B5">
        <w:t>.</w:t>
      </w:r>
      <w:r w:rsidR="00192C0A">
        <w:t xml:space="preserve"> </w:t>
      </w:r>
      <w:r w:rsidR="00D163B5">
        <w:t>This</w:t>
      </w:r>
      <w:r w:rsidR="000D597B" w:rsidRPr="00AF716E">
        <w:t xml:space="preserve"> </w:t>
      </w:r>
      <w:r w:rsidR="00AF716E">
        <w:t>results in</w:t>
      </w:r>
      <w:r w:rsidR="000D597B" w:rsidRPr="000D597B">
        <w:t xml:space="preserve"> increased quenching and faster dec</w:t>
      </w:r>
      <w:r w:rsidR="003B7D17">
        <w:t>ay kinetics in aqueous CPN susp</w:t>
      </w:r>
      <w:r w:rsidR="000D597B" w:rsidRPr="000D597B">
        <w:t>ensions</w:t>
      </w:r>
      <w:r w:rsidR="000D597B">
        <w:t xml:space="preserve"> compared to the polymers in good solvent</w:t>
      </w:r>
      <w:r w:rsidR="000D597B" w:rsidRPr="000D597B">
        <w:t>.</w:t>
      </w:r>
      <w:r w:rsidR="00E86987">
        <w:t xml:space="preserve"> To test this picture</w:t>
      </w:r>
      <w:r w:rsidR="00401FD0">
        <w:t>, we have employed a</w:t>
      </w:r>
      <w:r w:rsidR="00940633">
        <w:t xml:space="preserve"> </w:t>
      </w:r>
      <w:r w:rsidR="004901BE">
        <w:t>discrete lattice</w:t>
      </w:r>
      <w:r w:rsidR="00940633">
        <w:t xml:space="preserve"> </w:t>
      </w:r>
      <w:r w:rsidR="00FE32D2" w:rsidRPr="00FE32D2">
        <w:t>approach</w:t>
      </w:r>
      <w:r w:rsidR="00197195">
        <w:t xml:space="preserve"> </w:t>
      </w:r>
      <w:r w:rsidR="00A66077">
        <w:t xml:space="preserve">using a </w:t>
      </w:r>
      <w:r w:rsidR="00CD4BAE">
        <w:t>numerical random walk algorithm</w:t>
      </w:r>
      <w:r w:rsidR="00401FD0">
        <w:t xml:space="preserve"> </w:t>
      </w:r>
      <w:r w:rsidR="004901BE">
        <w:t xml:space="preserve">in order to </w:t>
      </w:r>
      <w:r w:rsidR="00FE32D2" w:rsidRPr="00FE32D2">
        <w:lastRenderedPageBreak/>
        <w:t>model</w:t>
      </w:r>
      <w:r w:rsidR="00AD5A4D">
        <w:t xml:space="preserve"> </w:t>
      </w:r>
      <w:r w:rsidR="00AD5A4D" w:rsidRPr="004901BE">
        <w:t>the effect</w:t>
      </w:r>
      <w:r w:rsidR="00940633" w:rsidRPr="004901BE">
        <w:t xml:space="preserve"> of solvent-induced swelling</w:t>
      </w:r>
      <w:r w:rsidR="00AD5A4D" w:rsidRPr="004901BE">
        <w:t xml:space="preserve"> on </w:t>
      </w:r>
      <w:r w:rsidR="004901BE">
        <w:t>excit</w:t>
      </w:r>
      <w:r w:rsidR="004901BE" w:rsidRPr="004901BE">
        <w:t>on quenching and decay kinetics</w:t>
      </w:r>
      <w:r w:rsidR="00A66077">
        <w:t>.</w:t>
      </w:r>
      <w:r w:rsidR="0035258B">
        <w:t xml:space="preserve"> </w:t>
      </w:r>
      <w:r w:rsidR="00AF716E">
        <w:t>Similar</w:t>
      </w:r>
      <w:r w:rsidR="0035258B">
        <w:t xml:space="preserve"> approach</w:t>
      </w:r>
      <w:r w:rsidR="00AF716E">
        <w:t>es</w:t>
      </w:r>
      <w:r w:rsidR="0035258B">
        <w:t xml:space="preserve"> w</w:t>
      </w:r>
      <w:r w:rsidR="00AF716E">
        <w:t>ere</w:t>
      </w:r>
      <w:r w:rsidR="0035258B">
        <w:t xml:space="preserve"> previously utilized to model exciton diffusion and energy transfer in </w:t>
      </w:r>
      <w:r w:rsidR="00E8617E">
        <w:t>dye-doped nanopartic</w:t>
      </w:r>
      <w:r w:rsidR="00AF716E">
        <w:t>les on a discrete cubic lattice,</w:t>
      </w:r>
      <w:r w:rsidR="00753E1E">
        <w:t xml:space="preserve"> </w:t>
      </w:r>
      <w:r w:rsidR="00AF716E">
        <w:t>and</w:t>
      </w:r>
      <w:r w:rsidR="00EB201F">
        <w:t xml:space="preserve"> to model fluorescence centroid fluctuations due to </w:t>
      </w:r>
      <w:proofErr w:type="spellStart"/>
      <w:r w:rsidR="00EB201F">
        <w:t>polaron</w:t>
      </w:r>
      <w:proofErr w:type="spellEnd"/>
      <w:r w:rsidR="00EB201F">
        <w:t xml:space="preserve"> motion on single CPNs.</w:t>
      </w:r>
      <w:r w:rsidR="00AF716E" w:rsidRPr="00AF716E">
        <w:t xml:space="preserve"> </w:t>
      </w:r>
      <w:r w:rsidR="00357040">
        <w:t>{Wu, 2008 #49;Yu, 2012 #58}</w:t>
      </w:r>
      <w:hyperlink w:anchor="_ENREF_22" w:tooltip="Yu, 2012 #58" w:history="1"/>
      <w:r w:rsidR="00F9662F">
        <w:t xml:space="preserve"> </w:t>
      </w:r>
      <w:proofErr w:type="gramStart"/>
      <w:r w:rsidR="002630D0" w:rsidRPr="00CC022C">
        <w:t>Here</w:t>
      </w:r>
      <w:proofErr w:type="gramEnd"/>
      <w:r w:rsidR="002630D0" w:rsidRPr="00CC022C">
        <w:t>, we represent t</w:t>
      </w:r>
      <w:r w:rsidR="00CC022C" w:rsidRPr="00CC022C">
        <w:t>he particle as a cubic lattice.</w:t>
      </w:r>
      <w:r w:rsidR="002630D0">
        <w:t xml:space="preserve"> </w:t>
      </w:r>
      <w:r w:rsidR="003902F9">
        <w:t xml:space="preserve">Each lattice point represents one chromophore, </w:t>
      </w:r>
      <w:r w:rsidR="000072A1">
        <w:t>with lattice spacing</w:t>
      </w:r>
      <w:r w:rsidR="00354D89">
        <w:t xml:space="preserve"> </w:t>
      </w:r>
      <w:r w:rsidR="004A7A83">
        <w:t>(</w:t>
      </w:r>
      <w:r w:rsidR="004A7A83">
        <w:rPr>
          <w:rFonts w:ascii="Symbol" w:hAnsi="Symbol"/>
        </w:rPr>
        <w:t></w:t>
      </w:r>
      <w:r w:rsidR="004A7A83" w:rsidRPr="004A7A83">
        <w:rPr>
          <w:i/>
        </w:rPr>
        <w:t>x</w:t>
      </w:r>
      <w:r w:rsidR="004A7A83">
        <w:t xml:space="preserve">) </w:t>
      </w:r>
      <w:r w:rsidR="0066135B">
        <w:t xml:space="preserve">determined by the cube root of the volume of one </w:t>
      </w:r>
      <w:proofErr w:type="spellStart"/>
      <w:r w:rsidR="0066135B">
        <w:t>chromophore</w:t>
      </w:r>
      <w:proofErr w:type="spellEnd"/>
      <w:r w:rsidR="0066135B">
        <w:t>.</w:t>
      </w:r>
      <w:r w:rsidR="002045D1">
        <w:t xml:space="preserve"> </w:t>
      </w:r>
      <w:proofErr w:type="spellStart"/>
      <w:r w:rsidR="002045D1">
        <w:t>Excitons</w:t>
      </w:r>
      <w:proofErr w:type="spellEnd"/>
      <w:r w:rsidR="002045D1">
        <w:t xml:space="preserve"> </w:t>
      </w:r>
      <w:r w:rsidR="00E01D79">
        <w:t>undergo energy transfer</w:t>
      </w:r>
      <w:r w:rsidR="002045D1">
        <w:t xml:space="preserve"> between nearest neighbor chromophores, and the energy transfer rate is set to reproduce the observed</w:t>
      </w:r>
      <w:r w:rsidR="00354D89">
        <w:t xml:space="preserve"> exciton</w:t>
      </w:r>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proofErr w:type="gramStart"/>
      <w:r w:rsidR="002045D1">
        <w:t>.</w:t>
      </w:r>
      <w:r w:rsidR="00357040">
        <w:t>{</w:t>
      </w:r>
      <w:proofErr w:type="gramEnd"/>
      <w:r w:rsidR="00357040">
        <w:t>Groff, 2013 #60}</w:t>
      </w:r>
      <w:r w:rsidR="002045D1">
        <w:t xml:space="preserve"> </w:t>
      </w:r>
      <w:r w:rsidR="00604814">
        <w:t xml:space="preserve">The </w:t>
      </w:r>
      <w:r w:rsidR="00F16612">
        <w:t>multiple</w:t>
      </w:r>
      <w:r w:rsidR="00604814">
        <w:t xml:space="preserve"> energy </w:t>
      </w:r>
      <w:r w:rsidR="00E01D79">
        <w:t>transfer</w:t>
      </w:r>
      <w:r w:rsidR="00EC1847">
        <w:t xml:space="preserve"> probability for a random walk in the absence of swelling is given by</w:t>
      </w:r>
      <w:r w:rsidR="00244F60">
        <w:rPr>
          <w:position w:val="-12"/>
        </w:rPr>
        <w:pict w14:anchorId="214DB2E7">
          <v:shape id="_x0000_i1028" type="#_x0000_t75" style="width:83.5pt;height:19pt">
            <v:imagedata r:id="rId15" o:title=""/>
          </v:shape>
        </w:pict>
      </w:r>
      <w:r w:rsidR="00EC1847">
        <w:t xml:space="preserve">, where </w:t>
      </w:r>
      <w:r w:rsidR="00EC1847">
        <w:rPr>
          <w:rFonts w:ascii="Symbol" w:hAnsi="Symbol"/>
        </w:rPr>
        <w:t></w:t>
      </w:r>
      <w:r w:rsidR="00EC1847" w:rsidRPr="00ED41BB">
        <w:rPr>
          <w:i/>
        </w:rPr>
        <w:t>t</w:t>
      </w:r>
      <w:r w:rsidR="00EC1847">
        <w:t xml:space="preserve"> is the time step, and</w:t>
      </w:r>
      <w:r w:rsidR="00EC1847">
        <w:rPr>
          <w:i/>
        </w:rPr>
        <w:t xml:space="preserve"> </w:t>
      </w:r>
      <w:r w:rsidR="00EC1847" w:rsidRPr="003E37B8">
        <w:rPr>
          <w:i/>
        </w:rPr>
        <w:t>D</w:t>
      </w:r>
      <w:r w:rsidR="00EC1847">
        <w:t xml:space="preserve"> is the exciton diffusion constant given by </w:t>
      </w:r>
      <w:r w:rsidR="00244F60">
        <w:rPr>
          <w:position w:val="-12"/>
        </w:rPr>
        <w:pict w14:anchorId="45875A00">
          <v:shape id="_x0000_i1029" type="#_x0000_t75" style="width:62.5pt;height:19pt">
            <v:imagedata r:id="rId16" o:title=""/>
          </v:shape>
        </w:pict>
      </w:r>
      <w:r w:rsidR="003E37B8">
        <w:t xml:space="preserve">, where </w:t>
      </w:r>
      <w:r w:rsidR="00244F60">
        <w:rPr>
          <w:position w:val="-12"/>
        </w:rPr>
        <w:pict w14:anchorId="1BDDDE34">
          <v:shape id="_x0000_i1030" type="#_x0000_t75" style="width:13pt;height:18pt">
            <v:imagedata r:id="rId17" o:title=""/>
          </v:shape>
        </w:pict>
      </w:r>
      <w:r w:rsidR="003E37B8">
        <w:t xml:space="preserve"> </w:t>
      </w:r>
      <w:r w:rsidR="00EC1847">
        <w:t xml:space="preserve">is the lifetime of the polymer in </w:t>
      </w:r>
      <w:r w:rsidR="003E37B8">
        <w:t>the absence of quenchers</w:t>
      </w:r>
      <w:r w:rsidR="00EC1847">
        <w:t>.</w:t>
      </w:r>
    </w:p>
    <w:p w14:paraId="1C1DB2D5" w14:textId="1B9413FE" w:rsidR="00FF3C9F" w:rsidRDefault="000072A1" w:rsidP="007B1E44">
      <w:pPr>
        <w:pStyle w:val="Default"/>
        <w:spacing w:line="480" w:lineRule="auto"/>
        <w:ind w:firstLine="720"/>
        <w:jc w:val="both"/>
      </w:pPr>
      <w:r>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 xml:space="preserve">ncreases in the </w:t>
      </w:r>
      <w:r w:rsidR="00F907D2">
        <w:t xml:space="preserve">lattice spacing were calculated </w:t>
      </w:r>
      <w:r w:rsidR="005B6728">
        <w:t>using</w:t>
      </w:r>
      <w:r w:rsidR="00F907D2">
        <w:t xml:space="preserve"> particle sizing results obtained </w:t>
      </w:r>
      <w:r w:rsidR="005B6728">
        <w:t xml:space="preserve">by Carson, et al. </w:t>
      </w:r>
      <w:r w:rsidR="00F907D2">
        <w:t>via optical microscopy</w:t>
      </w:r>
      <w:r w:rsidR="00354D89">
        <w:t xml:space="preserve"> </w:t>
      </w:r>
      <w:r w:rsidR="00F907D2">
        <w:t xml:space="preserve">on </w:t>
      </w:r>
      <w:r w:rsidR="00354D89">
        <w:t>PS beads swelled with THF</w:t>
      </w:r>
      <w:proofErr w:type="gramStart"/>
      <w:r w:rsidR="00354D89">
        <w:t>.</w:t>
      </w:r>
      <w:r w:rsidR="00357040">
        <w:t>{</w:t>
      </w:r>
      <w:proofErr w:type="gramEnd"/>
      <w:r w:rsidR="00357040">
        <w:t>Lee, 2011 #59}</w:t>
      </w:r>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given by</w:t>
      </w:r>
      <w:r w:rsidR="00244F60">
        <w:rPr>
          <w:position w:val="-10"/>
        </w:rPr>
        <w:pict w14:anchorId="0986A6DA">
          <v:shape id="_x0000_i1031" type="#_x0000_t75" style="width:69pt;height:19pt">
            <v:imagedata r:id="rId18" o:title=""/>
          </v:shape>
        </w:pict>
      </w:r>
      <w:r w:rsidR="002C26E4" w:rsidRPr="002C26E4">
        <w:t xml:space="preserve">, where </w:t>
      </w:r>
      <w:r w:rsidR="002C26E4" w:rsidRPr="002C26E4">
        <w:rPr>
          <w:i/>
        </w:rPr>
        <w:t>d</w:t>
      </w:r>
      <w:r w:rsidR="002C26E4" w:rsidRPr="002C26E4">
        <w:t xml:space="preserve"> and </w:t>
      </w:r>
      <w:r w:rsidR="002C26E4">
        <w:rPr>
          <w:rFonts w:ascii="Symbol" w:hAnsi="Symbol"/>
        </w:rPr>
        <w:t></w:t>
      </w:r>
      <w:r w:rsidR="002C26E4" w:rsidRPr="002C26E4">
        <w:rPr>
          <w:i/>
        </w:rPr>
        <w:t>x</w:t>
      </w:r>
      <w:r w:rsidR="002C26E4" w:rsidRPr="002C26E4">
        <w:t xml:space="preserve"> are the swelled and </w:t>
      </w:r>
      <w:proofErr w:type="spellStart"/>
      <w:r w:rsidR="002C26E4" w:rsidRPr="002C26E4">
        <w:t>unswelled</w:t>
      </w:r>
      <w:proofErr w:type="spellEnd"/>
      <w:r w:rsidR="002C26E4" w:rsidRPr="002C26E4">
        <w:t xml:space="preserve"> lattice </w:t>
      </w:r>
      <w:proofErr w:type="spellStart"/>
      <w:r w:rsidR="002C26E4" w:rsidRPr="002C26E4">
        <w:t>spacings</w:t>
      </w:r>
      <w:proofErr w:type="spellEnd"/>
      <w:r w:rsidR="002C26E4" w:rsidRPr="002C26E4">
        <w:t>, respectively.</w:t>
      </w:r>
      <w:r w:rsidR="00E86987" w:rsidRPr="00E86987">
        <w:rPr>
          <w:highlight w:val="yellow"/>
        </w:rPr>
        <w:t>[note: it is not completely clear where the f factor enters into the calculations</w:t>
      </w:r>
      <w:r w:rsidR="00CE2C7C">
        <w:rPr>
          <w:highlight w:val="yellow"/>
        </w:rPr>
        <w:t>, where the cube root comes from, and whether it is on the proper side of the equals sign</w:t>
      </w:r>
      <w:r w:rsidR="00E86987" w:rsidRPr="00E86987">
        <w:rPr>
          <w:highlight w:val="yellow"/>
        </w:rPr>
        <w:t>. Add something about that</w:t>
      </w:r>
      <w:r w:rsidR="00CE2C7C">
        <w:rPr>
          <w:highlight w:val="yellow"/>
        </w:rPr>
        <w:t xml:space="preserve"> or somehow clarify</w:t>
      </w:r>
      <w:r w:rsidR="003A40C3">
        <w:rPr>
          <w:highlight w:val="yellow"/>
        </w:rPr>
        <w:t>, maybe with an example (i.e., if the volume of the particle increases by a factor of 1000, what is “f” for that level of swelling?)</w:t>
      </w:r>
      <w:r w:rsidR="00E86987" w:rsidRPr="00E86987">
        <w:rPr>
          <w:highlight w:val="yellow"/>
        </w:rPr>
        <w:t>.</w:t>
      </w:r>
      <w:r w:rsidR="00D2331B">
        <w:rPr>
          <w:highlight w:val="yellow"/>
        </w:rPr>
        <w:t xml:space="preserve"> Also, this discussion of swelling should </w:t>
      </w:r>
      <w:r w:rsidR="00CE2C7C">
        <w:rPr>
          <w:highlight w:val="yellow"/>
        </w:rPr>
        <w:t xml:space="preserve">probably </w:t>
      </w:r>
      <w:r w:rsidR="00D2331B">
        <w:rPr>
          <w:highlight w:val="yellow"/>
        </w:rPr>
        <w:t xml:space="preserve">be placed after the lattice spacing </w:t>
      </w:r>
      <w:r w:rsidR="00CE2C7C">
        <w:rPr>
          <w:highlight w:val="yellow"/>
        </w:rPr>
        <w:t xml:space="preserve">and energy transfer </w:t>
      </w:r>
      <w:r w:rsidR="00D2331B">
        <w:rPr>
          <w:highlight w:val="yellow"/>
        </w:rPr>
        <w:t xml:space="preserve">calculation. Also, is this right and </w:t>
      </w:r>
      <w:r w:rsidR="00D2331B">
        <w:rPr>
          <w:highlight w:val="yellow"/>
        </w:rPr>
        <w:lastRenderedPageBreak/>
        <w:t>consi</w:t>
      </w:r>
      <w:r w:rsidR="003A40C3">
        <w:rPr>
          <w:highlight w:val="yellow"/>
        </w:rPr>
        <w:t>stent with how f is used below?</w:t>
      </w:r>
      <w:r w:rsidR="00E86987" w:rsidRPr="00E86987">
        <w:rPr>
          <w:highlight w:val="yellow"/>
        </w:rPr>
        <w:t>]</w:t>
      </w:r>
      <w:r w:rsidR="002C26E4" w:rsidRPr="002C26E4">
        <w:t xml:space="preserve"> The </w:t>
      </w:r>
      <w:proofErr w:type="spellStart"/>
      <w:r w:rsidR="002C26E4" w:rsidRPr="002C26E4">
        <w:t>unswelled</w:t>
      </w:r>
      <w:proofErr w:type="spellEnd"/>
      <w:r w:rsidR="002C26E4" w:rsidRPr="002C26E4">
        <w:t xml:space="preserve"> lattice spacing is calculated by taking the cube root of the approximate volume of one </w:t>
      </w:r>
      <w:proofErr w:type="spellStart"/>
      <w:r w:rsidR="002C26E4" w:rsidRPr="002C26E4">
        <w:t>chromophore</w:t>
      </w:r>
      <w:proofErr w:type="spellEnd"/>
      <w:r w:rsidR="00D2331B">
        <w:t xml:space="preserve"> (assumed to consist of two monomer units)</w:t>
      </w:r>
      <w:r w:rsidR="002C26E4" w:rsidRPr="002C26E4">
        <w:t xml:space="preserve">, which </w:t>
      </w:r>
      <w:r w:rsidR="004F4E9F">
        <w:t>results in a spacing of</w:t>
      </w:r>
      <w:r w:rsidR="002C26E4" w:rsidRPr="002C26E4">
        <w:t xml:space="preserve"> 1.2 nm f</w:t>
      </w:r>
      <w:r w:rsidR="00DA7FCA">
        <w:t xml:space="preserve">or PFBT, and 0.9 nm for MEH-PPV. The model </w:t>
      </w:r>
      <w:r w:rsidR="00B0151F">
        <w:t xml:space="preserve">quenching efficiency and </w:t>
      </w:r>
      <w:r w:rsidR="00B0151F" w:rsidRPr="00B0151F">
        <w:rPr>
          <w:rFonts w:ascii="Symbol" w:hAnsi="Symbol"/>
          <w:i/>
        </w:rPr>
        <w:t></w:t>
      </w:r>
      <w:r w:rsidR="00DA7FCA">
        <w:t xml:space="preserve"> are relatively insensitive to the initial chromophore size</w:t>
      </w:r>
      <w:r w:rsidR="00B0151F">
        <w:t xml:space="preserve"> (0.8 nm versus 1.5 nm,</w:t>
      </w:r>
      <w:r w:rsidR="00B0151F" w:rsidRPr="00B0151F">
        <w:t xml:space="preserve"> </w:t>
      </w:r>
      <w:r w:rsidR="00B0151F">
        <w:t>holding all other parameters constant)</w:t>
      </w:r>
      <w:r w:rsidR="00AF716E">
        <w:t>.</w:t>
      </w:r>
      <w:r w:rsidR="00B0151F">
        <w:t xml:space="preserve"> </w:t>
      </w:r>
      <w:r w:rsidR="00B0151F" w:rsidRPr="00D2331B">
        <w:rPr>
          <w:highlight w:val="yellow"/>
        </w:rPr>
        <w:t xml:space="preserve">The lifetime results yield the largest percent difference </w:t>
      </w:r>
      <w:r w:rsidR="00AF716E" w:rsidRPr="00D2331B">
        <w:rPr>
          <w:highlight w:val="yellow"/>
        </w:rPr>
        <w:t xml:space="preserve">between the values obtained at both </w:t>
      </w:r>
      <w:proofErr w:type="spellStart"/>
      <w:r w:rsidR="00AF716E" w:rsidRPr="00D2331B">
        <w:rPr>
          <w:highlight w:val="yellow"/>
        </w:rPr>
        <w:t>spacings</w:t>
      </w:r>
      <w:proofErr w:type="spellEnd"/>
      <w:r w:rsidR="00AF716E" w:rsidRPr="00D2331B">
        <w:rPr>
          <w:highlight w:val="yellow"/>
        </w:rPr>
        <w:t xml:space="preserve"> </w:t>
      </w:r>
      <w:r w:rsidR="00B0151F" w:rsidRPr="00D2331B">
        <w:rPr>
          <w:highlight w:val="yellow"/>
        </w:rPr>
        <w:t>at ~20%</w:t>
      </w:r>
      <w:proofErr w:type="gramStart"/>
      <w:r w:rsidR="00DA7FCA" w:rsidRPr="00D2331B">
        <w:rPr>
          <w:highlight w:val="yellow"/>
        </w:rPr>
        <w:t>.</w:t>
      </w:r>
      <w:r w:rsidR="00D2331B" w:rsidRPr="00D2331B">
        <w:rPr>
          <w:highlight w:val="yellow"/>
        </w:rPr>
        <w:t>[</w:t>
      </w:r>
      <w:proofErr w:type="gramEnd"/>
      <w:r w:rsidR="00D2331B" w:rsidRPr="00D2331B">
        <w:rPr>
          <w:highlight w:val="yellow"/>
        </w:rPr>
        <w:t>unclear]</w:t>
      </w:r>
      <w:r w:rsidR="00B0151F">
        <w:t xml:space="preserve"> </w:t>
      </w:r>
      <w:r w:rsidR="00B0151F" w:rsidRPr="00AF716E">
        <w:t xml:space="preserve">These differences are </w:t>
      </w:r>
      <w:r w:rsidR="00B0151F" w:rsidRPr="00D2331B">
        <w:rPr>
          <w:highlight w:val="yellow"/>
        </w:rPr>
        <w:t>dealt with</w:t>
      </w:r>
      <w:r w:rsidR="00D2331B">
        <w:t>[awkward]</w:t>
      </w:r>
      <w:r w:rsidR="00B0151F" w:rsidRPr="00AF716E">
        <w:t xml:space="preserve"> by scaling the energy transfer rate to reproduce </w:t>
      </w:r>
      <w:r w:rsidR="00B0151F" w:rsidRPr="00AF716E">
        <w:rPr>
          <w:i/>
        </w:rPr>
        <w:t>L</w:t>
      </w:r>
      <w:r w:rsidR="00B0151F" w:rsidRPr="00AF716E">
        <w:rPr>
          <w:i/>
          <w:vertAlign w:val="subscript"/>
        </w:rPr>
        <w:t>D</w:t>
      </w:r>
      <w:r w:rsidR="00B0151F" w:rsidRPr="00AF716E">
        <w:t>.</w:t>
      </w:r>
      <w:r w:rsidR="002C26E4" w:rsidRPr="002C26E4">
        <w:t xml:space="preserve"> The </w:t>
      </w:r>
      <w:r w:rsidR="00C91725" w:rsidRPr="002F2387">
        <w:t xml:space="preserve">increase in the </w:t>
      </w:r>
      <w:proofErr w:type="spellStart"/>
      <w:r w:rsidR="00C91725" w:rsidRPr="002F2387">
        <w:t>interchromo</w:t>
      </w:r>
      <w:r w:rsidR="002F2387" w:rsidRPr="002F2387">
        <w:t>phore</w:t>
      </w:r>
      <w:proofErr w:type="spellEnd"/>
      <w:r w:rsidR="002F2387" w:rsidRPr="002F2387">
        <w:t xml:space="preserve"> distance due to swelling</w:t>
      </w:r>
      <w:r w:rsidR="00C91725">
        <w:t xml:space="preserve"> </w:t>
      </w:r>
      <w:r w:rsidR="002C26E4" w:rsidRPr="002C26E4">
        <w:t xml:space="preserve">is calculated by </w:t>
      </w:r>
      <w:r w:rsidR="001D7030" w:rsidRPr="002F2387">
        <w:t xml:space="preserve">scaling the </w:t>
      </w:r>
      <w:proofErr w:type="spellStart"/>
      <w:r w:rsidR="001D7030" w:rsidRPr="002F2387">
        <w:t>interchro</w:t>
      </w:r>
      <w:r w:rsidR="00C97BCC" w:rsidRPr="002F2387">
        <w:t>mophore</w:t>
      </w:r>
      <w:proofErr w:type="spellEnd"/>
      <w:r w:rsidR="00C97BCC" w:rsidRPr="002F2387">
        <w:t xml:space="preserve"> spacing to match the PS/THF swelling results</w:t>
      </w:r>
      <w:r w:rsidR="002F2387" w:rsidRPr="002F2387">
        <w:t>.</w:t>
      </w:r>
      <w:r w:rsidR="00863276">
        <w:t xml:space="preserve"> </w:t>
      </w:r>
      <w:r w:rsidR="00D2331B" w:rsidRPr="00D2331B">
        <w:rPr>
          <w:highlight w:val="yellow"/>
        </w:rPr>
        <w:t>[</w:t>
      </w:r>
      <w:proofErr w:type="gramStart"/>
      <w:r w:rsidR="00D2331B" w:rsidRPr="00D2331B">
        <w:rPr>
          <w:highlight w:val="yellow"/>
        </w:rPr>
        <w:t>move</w:t>
      </w:r>
      <w:proofErr w:type="gramEnd"/>
      <w:r w:rsidR="00D2331B" w:rsidRPr="00D2331B">
        <w:rPr>
          <w:highlight w:val="yellow"/>
        </w:rPr>
        <w:t xml:space="preserve"> discussion of “f” here?</w:t>
      </w:r>
      <w:r w:rsidR="003A40C3">
        <w:rPr>
          <w:highlight w:val="yellow"/>
        </w:rPr>
        <w:t xml:space="preserve"> maybe redefine “f” somewhat to make it clearer to the reader (I know we settled on a particular definition in the code, but sometimes it takes another round of redefining factors and constants and pictures to make it clear enough for the reader.</w:t>
      </w:r>
      <w:r w:rsidR="00D2331B" w:rsidRPr="00D2331B">
        <w:rPr>
          <w:highlight w:val="yellow"/>
        </w:rPr>
        <w:t>]</w:t>
      </w:r>
      <w:r w:rsidR="00D2331B">
        <w:t xml:space="preserve"> </w:t>
      </w:r>
      <w:r w:rsidR="00493DD3">
        <w:t>B</w:t>
      </w:r>
      <w:r w:rsidR="00493DD3" w:rsidRPr="003E37B8">
        <w:t>ased on</w:t>
      </w:r>
      <w:r w:rsidR="00493DD3">
        <w:t xml:space="preserve"> the well-known result that transition dipole coupling strength in </w:t>
      </w:r>
      <w:proofErr w:type="spellStart"/>
      <w:r w:rsidR="00493DD3">
        <w:t>excitonic</w:t>
      </w:r>
      <w:proofErr w:type="spellEnd"/>
      <w:r w:rsidR="00493DD3">
        <w:t xml:space="preserve"> systems is proportional to the </w:t>
      </w:r>
      <w:r w:rsidR="00493DD3" w:rsidRPr="00F42E82">
        <w:t>inter-chromophore distance</w:t>
      </w:r>
      <w:r w:rsidR="00493DD3">
        <w:t xml:space="preserve"> raised to a power -</w:t>
      </w:r>
      <w:r w:rsidR="00493DD3">
        <w:rPr>
          <w:i/>
        </w:rPr>
        <w:t>k</w:t>
      </w:r>
      <w:r w:rsidR="00493DD3">
        <w:t xml:space="preserve">, which is a constant typically between 2-4, assumed to be 2 for </w:t>
      </w:r>
      <w:r w:rsidR="00493DD3" w:rsidRPr="000F43CF">
        <w:t>these (or similar) polymers</w:t>
      </w:r>
      <w:proofErr w:type="gramStart"/>
      <w:r w:rsidR="00493DD3">
        <w:t>,</w:t>
      </w:r>
      <w:r w:rsidR="003A40C3" w:rsidRPr="003A40C3">
        <w:rPr>
          <w:highlight w:val="yellow"/>
        </w:rPr>
        <w:t>[</w:t>
      </w:r>
      <w:proofErr w:type="gramEnd"/>
      <w:r w:rsidR="003A40C3" w:rsidRPr="003A40C3">
        <w:rPr>
          <w:highlight w:val="yellow"/>
        </w:rPr>
        <w:t>move the reference here]</w:t>
      </w:r>
      <w:r w:rsidR="00493DD3">
        <w:t xml:space="preserve"> t</w:t>
      </w:r>
      <w:r w:rsidR="00EC1847">
        <w:t>he</w:t>
      </w:r>
      <w:r>
        <w:t xml:space="preserve"> </w:t>
      </w:r>
      <w:r w:rsidR="003E37B8">
        <w:t>multiple</w:t>
      </w:r>
      <w:r w:rsidR="00863276">
        <w:t xml:space="preserve"> energy</w:t>
      </w:r>
      <w:r w:rsidR="00BB7950">
        <w:t xml:space="preserve"> transfer</w:t>
      </w:r>
      <w:r>
        <w:t xml:space="preserve"> probability</w:t>
      </w:r>
      <w:r w:rsidR="00D64D83">
        <w:t xml:space="preserve"> </w:t>
      </w:r>
      <w:r>
        <w:t xml:space="preserve">was reduced by </w:t>
      </w:r>
      <w:r w:rsidR="00493DD3">
        <w:t>an adjusted swelling</w:t>
      </w:r>
      <w:r>
        <w:t xml:space="preserve"> factor </w:t>
      </w:r>
      <w:r w:rsidR="00244F60">
        <w:rPr>
          <w:position w:val="-10"/>
        </w:rPr>
        <w:pict w14:anchorId="393A99A4">
          <v:shape id="_x0000_i1032" type="#_x0000_t75" style="width:24pt;height:18pt">
            <v:imagedata r:id="rId19" o:title=""/>
          </v:shape>
        </w:pict>
      </w:r>
      <w:r w:rsidR="00D64D83">
        <w:t xml:space="preserve">, </w:t>
      </w:r>
      <w:r w:rsidR="0051702E">
        <w:t>given by</w:t>
      </w:r>
      <w:r w:rsidR="00D64D83">
        <w:t xml:space="preserve"> </w:t>
      </w:r>
      <w:r w:rsidR="00244F60">
        <w:rPr>
          <w:position w:val="-10"/>
        </w:rPr>
        <w:pict w14:anchorId="3A5AA7C8">
          <v:shape id="_x0000_i1033" type="#_x0000_t75" style="width:44pt;height:18pt">
            <v:imagedata r:id="rId20" o:title=""/>
          </v:shape>
        </w:pict>
      </w:r>
      <w:r w:rsidR="00011DBF">
        <w:t xml:space="preserve">, </w:t>
      </w:r>
      <w:r w:rsidR="00E12403">
        <w:t xml:space="preserve">which </w:t>
      </w:r>
      <w:r w:rsidR="00011DBF">
        <w:t>yield</w:t>
      </w:r>
      <w:r w:rsidR="00E12403">
        <w:t>s</w:t>
      </w:r>
      <w:r w:rsidR="00011DBF">
        <w:t xml:space="preserve"> </w:t>
      </w:r>
      <w:r w:rsidR="00244F60">
        <w:rPr>
          <w:position w:val="-12"/>
        </w:rPr>
        <w:pict w14:anchorId="10EF522D">
          <v:shape id="_x0000_i1034" type="#_x0000_t75" style="width:87pt;height:19pt">
            <v:imagedata r:id="rId21" o:title=""/>
          </v:shape>
        </w:pict>
      </w:r>
      <w:r w:rsidR="00D64D83">
        <w:t>.</w:t>
      </w:r>
      <w:r w:rsidR="00357040" w:rsidRPr="003A40C3">
        <w:rPr>
          <w:highlight w:val="yellow"/>
        </w:rPr>
        <w:t>{</w:t>
      </w:r>
      <w:proofErr w:type="spellStart"/>
      <w:r w:rsidR="00357040" w:rsidRPr="003A40C3">
        <w:rPr>
          <w:highlight w:val="yellow"/>
        </w:rPr>
        <w:t>Emelianova</w:t>
      </w:r>
      <w:proofErr w:type="spellEnd"/>
      <w:r w:rsidR="00357040" w:rsidRPr="003A40C3">
        <w:rPr>
          <w:highlight w:val="yellow"/>
        </w:rPr>
        <w:t>, 2010 #14}</w:t>
      </w:r>
      <w:r w:rsidR="004B5139">
        <w:t xml:space="preserve"> </w:t>
      </w:r>
      <w:r>
        <w:t xml:space="preserve">The time step size </w:t>
      </w:r>
      <w:r w:rsidR="00EC1847">
        <w:t xml:space="preserve">was adjusted so that </w:t>
      </w:r>
      <w:r w:rsidR="003A5BEC">
        <w:t xml:space="preserve">prior to increasing the </w:t>
      </w:r>
      <w:proofErr w:type="spellStart"/>
      <w:r w:rsidR="003A5BEC">
        <w:t>interchromophore</w:t>
      </w:r>
      <w:proofErr w:type="spellEnd"/>
      <w:r w:rsidR="003A5BEC">
        <w:t xml:space="preserve"> spacing</w:t>
      </w:r>
      <w:r w:rsidR="00EC1847">
        <w:t>,</w:t>
      </w:r>
      <w:r w:rsidR="003A5BEC">
        <w:t xml:space="preserve"> the energy transfer probability was between 1-2%.</w:t>
      </w:r>
      <w:r w:rsidR="00FE506C">
        <w:t xml:space="preserve"> </w:t>
      </w:r>
      <w:r>
        <w:t xml:space="preserve">An integer number of quenchers </w:t>
      </w:r>
      <w:r w:rsidR="003A5BEC">
        <w:t>are placed randomly</w:t>
      </w:r>
      <w:r>
        <w:t xml:space="preserve"> on the lattice, each with a </w:t>
      </w:r>
      <w:proofErr w:type="spellStart"/>
      <w:r w:rsidR="001501FB">
        <w:t>F</w:t>
      </w:r>
      <w:r w:rsidR="00283706">
        <w:t>örster</w:t>
      </w:r>
      <w:proofErr w:type="spellEnd"/>
      <w:r w:rsidR="00283706">
        <w:t>-type</w:t>
      </w:r>
      <w:r w:rsidR="001501FB">
        <w:t xml:space="preserve"> </w:t>
      </w:r>
      <w:r>
        <w:t xml:space="preserve">quenching radius of 4 nm, similar to that of a </w:t>
      </w:r>
      <w:proofErr w:type="spellStart"/>
      <w:r>
        <w:t>perylene</w:t>
      </w:r>
      <w:proofErr w:type="spellEnd"/>
      <w:r>
        <w:t xml:space="preserve"> red dye molecule.</w:t>
      </w:r>
      <w:r w:rsidR="00357040">
        <w:t>{Groff, 2013 #60}</w:t>
      </w:r>
      <w:r>
        <w:t xml:space="preserve"> The mean number of quenchers per nanoparticle is d</w:t>
      </w:r>
      <w:r w:rsidR="00FE153C">
        <w:t>etermined</w:t>
      </w:r>
      <w:r>
        <w:t xml:space="preserve"> by adding quenchers until the simulated exciton lifetime approximately reproduces the lifetime of CPNs</w:t>
      </w:r>
      <w:r w:rsidR="00EC1847">
        <w:t xml:space="preserve"> in water. </w:t>
      </w:r>
      <w:r w:rsidR="00505AFD">
        <w:t>The number of quenchers</w:t>
      </w:r>
      <w:r w:rsidR="00CA2BF2">
        <w:t xml:space="preserve"> for each polymer was determined to be 9 for PFBT</w:t>
      </w:r>
      <w:r w:rsidR="00505AFD">
        <w:t>, and</w:t>
      </w:r>
      <w:r w:rsidR="002A55DF">
        <w:t xml:space="preserve"> 10 for</w:t>
      </w:r>
      <w:r w:rsidR="00505AFD">
        <w:t xml:space="preserve"> MEH-PPV</w:t>
      </w:r>
      <w:r w:rsidR="003A40C3">
        <w:t xml:space="preserve"> </w:t>
      </w:r>
      <w:r w:rsidR="003A40C3" w:rsidRPr="003A40C3">
        <w:rPr>
          <w:highlight w:val="yellow"/>
        </w:rPr>
        <w:t xml:space="preserve">[you </w:t>
      </w:r>
      <w:r w:rsidR="003A40C3" w:rsidRPr="003A40C3">
        <w:rPr>
          <w:highlight w:val="yellow"/>
        </w:rPr>
        <w:lastRenderedPageBreak/>
        <w:t>can’t give the number of quenchers per nanoparticle without reporting nanoparticle size and possibly number of grid points]</w:t>
      </w:r>
      <w:r w:rsidR="00505AFD">
        <w:t xml:space="preserve">.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a </w:t>
      </w:r>
      <w:r w:rsidR="00791280">
        <w:t>larger particle (10</w:t>
      </w:r>
      <w:r w:rsidR="00791280" w:rsidRPr="00791280">
        <w:t>x10x10</w:t>
      </w:r>
      <w:r w:rsidR="00BE737E">
        <w:t xml:space="preserve"> </w:t>
      </w:r>
      <w:r w:rsidR="00721C88">
        <w:t>nm cube)</w:t>
      </w:r>
      <w:r w:rsidR="003A40C3" w:rsidRPr="003A40C3">
        <w:rPr>
          <w:highlight w:val="yellow"/>
        </w:rPr>
        <w:t>[this needs to be reported together in the same sentences with the number of quenchers, see above.]</w:t>
      </w:r>
      <w:r w:rsidR="00721C88">
        <w:t xml:space="preserv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BD3D3F">
        <w:t>. The exclusion of Poisson statistical effects on the system is due to the quality of fit of the model results to the experimental results in its absence (discussed be</w:t>
      </w:r>
      <w:r w:rsidR="00E86987">
        <w:t>low), and was discussed in detail</w:t>
      </w:r>
      <w:r w:rsidR="00BD3D3F">
        <w:t xml:space="preserve"> in our previous work on dye-doped PFBT CPNs</w:t>
      </w:r>
      <w:proofErr w:type="gramStart"/>
      <w:r w:rsidR="00BD3D3F">
        <w:t>.</w:t>
      </w:r>
      <w:r w:rsidR="00357040">
        <w:t>{</w:t>
      </w:r>
      <w:proofErr w:type="gramEnd"/>
      <w:r w:rsidR="00357040">
        <w:t>Groff, 2013 #60}</w:t>
      </w:r>
    </w:p>
    <w:p w14:paraId="1AFF4462" w14:textId="6385FA6F" w:rsidR="001055CA" w:rsidRDefault="001055CA" w:rsidP="00B5442A">
      <w:pPr>
        <w:pStyle w:val="Default"/>
        <w:spacing w:line="480" w:lineRule="auto"/>
        <w:ind w:firstLine="720"/>
        <w:jc w:val="both"/>
      </w:pPr>
      <w:r w:rsidRPr="001055CA">
        <w:t>At low to moderate THF concent</w:t>
      </w:r>
      <w:r w:rsidR="0056765F">
        <w:t xml:space="preserve">rations, the model results </w:t>
      </w:r>
      <w:r w:rsidR="00256131" w:rsidRPr="00256131">
        <w:t>match</w:t>
      </w:r>
      <w:r w:rsidRPr="00256131">
        <w:t xml:space="preserve"> well</w:t>
      </w:r>
      <w:r w:rsidRPr="001055CA">
        <w:t xml:space="preserve"> to experimental </w:t>
      </w:r>
      <w:r w:rsidR="00457E01">
        <w:t>intensity decay kinetics</w:t>
      </w:r>
      <w:r w:rsidRPr="001055CA">
        <w:t xml:space="preserve"> and quenching efficiency, the latter </w:t>
      </w:r>
      <w:r w:rsidR="00796598">
        <w:t>given by</w:t>
      </w:r>
      <w:r w:rsidR="0056765F">
        <w:t xml:space="preserve"> </w:t>
      </w:r>
      <w:r w:rsidR="00244F60">
        <w:rPr>
          <w:position w:val="-14"/>
        </w:rPr>
        <w:pict w14:anchorId="0C92B7AE">
          <v:shape id="_x0000_i1035" type="#_x0000_t75" style="width:103.5pt;height:19.5pt">
            <v:imagedata r:id="rId22" o:title=""/>
          </v:shape>
        </w:pict>
      </w:r>
      <w:r w:rsidRPr="001055CA">
        <w:t xml:space="preserve">, 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 </w:t>
      </w:r>
      <w:r w:rsidRPr="001501FB">
        <w:t xml:space="preserve">The </w:t>
      </w:r>
      <w:r w:rsidR="001501FB" w:rsidRPr="001501FB">
        <w:t>time constants obtained from</w:t>
      </w:r>
      <w:r w:rsidRPr="001501FB">
        <w:t xml:space="preserve"> the simulated intensity decays</w:t>
      </w:r>
      <w:r w:rsidR="00E535B8">
        <w:t xml:space="preserve"> </w:t>
      </w:r>
      <w:r w:rsidRPr="001055CA">
        <w:t xml:space="preserve">match experimental TCSPC fitting results well up to 20% THF for MEH-PPV and up to 80% THF for PFBT. </w:t>
      </w:r>
      <w:r w:rsidR="00A14545">
        <w:t>W</w:t>
      </w:r>
      <w:r w:rsidR="00A14545" w:rsidRPr="001055CA">
        <w:t xml:space="preserve">ith exception of </w:t>
      </w:r>
      <w:r w:rsidR="00A14545">
        <w:t xml:space="preserve">CPNs in </w:t>
      </w:r>
      <w:r w:rsidR="00A14545" w:rsidRPr="001055CA">
        <w:t>80% THF</w:t>
      </w:r>
      <w:proofErr w:type="gramStart"/>
      <w:r w:rsidR="00A14545">
        <w:t>,</w:t>
      </w:r>
      <w:r w:rsidR="00A14545" w:rsidRPr="0056765F">
        <w:rPr>
          <w:rFonts w:ascii="Symbol" w:hAnsi="Symbol"/>
          <w:i/>
        </w:rPr>
        <w:t></w:t>
      </w:r>
      <w:r w:rsidR="0056765F" w:rsidRPr="0056765F">
        <w:rPr>
          <w:rFonts w:ascii="Symbol" w:hAnsi="Symbol"/>
          <w:i/>
        </w:rPr>
        <w:t></w:t>
      </w:r>
      <w:proofErr w:type="gramEnd"/>
      <w:r w:rsidRPr="001055CA">
        <w:t xml:space="preserve"> is reproduced relatively we</w:t>
      </w:r>
      <w:r w:rsidR="00A14545">
        <w:t>ll for PFBT.</w:t>
      </w:r>
      <w:r w:rsidRPr="001055CA">
        <w:t xml:space="preserve"> </w:t>
      </w:r>
      <w:r w:rsidR="00A14545">
        <w:t xml:space="preserve">However, </w:t>
      </w:r>
      <w:r w:rsidR="00A14545" w:rsidRPr="00A14545">
        <w:rPr>
          <w:rFonts w:ascii="Symbol" w:hAnsi="Symbol"/>
          <w:i/>
        </w:rPr>
        <w:t></w:t>
      </w:r>
      <w:r w:rsidRPr="001055CA">
        <w:t xml:space="preserve"> is not reproduced very well for MEH-PPV, except for MEH-PPV in THF. The observed divergence between simulation and experiment outside of the </w:t>
      </w:r>
      <w:r w:rsidR="00F668E3">
        <w:t>afore</w:t>
      </w:r>
      <w:r w:rsidRPr="001055CA">
        <w:t>mentioned solvent compositions corresponds to the regions of moderate THF composition</w:t>
      </w:r>
      <w:r w:rsidR="00CF2CBB">
        <w:t>,</w:t>
      </w:r>
      <w:r w:rsidRPr="001055CA">
        <w:t xml:space="preserve"> where it is speculated that the</w:t>
      </w:r>
      <w:r>
        <w:t xml:space="preserve"> polymer is</w:t>
      </w:r>
      <w:r w:rsidR="00F668E3">
        <w:t xml:space="preserve"> in</w:t>
      </w:r>
      <w:r w:rsidR="00F668E3" w:rsidRPr="00F668E3">
        <w:t xml:space="preserve"> dynamic equilibrium between an aggregate and free polymer state</w:t>
      </w:r>
      <w:r w:rsidRPr="00F668E3">
        <w:t>,</w:t>
      </w:r>
      <w:r w:rsidR="00E641CE">
        <w:t xml:space="preserve"> </w:t>
      </w:r>
      <w:r w:rsidRPr="001055CA">
        <w:t xml:space="preserve">particularly </w:t>
      </w:r>
      <w:r w:rsidR="00F668E3">
        <w:t xml:space="preserve">between </w:t>
      </w:r>
      <w:r w:rsidRPr="001055CA">
        <w:t xml:space="preserve">40%-80% THF for MEH-PPV and 80% THF for PFBT. The </w:t>
      </w:r>
      <w:r w:rsidRPr="001055CA">
        <w:lastRenderedPageBreak/>
        <w:t xml:space="preserve">poor agreement with experimental </w:t>
      </w:r>
      <w:r w:rsidR="0056765F" w:rsidRPr="0056765F">
        <w:rPr>
          <w:rFonts w:ascii="Symbol" w:hAnsi="Symbol"/>
          <w:i/>
        </w:rPr>
        <w:t></w:t>
      </w:r>
      <w:r w:rsidRPr="001055CA">
        <w:t xml:space="preserve"> values for MEH-PPV </w:t>
      </w:r>
      <w:r w:rsidR="00F668E3" w:rsidRPr="00F668E3">
        <w:t>is hypothesized to be due to</w:t>
      </w:r>
      <w:r w:rsidR="00F668E3">
        <w:t xml:space="preserve"> the exclusion of </w:t>
      </w:r>
      <w:r w:rsidRPr="001055CA">
        <w:t>correla</w:t>
      </w:r>
      <w:r w:rsidR="00E12403">
        <w:t>ted chromophore orientations</w:t>
      </w:r>
      <w:r>
        <w:t xml:space="preserve"> and</w:t>
      </w:r>
      <w:r w:rsidRPr="001055CA">
        <w:t xml:space="preserve"> the Poisson distribution of quenchers in this model.</w:t>
      </w:r>
      <w:r w:rsidR="00CF2CBB">
        <w:t xml:space="preserve"> </w:t>
      </w:r>
      <w:r w:rsidR="00CF2CBB" w:rsidRPr="009D6A35">
        <w:rPr>
          <w:highlight w:val="yellow"/>
        </w:rPr>
        <w:t>[</w:t>
      </w:r>
      <w:proofErr w:type="gramStart"/>
      <w:r w:rsidR="00CF2CBB" w:rsidRPr="009D6A35">
        <w:rPr>
          <w:highlight w:val="yellow"/>
        </w:rPr>
        <w:t>consider</w:t>
      </w:r>
      <w:proofErr w:type="gramEnd"/>
      <w:r w:rsidR="00CF2CBB" w:rsidRPr="009D6A35">
        <w:rPr>
          <w:highlight w:val="yellow"/>
        </w:rPr>
        <w:t xml:space="preserve"> inserting if this makes sense</w:t>
      </w:r>
      <w:r w:rsidR="0038302B" w:rsidRPr="009D6A35">
        <w:rPr>
          <w:highlight w:val="yellow"/>
        </w:rPr>
        <w:t xml:space="preserve"> and particularly if you can find some refs for </w:t>
      </w:r>
      <w:proofErr w:type="spellStart"/>
      <w:r w:rsidR="0038302B" w:rsidRPr="009D6A35">
        <w:rPr>
          <w:highlight w:val="yellow"/>
        </w:rPr>
        <w:t>exciplex</w:t>
      </w:r>
      <w:proofErr w:type="spellEnd"/>
      <w:r w:rsidR="009D6A35">
        <w:rPr>
          <w:highlight w:val="yellow"/>
        </w:rPr>
        <w:t xml:space="preserve"> (Yan &amp; Rothberg, maybe others)</w:t>
      </w:r>
      <w:r w:rsidR="0038302B" w:rsidRPr="009D6A35">
        <w:rPr>
          <w:highlight w:val="yellow"/>
        </w:rPr>
        <w:t xml:space="preserve"> and/or emission from a partially oxidized state</w:t>
      </w:r>
      <w:r w:rsidR="00CF2CBB" w:rsidRPr="009D6A35">
        <w:rPr>
          <w:highlight w:val="yellow"/>
        </w:rPr>
        <w:t xml:space="preserve">: Additionally, emission from a </w:t>
      </w:r>
      <w:r w:rsidR="0038302B" w:rsidRPr="009D6A35">
        <w:rPr>
          <w:highlight w:val="yellow"/>
        </w:rPr>
        <w:t>longer-lived state with charge transfer character or a partially oxidized species could be contributing to the complexity of the fluorescence decay.</w:t>
      </w:r>
      <w:r w:rsidR="009D6A35">
        <w:rPr>
          <w:highlight w:val="yellow"/>
        </w:rPr>
        <w:t>[refs]</w:t>
      </w:r>
      <w:r w:rsidR="00CF2CBB" w:rsidRPr="009D6A35">
        <w:rPr>
          <w:highlight w:val="yellow"/>
        </w:rPr>
        <w:t>]</w:t>
      </w:r>
    </w:p>
    <w:p w14:paraId="03347367" w14:textId="545F11C9" w:rsidR="003C0483" w:rsidRDefault="00747532" w:rsidP="00B5442A">
      <w:pPr>
        <w:pStyle w:val="Default"/>
        <w:spacing w:line="480" w:lineRule="auto"/>
        <w:ind w:firstLine="720"/>
        <w:jc w:val="both"/>
      </w:pPr>
      <w:r w:rsidRPr="00D162E0">
        <w:t xml:space="preserve">In this and previous work, </w:t>
      </w:r>
      <w:r w:rsidR="00F668E3">
        <w:t>i</w:t>
      </w:r>
      <w:r w:rsidR="007425E2">
        <w:t xml:space="preserve">t has been hypothesized that the principal cause of the </w:t>
      </w:r>
      <w:r w:rsidR="007425E2" w:rsidRPr="00E978A2">
        <w:t>r</w:t>
      </w:r>
      <w:r w:rsidR="007425E2" w:rsidRPr="007733D4">
        <w:rPr>
          <w:highlight w:val="yellow"/>
        </w:rPr>
        <w:t xml:space="preserve">eduction in decay parameters </w:t>
      </w:r>
      <w:r w:rsidR="00D86E0A" w:rsidRPr="007733D4">
        <w:rPr>
          <w:highlight w:val="yellow"/>
        </w:rPr>
        <w:t xml:space="preserve">for </w:t>
      </w:r>
      <w:proofErr w:type="gramStart"/>
      <w:r w:rsidR="00D86E0A" w:rsidRPr="007733D4">
        <w:rPr>
          <w:highlight w:val="yellow"/>
        </w:rPr>
        <w:t>CPNs</w:t>
      </w:r>
      <w:r w:rsidR="007733D4">
        <w:t>[</w:t>
      </w:r>
      <w:proofErr w:type="spellStart"/>
      <w:proofErr w:type="gramEnd"/>
      <w:r w:rsidR="007733D4">
        <w:t>awk</w:t>
      </w:r>
      <w:proofErr w:type="spellEnd"/>
      <w:r w:rsidR="007733D4">
        <w:t>/unclear]</w:t>
      </w:r>
      <w:r w:rsidR="00D86E0A">
        <w:t xml:space="preserve"> in water</w:t>
      </w:r>
      <w:r w:rsidR="00E978A2">
        <w:t xml:space="preserve"> rela</w:t>
      </w:r>
      <w:r w:rsidR="00D86E0A">
        <w:t>tive to polymer in good solvent</w:t>
      </w:r>
      <w:r w:rsidR="00E978A2">
        <w:t xml:space="preserve"> </w:t>
      </w:r>
      <w:r w:rsidR="007733D4">
        <w:t>is</w:t>
      </w:r>
      <w:r w:rsidR="007425E2">
        <w:t xml:space="preserve"> quenching by </w:t>
      </w:r>
      <w:r w:rsidR="000F0FF9">
        <w:t>chemical</w:t>
      </w:r>
      <w:r w:rsidR="007425E2">
        <w:t xml:space="preserve"> defects</w:t>
      </w:r>
      <w:r w:rsidR="000F0FF9">
        <w:t xml:space="preserve"> or </w:t>
      </w:r>
      <w:proofErr w:type="spellStart"/>
      <w:r w:rsidR="000F0FF9">
        <w:t>photogenerated</w:t>
      </w:r>
      <w:proofErr w:type="spellEnd"/>
      <w:r w:rsidR="00E978A2">
        <w:t xml:space="preserve"> hole</w:t>
      </w:r>
      <w:r w:rsidR="000F0FF9">
        <w:t xml:space="preserve"> </w:t>
      </w:r>
      <w:proofErr w:type="spellStart"/>
      <w:r w:rsidR="000F0FF9">
        <w:t>polarons</w:t>
      </w:r>
      <w:proofErr w:type="spellEnd"/>
      <w:r w:rsidR="007425E2">
        <w:t>.</w:t>
      </w:r>
      <w:r w:rsidR="00357040">
        <w:t>{Groff, 2013 #60}</w:t>
      </w:r>
      <w:r w:rsidR="007425E2">
        <w:t xml:space="preserve"> With the assumption that </w:t>
      </w:r>
      <w:r w:rsidR="00FF4E43">
        <w:t xml:space="preserve">multiple </w:t>
      </w:r>
      <w:r w:rsidR="007425E2">
        <w:t>e</w:t>
      </w:r>
      <w:r w:rsidR="00E8617E">
        <w:t>nergy</w:t>
      </w:r>
      <w:r w:rsidR="007425E2">
        <w:t xml:space="preserve">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efect sites would depend upon the number of nearest neighbor chromophores</w:t>
      </w:r>
      <w:r w:rsidR="004F0E9B">
        <w:t xml:space="preserve">, which is </w:t>
      </w:r>
      <w:r w:rsidR="007733D4">
        <w:t>related</w:t>
      </w:r>
      <w:r w:rsidR="004F0E9B">
        <w:t xml:space="preserve"> to the dimensionality of the system</w:t>
      </w:r>
      <w:r w:rsidR="003C0483">
        <w:t xml:space="preserve">. </w:t>
      </w:r>
      <w:r w:rsidR="003C0483" w:rsidRPr="00E16A30">
        <w:t>As an alternate perspective to the above lattice model calcula</w:t>
      </w:r>
      <w:r w:rsidR="001C5579" w:rsidRPr="00E16A30">
        <w:t xml:space="preserve">tions, </w:t>
      </w:r>
      <w:r w:rsidR="00FF4E43" w:rsidRPr="00E16A30">
        <w:t>the effect of dimensionality on</w:t>
      </w:r>
      <w:r w:rsidR="001C5579" w:rsidRPr="00E16A30">
        <w:t xml:space="preserve"> quenching efficiency was investigat</w:t>
      </w:r>
      <w:r w:rsidR="007733D4">
        <w:t>ed (using the PFBT parameters)</w:t>
      </w:r>
      <w:r w:rsidR="00293AC8" w:rsidRPr="00E16A30">
        <w:t xml:space="preserve">, by determining how </w:t>
      </w:r>
      <w:r w:rsidR="00791280">
        <w:t>quenching efficiency differs in</w:t>
      </w:r>
      <w:r w:rsidR="00E16A30" w:rsidRPr="00E16A30">
        <w:t xml:space="preserve"> isolated, one-dimensional</w:t>
      </w:r>
      <w:r w:rsidR="00293AC8" w:rsidRPr="00E16A30">
        <w:t xml:space="preserve"> chain</w:t>
      </w:r>
      <w:r w:rsidR="00E16A30" w:rsidRPr="00E16A30">
        <w:t>s</w:t>
      </w:r>
      <w:r w:rsidR="007733D4">
        <w:t xml:space="preserve"> of chromophores</w:t>
      </w:r>
      <w:r w:rsidR="00293AC8" w:rsidRPr="00E16A30">
        <w:t xml:space="preserve"> versus a 3D spherical particle. </w:t>
      </w:r>
    </w:p>
    <w:p w14:paraId="4070398C" w14:textId="25B17A33" w:rsidR="00D8691F" w:rsidRDefault="00293AC8" w:rsidP="00EF0775">
      <w:pPr>
        <w:pStyle w:val="Default"/>
        <w:spacing w:line="480" w:lineRule="auto"/>
        <w:ind w:firstLine="720"/>
        <w:jc w:val="both"/>
        <w:rPr>
          <w:rFonts w:eastAsiaTheme="minorEastAsia"/>
        </w:rPr>
      </w:pPr>
      <w:r>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xml:space="preserve">, an ensemble of linear chains is assumed, the </w:t>
      </w:r>
      <w:r w:rsidR="00EA7984">
        <w:t>approximate integer 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the relevant information for a spherical particle</w:t>
      </w:r>
      <w:r w:rsidR="003B4962">
        <w:rPr>
          <w:rFonts w:eastAsiaTheme="minorEastAsia"/>
        </w:rPr>
        <w:t xml:space="preserve">, </w:t>
      </w:r>
      <w:r w:rsidR="00FF4E43">
        <w:rPr>
          <w:rFonts w:eastAsiaTheme="minorEastAsia"/>
        </w:rPr>
        <w:t xml:space="preserve">and </w:t>
      </w:r>
      <w:r w:rsidR="003B4962">
        <w:rPr>
          <w:rFonts w:eastAsiaTheme="minorEastAsia"/>
        </w:rPr>
        <w:t xml:space="preserve">the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by</w:t>
      </w:r>
      <w:r w:rsidR="00EF0775">
        <w:rPr>
          <w:rFonts w:eastAsiaTheme="minorEastAsia"/>
        </w:rPr>
        <w:t xml:space="preserve"> </w:t>
      </w:r>
      <w:r w:rsidR="00244F60">
        <w:rPr>
          <w:rFonts w:eastAsiaTheme="minorEastAsia"/>
          <w:position w:val="-12"/>
        </w:rPr>
        <w:pict w14:anchorId="323EB150">
          <v:shape id="_x0000_i1036" type="#_x0000_t75" style="width:95.5pt;height:19pt">
            <v:imagedata r:id="rId23" o:title=""/>
          </v:shape>
        </w:pict>
      </w:r>
      <w:r w:rsidR="00570B74">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i/>
        </w:rPr>
        <w:t xml:space="preserve"> </w:t>
      </w:r>
      <w:r w:rsidR="00D86E0A">
        <w:rPr>
          <w:rFonts w:eastAsiaTheme="minorEastAsia"/>
        </w:rPr>
        <w:t>is</w:t>
      </w:r>
      <w:r w:rsidR="00C93802">
        <w:rPr>
          <w:rFonts w:eastAsiaTheme="minorEastAsia"/>
        </w:rPr>
        <w:t xml:space="preserve"> the 1D length of one chromophore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/chromophore</w:t>
      </w:r>
      <w:r w:rsidR="00C93802">
        <w:rPr>
          <w:rFonts w:eastAsiaTheme="minorEastAsia"/>
        </w:rPr>
        <w:t xml:space="preserve">), and </w:t>
      </w:r>
      <w:proofErr w:type="spellStart"/>
      <w:r w:rsidR="00D86E0A">
        <w:rPr>
          <w:rFonts w:eastAsiaTheme="minorEastAsia"/>
          <w:i/>
        </w:rPr>
        <w:t>N</w:t>
      </w:r>
      <w:r w:rsidR="00D86E0A" w:rsidRPr="00C93802">
        <w:rPr>
          <w:rFonts w:eastAsiaTheme="minorEastAsia"/>
          <w:i/>
          <w:vertAlign w:val="subscript"/>
        </w:rPr>
        <w:t>chrom</w:t>
      </w:r>
      <w:proofErr w:type="spellEnd"/>
      <w:r w:rsidR="00D86E0A">
        <w:rPr>
          <w:rFonts w:eastAsiaTheme="minorEastAsia"/>
        </w:rPr>
        <w:t xml:space="preserve"> is </w:t>
      </w:r>
      <w:r w:rsidR="00C93802">
        <w:rPr>
          <w:rFonts w:eastAsiaTheme="minorEastAsia"/>
        </w:rPr>
        <w:t>the number of chro</w:t>
      </w:r>
      <w:r w:rsidR="00D86E0A">
        <w:rPr>
          <w:rFonts w:eastAsiaTheme="minorEastAsia"/>
        </w:rPr>
        <w:t>mophores per chain</w:t>
      </w:r>
      <w:r w:rsidR="00EF0775">
        <w:rPr>
          <w:rFonts w:eastAsiaTheme="minorEastAsia"/>
        </w:rPr>
        <w:t xml:space="preserve">. </w:t>
      </w:r>
      <w:r w:rsidR="003B4962">
        <w:rPr>
          <w:rFonts w:eastAsiaTheme="minorEastAsia"/>
        </w:rPr>
        <w:t xml:space="preserve">A number of Poisson </w:t>
      </w:r>
      <w:r w:rsidR="003B4962">
        <w:rPr>
          <w:rFonts w:eastAsiaTheme="minorEastAsia"/>
        </w:rPr>
        <w:lastRenderedPageBreak/>
        <w:t>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244F60" w:rsidP="00D8691F">
      <w:pPr>
        <w:pStyle w:val="Default"/>
        <w:spacing w:line="480" w:lineRule="auto"/>
        <w:jc w:val="right"/>
        <w:rPr>
          <w:rFonts w:eastAsiaTheme="minorEastAsia"/>
        </w:rPr>
      </w:pPr>
      <w:r>
        <w:rPr>
          <w:rFonts w:eastAsiaTheme="minorEastAsia"/>
          <w:position w:val="-28"/>
        </w:rPr>
        <w:pict w14:anchorId="57991C69">
          <v:shape id="_x0000_i1037" type="#_x0000_t75" style="width:86pt;height:36pt">
            <v:imagedata r:id="rId24"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proofErr w:type="gramStart"/>
      <w:r>
        <w:rPr>
          <w:rFonts w:eastAsiaTheme="minorEastAsia"/>
        </w:rPr>
        <w:t>where</w:t>
      </w:r>
      <w:proofErr w:type="gramEnd"/>
      <w:r>
        <w:rPr>
          <w:rFonts w:eastAsiaTheme="minorEastAsia"/>
        </w:rPr>
        <w:t xml:space="preserv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244F60" w:rsidP="00432A0B">
      <w:pPr>
        <w:pStyle w:val="Default"/>
        <w:spacing w:line="480" w:lineRule="auto"/>
        <w:jc w:val="right"/>
        <w:rPr>
          <w:rFonts w:eastAsiaTheme="minorEastAsia"/>
        </w:rPr>
      </w:pPr>
      <w:r>
        <w:rPr>
          <w:rFonts w:eastAsiaTheme="minorEastAsia"/>
          <w:position w:val="-14"/>
        </w:rPr>
        <w:pict w14:anchorId="74E2514A">
          <v:shape id="_x0000_i1038" type="#_x0000_t75" style="width:92.5pt;height:19pt">
            <v:imagedata r:id="rId25"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7D0B3C4E" w:rsidR="00B5442A" w:rsidRDefault="00432A0B" w:rsidP="00432A0B">
      <w:pPr>
        <w:pStyle w:val="Default"/>
        <w:spacing w:line="480" w:lineRule="auto"/>
        <w:jc w:val="both"/>
      </w:pPr>
      <w:r>
        <w:rPr>
          <w:rFonts w:eastAsiaTheme="minorEastAsia"/>
        </w:rPr>
        <w:t>Equation 2 results in ~11% quenching efficiency for the one dimensional case</w:t>
      </w:r>
      <w:r w:rsidR="00CC6C82">
        <w:rPr>
          <w:rFonts w:eastAsiaTheme="minorEastAsia"/>
        </w:rPr>
        <w:t xml:space="preserve"> for PFBT</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du</w:t>
      </w:r>
      <w:r w:rsidR="00F2285F">
        <w:t>e to a reduction in the rate of multiple energy transfer</w:t>
      </w:r>
      <w:r w:rsidR="001363BD">
        <w:t>, which stems from the reduced number of nearest neighbor chromophore</w:t>
      </w:r>
      <w:r w:rsidR="00027A7F">
        <w:t>s</w:t>
      </w:r>
      <w:r w:rsidR="000539B8">
        <w:t xml:space="preserve"> available for </w:t>
      </w:r>
      <w:r w:rsidR="001363BD">
        <w:t>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p>
    <w:p w14:paraId="3702EB40" w14:textId="6DA5FCDE" w:rsidR="0047381F" w:rsidRPr="00432A0B" w:rsidRDefault="0047381F" w:rsidP="00432A0B">
      <w:pPr>
        <w:pStyle w:val="Default"/>
        <w:spacing w:line="480" w:lineRule="auto"/>
        <w:jc w:val="both"/>
        <w:rPr>
          <w:rFonts w:eastAsiaTheme="minorEastAsia"/>
        </w:rPr>
      </w:pPr>
      <w:r>
        <w:tab/>
        <w:t>Throughout these experiments, there have been multiple results which suggest</w:t>
      </w:r>
      <w:r w:rsidR="00A26277">
        <w:t xml:space="preserve"> that solvent-induced swelling can</w:t>
      </w:r>
      <w:r w:rsidR="002F6CAA">
        <w:t xml:space="preserve"> result in a two-state system</w:t>
      </w:r>
      <w:r w:rsidR="00A14545">
        <w:t xml:space="preserve"> at moderate THF concentrations.</w:t>
      </w:r>
      <w:r>
        <w:t xml:space="preserve"> </w:t>
      </w:r>
      <w:r w:rsidR="00F9627A">
        <w:t>The observed q</w:t>
      </w:r>
      <w:r w:rsidR="00A14545">
        <w:t>uenching of the</w:t>
      </w:r>
      <w:r w:rsidR="00F9627A">
        <w:t xml:space="preserve"> polymer fluorescence in the </w:t>
      </w:r>
      <w:r w:rsidR="00D86E0A">
        <w:t>aqueous solution</w:t>
      </w:r>
      <w:r w:rsidR="00F9627A">
        <w:t xml:space="preserve"> can be ascribed to a weakly fluorescent, red-shifted minority of aggregate </w:t>
      </w:r>
      <w:proofErr w:type="spellStart"/>
      <w:r w:rsidR="00F9627A">
        <w:t>choromophores</w:t>
      </w:r>
      <w:proofErr w:type="spellEnd"/>
      <w:r w:rsidR="00F9627A">
        <w:t xml:space="preserve"> that act as energy acceptors</w:t>
      </w:r>
      <w:r w:rsidR="00D86E0A">
        <w:t xml:space="preserve"> for both PFBT and MEH-PPV</w:t>
      </w:r>
      <w:r w:rsidR="00F9627A">
        <w:t>.</w:t>
      </w:r>
      <w:r w:rsidR="00357040">
        <w:t>{Grey, 2006 #102;Lee, 2006 #105;Kim, 2006 #108}</w:t>
      </w:r>
      <w:r w:rsidR="00F9627A">
        <w:t xml:space="preserve"> Steady-state fluorescence results show </w:t>
      </w:r>
      <w:r>
        <w:t>a significantly blue-shifted shoulder in the emission spectrum of MEH-PP</w:t>
      </w:r>
      <w:r w:rsidR="00A14545">
        <w:t>V</w:t>
      </w:r>
      <w:r w:rsidR="00F9627A">
        <w:t xml:space="preserve"> at moderate THF concentrations</w:t>
      </w:r>
      <w:r>
        <w:t>, which approximately matches the spectrum of the sol</w:t>
      </w:r>
      <w:r w:rsidR="00A14545">
        <w:t>vated polymer</w:t>
      </w:r>
      <w:r w:rsidR="00F9627A">
        <w:t>, and can be</w:t>
      </w:r>
      <w:r w:rsidR="000539B8">
        <w:t xml:space="preserve"> ascribed to the separation of</w:t>
      </w:r>
      <w:r w:rsidR="00F9627A">
        <w:t xml:space="preserve"> aggregate chromophores</w:t>
      </w:r>
      <w:r w:rsidR="000539B8">
        <w:t xml:space="preserve"> in swelled CPNs</w:t>
      </w:r>
      <w:r w:rsidR="00A14545">
        <w:t>. Additionally,</w:t>
      </w:r>
      <w:r>
        <w:t xml:space="preserve"> </w:t>
      </w:r>
      <w:r w:rsidR="00047F79">
        <w:t xml:space="preserve">bi-exponential </w:t>
      </w:r>
      <w:r>
        <w:t>lifetime ana</w:t>
      </w:r>
      <w:r w:rsidR="00047F79">
        <w:t>lysis results</w:t>
      </w:r>
      <w:r w:rsidR="00F2285F">
        <w:t xml:space="preserve"> </w:t>
      </w:r>
      <w:r w:rsidR="00047F79">
        <w:t xml:space="preserve">for both </w:t>
      </w:r>
      <w:r w:rsidR="00047F79">
        <w:lastRenderedPageBreak/>
        <w:t>polymers</w:t>
      </w:r>
      <w:r>
        <w:t xml:space="preserve"> </w:t>
      </w:r>
      <w:r w:rsidR="00F2285F">
        <w:t xml:space="preserve">at moderate THF concentrations </w:t>
      </w:r>
      <w:r>
        <w:t>yield</w:t>
      </w:r>
      <w:r w:rsidR="00F9627A">
        <w:t xml:space="preserve"> </w:t>
      </w:r>
      <w:r w:rsidR="00F2285F">
        <w:t xml:space="preserve">short </w:t>
      </w:r>
      <w:r>
        <w:t>time constants</w:t>
      </w:r>
      <w:r w:rsidR="00047F79">
        <w:t xml:space="preserve"> similar</w:t>
      </w:r>
      <w:r>
        <w:t xml:space="preserve"> </w:t>
      </w:r>
      <w:r w:rsidR="00F9627A">
        <w:t>to</w:t>
      </w:r>
      <w:r w:rsidR="00F2285F">
        <w:t xml:space="preserve"> the CPNs</w:t>
      </w:r>
      <w:r w:rsidR="00A64366">
        <w:t xml:space="preserve"> in water</w:t>
      </w:r>
      <w:r>
        <w:t xml:space="preserve">, and </w:t>
      </w:r>
      <w:r w:rsidR="00F2285F">
        <w:t>long time constants similar to the free polymer</w:t>
      </w:r>
      <w:r w:rsidR="00A64366">
        <w:t xml:space="preserve"> in THF</w:t>
      </w:r>
      <w:r w:rsidR="00F9627A">
        <w:t>.</w:t>
      </w:r>
      <w:r>
        <w:t xml:space="preserve"> </w:t>
      </w:r>
      <w:r w:rsidR="00F9627A">
        <w:t>These time constants</w:t>
      </w:r>
      <w:r>
        <w:t xml:space="preserve"> hold fixed for PFBT </w:t>
      </w:r>
      <w:r w:rsidR="00F9627A">
        <w:t>from 80% to 95% THF</w:t>
      </w:r>
      <w:r>
        <w:t>, only shifting in the relative percent of each, as is observed in the weighted amplitudes</w:t>
      </w:r>
      <w:r w:rsidR="00D86E0A">
        <w:t xml:space="preserve"> (c.f. Table 1)</w:t>
      </w:r>
      <w:r>
        <w:t xml:space="preserve">. </w:t>
      </w:r>
      <w:r w:rsidR="00B15DF4">
        <w:t xml:space="preserve">The model results also significantly deviate from what is observed </w:t>
      </w:r>
      <w:r w:rsidR="006920C0">
        <w:t>experimentally</w:t>
      </w:r>
      <w:r w:rsidR="00B15DF4">
        <w:t xml:space="preserve"> in the region of THF concentration where these phenomena are observed</w:t>
      </w:r>
      <w:r w:rsidR="00A14545">
        <w:t>, which suggests that the lattice swelling picture alone is insufficient</w:t>
      </w:r>
      <w:r w:rsidR="00982611">
        <w:t xml:space="preserve"> to describe the physics of the CPNs </w:t>
      </w:r>
      <w:r w:rsidR="00A14545">
        <w:t xml:space="preserve">for </w:t>
      </w:r>
      <w:r w:rsidR="00047F79">
        <w:t>moderate to high</w:t>
      </w:r>
      <w:r w:rsidR="00A14545">
        <w:t xml:space="preserve"> THF compositions</w:t>
      </w:r>
      <w:r w:rsidR="00982611">
        <w:t>, and it is likely that incorporating nanoparticle dissociation would result in better agreement</w:t>
      </w:r>
      <w:r w:rsidR="00B15DF4">
        <w:t xml:space="preserve">. </w:t>
      </w:r>
      <w:r>
        <w:t xml:space="preserve">While it is beyond the scope of this article to </w:t>
      </w:r>
      <w:r w:rsidR="00940781">
        <w:t>determine</w:t>
      </w:r>
      <w:r w:rsidR="001A6DD3">
        <w:t xml:space="preserve"> </w:t>
      </w:r>
      <w:r w:rsidR="00C25426">
        <w:t xml:space="preserve">whether the system is indeed in a two-state system, the possibility should not be ignored. </w:t>
      </w:r>
      <w:r w:rsidR="00B15DF4" w:rsidRPr="00397AE9">
        <w:rPr>
          <w:highlight w:val="yellow"/>
        </w:rPr>
        <w:t xml:space="preserve">For now, it can only be speculated that perhaps the system exists as both </w:t>
      </w:r>
      <w:r w:rsidR="00F2711B" w:rsidRPr="00397AE9">
        <w:rPr>
          <w:highlight w:val="yellow"/>
        </w:rPr>
        <w:t>isolated polymer chains</w:t>
      </w:r>
      <w:r w:rsidR="00B15DF4" w:rsidRPr="00397AE9">
        <w:rPr>
          <w:highlight w:val="yellow"/>
        </w:rPr>
        <w:t xml:space="preserve"> and swelled nanoparticles</w:t>
      </w:r>
      <w:r w:rsidR="00C44601" w:rsidRPr="00397AE9">
        <w:rPr>
          <w:highlight w:val="yellow"/>
        </w:rPr>
        <w:t xml:space="preserve"> coexisting</w:t>
      </w:r>
      <w:r w:rsidR="00B15DF4" w:rsidRPr="00397AE9">
        <w:rPr>
          <w:highlight w:val="yellow"/>
        </w:rPr>
        <w:t xml:space="preserve"> in solution</w:t>
      </w:r>
      <w:r w:rsidR="00940781" w:rsidRPr="00397AE9">
        <w:rPr>
          <w:highlight w:val="yellow"/>
        </w:rPr>
        <w:t xml:space="preserve">, </w:t>
      </w:r>
      <w:r w:rsidR="001A6DD3" w:rsidRPr="00397AE9">
        <w:rPr>
          <w:highlight w:val="yellow"/>
        </w:rPr>
        <w:t>only within a fairly narrow</w:t>
      </w:r>
      <w:r w:rsidR="002F6CAA" w:rsidRPr="00397AE9">
        <w:rPr>
          <w:highlight w:val="yellow"/>
        </w:rPr>
        <w:t xml:space="preserve"> range of </w:t>
      </w:r>
      <w:r w:rsidR="00940781" w:rsidRPr="00397AE9">
        <w:rPr>
          <w:highlight w:val="yellow"/>
        </w:rPr>
        <w:t>THF concentrations</w:t>
      </w:r>
      <w:r w:rsidR="00B15DF4" w:rsidRPr="00397AE9">
        <w:rPr>
          <w:highlight w:val="yellow"/>
        </w:rPr>
        <w:t>, or that there may be a dynamic equilibrium between the two at moderate THF concentrations</w:t>
      </w:r>
      <w:proofErr w:type="gramStart"/>
      <w:r w:rsidR="00B15DF4" w:rsidRPr="00397AE9">
        <w:rPr>
          <w:highlight w:val="yellow"/>
        </w:rPr>
        <w:t>.</w:t>
      </w:r>
      <w:r w:rsidR="00397AE9" w:rsidRPr="00397AE9">
        <w:rPr>
          <w:highlight w:val="yellow"/>
        </w:rPr>
        <w:t>[</w:t>
      </w:r>
      <w:proofErr w:type="gramEnd"/>
      <w:r w:rsidR="009D6A35">
        <w:rPr>
          <w:highlight w:val="yellow"/>
        </w:rPr>
        <w:t xml:space="preserve">apparent/possible </w:t>
      </w:r>
      <w:r w:rsidR="00397AE9" w:rsidRPr="00397AE9">
        <w:rPr>
          <w:highlight w:val="yellow"/>
        </w:rPr>
        <w:t>contradictory physical picture or false dichotomy</w:t>
      </w:r>
      <w:r w:rsidR="009D6A35">
        <w:rPr>
          <w:highlight w:val="yellow"/>
        </w:rPr>
        <w:t>. please reword and clarify</w:t>
      </w:r>
      <w:r w:rsidR="00397AE9" w:rsidRPr="00397AE9">
        <w:rPr>
          <w:highlight w:val="yellow"/>
        </w:rPr>
        <w:t>]</w:t>
      </w:r>
      <w:r w:rsidR="00B15DF4">
        <w:t xml:space="preserve"> </w:t>
      </w:r>
    </w:p>
    <w:p w14:paraId="7A4F29A4" w14:textId="6C4C0636" w:rsidR="00CD5A09" w:rsidRDefault="00591E25" w:rsidP="00CD5A09">
      <w:pPr>
        <w:pStyle w:val="Default"/>
        <w:spacing w:line="480" w:lineRule="auto"/>
        <w:jc w:val="center"/>
      </w:pPr>
      <w:r>
        <w:rPr>
          <w:noProof/>
        </w:rPr>
        <w:drawing>
          <wp:inline distT="0" distB="0" distL="0" distR="0" wp14:anchorId="4A95636B" wp14:editId="4C802D05">
            <wp:extent cx="2609850" cy="971550"/>
            <wp:effectExtent l="0" t="0" r="0" b="0"/>
            <wp:docPr id="7" name="Picture 7"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FAD\PFBT 40% THF Fit\R_t-40%-PFBT-IntensityDecay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971550"/>
                    </a:xfrm>
                    <a:prstGeom prst="rect">
                      <a:avLst/>
                    </a:prstGeom>
                    <a:noFill/>
                    <a:ln>
                      <a:noFill/>
                    </a:ln>
                  </pic:spPr>
                </pic:pic>
              </a:graphicData>
            </a:graphic>
          </wp:inline>
        </w:drawing>
      </w:r>
    </w:p>
    <w:p w14:paraId="49FD7928" w14:textId="18329C36" w:rsidR="003D4EA9" w:rsidRDefault="00CD5A09" w:rsidP="00CD5A09">
      <w:pPr>
        <w:pStyle w:val="Default"/>
        <w:spacing w:line="480" w:lineRule="auto"/>
        <w:jc w:val="both"/>
        <w:rPr>
          <w:sz w:val="20"/>
          <w:szCs w:val="20"/>
        </w:rPr>
      </w:pPr>
      <w:r>
        <w:rPr>
          <w:b/>
          <w:sz w:val="20"/>
          <w:szCs w:val="20"/>
        </w:rPr>
        <w:t xml:space="preserve">Fig. </w:t>
      </w:r>
      <w:r w:rsidR="000072CF">
        <w:rPr>
          <w:b/>
          <w:sz w:val="20"/>
          <w:szCs w:val="20"/>
        </w:rPr>
        <w:t>7</w:t>
      </w:r>
      <w:r>
        <w:rPr>
          <w:b/>
          <w:sz w:val="20"/>
          <w:szCs w:val="20"/>
        </w:rPr>
        <w:t>.</w:t>
      </w:r>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591E25">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constructed from intensity data in (a). </w:t>
      </w:r>
      <w:r w:rsidR="009D6A35" w:rsidRPr="009D6A35">
        <w:rPr>
          <w:sz w:val="20"/>
          <w:szCs w:val="20"/>
          <w:highlight w:val="yellow"/>
        </w:rPr>
        <w:t>[</w:t>
      </w:r>
      <w:proofErr w:type="gramStart"/>
      <w:r w:rsidR="009D6A35" w:rsidRPr="009D6A35">
        <w:rPr>
          <w:sz w:val="20"/>
          <w:szCs w:val="20"/>
          <w:highlight w:val="yellow"/>
        </w:rPr>
        <w:t>the</w:t>
      </w:r>
      <w:proofErr w:type="gramEnd"/>
      <w:r w:rsidR="009D6A35" w:rsidRPr="009D6A35">
        <w:rPr>
          <w:sz w:val="20"/>
          <w:szCs w:val="20"/>
          <w:highlight w:val="yellow"/>
        </w:rPr>
        <w:t xml:space="preserve"> apparent flat, </w:t>
      </w:r>
      <w:r w:rsidR="009D6A35">
        <w:rPr>
          <w:sz w:val="20"/>
          <w:szCs w:val="20"/>
          <w:highlight w:val="yellow"/>
        </w:rPr>
        <w:t xml:space="preserve">residual </w:t>
      </w:r>
      <w:r w:rsidR="009D6A35" w:rsidRPr="009D6A35">
        <w:rPr>
          <w:sz w:val="20"/>
          <w:szCs w:val="20"/>
          <w:highlight w:val="yellow"/>
        </w:rPr>
        <w:t xml:space="preserve">nonzero anisotropy in (b) from ~200-600 </w:t>
      </w:r>
      <w:proofErr w:type="spellStart"/>
      <w:r w:rsidR="009D6A35" w:rsidRPr="009D6A35">
        <w:rPr>
          <w:sz w:val="20"/>
          <w:szCs w:val="20"/>
          <w:highlight w:val="yellow"/>
        </w:rPr>
        <w:t>ps</w:t>
      </w:r>
      <w:proofErr w:type="spellEnd"/>
      <w:r w:rsidR="009D6A35" w:rsidRPr="009D6A35">
        <w:rPr>
          <w:sz w:val="20"/>
          <w:szCs w:val="20"/>
          <w:highlight w:val="yellow"/>
        </w:rPr>
        <w:t xml:space="preserve"> is problematic and possibly indicates improper subtraction. Indeed, one sometimes valid approach to making </w:t>
      </w:r>
      <w:proofErr w:type="gramStart"/>
      <w:r w:rsidR="009D6A35" w:rsidRPr="009D6A35">
        <w:rPr>
          <w:sz w:val="20"/>
          <w:szCs w:val="20"/>
          <w:highlight w:val="yellow"/>
        </w:rPr>
        <w:t>r(</w:t>
      </w:r>
      <w:proofErr w:type="gramEnd"/>
      <w:r w:rsidR="009D6A35" w:rsidRPr="009D6A35">
        <w:rPr>
          <w:sz w:val="20"/>
          <w:szCs w:val="20"/>
          <w:highlight w:val="yellow"/>
        </w:rPr>
        <w:t>t) curves is to adjust the weights of the 0’ and 90’ curves until the tail goes to</w:t>
      </w:r>
      <w:r w:rsidR="009D6A35">
        <w:rPr>
          <w:sz w:val="20"/>
          <w:szCs w:val="20"/>
          <w:highlight w:val="yellow"/>
        </w:rPr>
        <w:t xml:space="preserve"> zero at long times (like 600-12</w:t>
      </w:r>
      <w:r w:rsidR="009D6A35" w:rsidRPr="009D6A35">
        <w:rPr>
          <w:sz w:val="20"/>
          <w:szCs w:val="20"/>
          <w:highlight w:val="yellow"/>
        </w:rPr>
        <w:t xml:space="preserve">00 </w:t>
      </w:r>
      <w:proofErr w:type="spellStart"/>
      <w:r w:rsidR="009D6A35" w:rsidRPr="009D6A35">
        <w:rPr>
          <w:sz w:val="20"/>
          <w:szCs w:val="20"/>
          <w:highlight w:val="yellow"/>
        </w:rPr>
        <w:t>ps</w:t>
      </w:r>
      <w:proofErr w:type="spellEnd"/>
      <w:r w:rsidR="009D6A35">
        <w:rPr>
          <w:sz w:val="20"/>
          <w:szCs w:val="20"/>
          <w:highlight w:val="yellow"/>
        </w:rPr>
        <w:t>). You might want to do that</w:t>
      </w:r>
      <w:r w:rsidR="000B4BB7">
        <w:rPr>
          <w:sz w:val="20"/>
          <w:szCs w:val="20"/>
          <w:highlight w:val="yellow"/>
        </w:rPr>
        <w:t xml:space="preserve"> for (b)</w:t>
      </w:r>
      <w:r w:rsidR="009D6A35">
        <w:rPr>
          <w:sz w:val="20"/>
          <w:szCs w:val="20"/>
          <w:highlight w:val="yellow"/>
        </w:rPr>
        <w:t>, esp. if that gives a reasonable correlation time</w:t>
      </w:r>
      <w:r w:rsidR="000B4BB7">
        <w:rPr>
          <w:sz w:val="20"/>
          <w:szCs w:val="20"/>
          <w:highlight w:val="yellow"/>
        </w:rPr>
        <w:t xml:space="preserve"> similar to that of the other procedure</w:t>
      </w:r>
      <w:r w:rsidR="009D6A35">
        <w:rPr>
          <w:sz w:val="20"/>
          <w:szCs w:val="20"/>
          <w:highlight w:val="yellow"/>
        </w:rPr>
        <w:t>.</w:t>
      </w:r>
      <w:r w:rsidR="009D6A35" w:rsidRPr="009D6A35">
        <w:rPr>
          <w:sz w:val="20"/>
          <w:szCs w:val="20"/>
          <w:highlight w:val="yellow"/>
        </w:rPr>
        <w:t>]</w:t>
      </w:r>
    </w:p>
    <w:p w14:paraId="1C1DCF79" w14:textId="77777777" w:rsidR="00DE2D25" w:rsidRPr="003D4EA9" w:rsidRDefault="00DE2D25" w:rsidP="00CD5A09">
      <w:pPr>
        <w:pStyle w:val="Default"/>
        <w:spacing w:line="480" w:lineRule="auto"/>
        <w:jc w:val="both"/>
        <w:rPr>
          <w:sz w:val="20"/>
          <w:szCs w:val="20"/>
        </w:rPr>
      </w:pPr>
    </w:p>
    <w:p w14:paraId="4B1F72E0" w14:textId="7E91C3A0" w:rsidR="002433CD" w:rsidRDefault="004A41C6" w:rsidP="00C711A6">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lastRenderedPageBreak/>
        <w:t>Picosecond Fluorescence Anisotropy Decay (FAD).</w:t>
      </w:r>
      <w:r w:rsidR="003F7421" w:rsidRPr="003F7421">
        <w:rPr>
          <w:rFonts w:ascii="Times New Roman" w:hAnsi="Times New Roman" w:cs="Times New Roman"/>
          <w:b/>
          <w:sz w:val="24"/>
          <w:szCs w:val="24"/>
        </w:rPr>
        <w:t xml:space="preserve"> </w:t>
      </w:r>
      <w:r w:rsidR="00C711A6">
        <w:rPr>
          <w:rFonts w:ascii="Times New Roman" w:hAnsi="Times New Roman" w:cs="Times New Roman"/>
          <w:sz w:val="24"/>
          <w:szCs w:val="24"/>
        </w:rPr>
        <w:t xml:space="preserve">Time-resolved anisotropy measurements provide a means to probe energy homo-transfer rates in CPNs, given the assumption that each energy transfer event prior to radiative decay slightly alters the polarization state of the exciton, leading to depolarization of the observed fluorescence photons. </w:t>
      </w:r>
      <w:r w:rsidR="00ED189C" w:rsidRPr="00ED189C">
        <w:rPr>
          <w:rFonts w:ascii="Times New Roman" w:hAnsi="Times New Roman" w:cs="Times New Roman"/>
          <w:sz w:val="24"/>
          <w:szCs w:val="24"/>
        </w:rPr>
        <w:t>Fluorescence</w:t>
      </w:r>
      <w:r w:rsidR="004D5CD0" w:rsidRPr="00ED189C">
        <w:rPr>
          <w:rFonts w:ascii="Times New Roman" w:hAnsi="Times New Roman" w:cs="Times New Roman"/>
          <w:sz w:val="24"/>
          <w:szCs w:val="24"/>
        </w:rPr>
        <w:t xml:space="preserve"> intensity decays collected at 0°, 90°</w:t>
      </w:r>
      <w:r w:rsidR="006920C0" w:rsidRPr="00ED189C">
        <w:rPr>
          <w:rFonts w:ascii="Times New Roman" w:hAnsi="Times New Roman" w:cs="Times New Roman"/>
          <w:sz w:val="24"/>
          <w:szCs w:val="24"/>
        </w:rPr>
        <w:t>,</w:t>
      </w:r>
      <w:r w:rsidR="004D5CD0" w:rsidRPr="00ED189C">
        <w:rPr>
          <w:rFonts w:ascii="Times New Roman" w:hAnsi="Times New Roman" w:cs="Times New Roman"/>
          <w:sz w:val="24"/>
          <w:szCs w:val="24"/>
        </w:rPr>
        <w:t xml:space="preserve"> and 55° </w:t>
      </w:r>
      <w:r w:rsidR="00ED189C" w:rsidRPr="00ED189C">
        <w:rPr>
          <w:rFonts w:ascii="Times New Roman" w:hAnsi="Times New Roman" w:cs="Times New Roman"/>
          <w:sz w:val="24"/>
          <w:szCs w:val="24"/>
        </w:rPr>
        <w:t xml:space="preserve">polarizer orientations </w:t>
      </w:r>
      <w:r w:rsidR="00950EBE" w:rsidRPr="00ED189C">
        <w:rPr>
          <w:rFonts w:ascii="Times New Roman" w:hAnsi="Times New Roman" w:cs="Times New Roman"/>
          <w:sz w:val="24"/>
          <w:szCs w:val="24"/>
        </w:rPr>
        <w:t xml:space="preserve">relative </w:t>
      </w:r>
      <w:r w:rsidR="004D5CD0" w:rsidRPr="00ED189C">
        <w:rPr>
          <w:rFonts w:ascii="Times New Roman" w:hAnsi="Times New Roman" w:cs="Times New Roman"/>
          <w:sz w:val="24"/>
          <w:szCs w:val="24"/>
        </w:rPr>
        <w:t>to the vertically polarized excitation pulse</w:t>
      </w:r>
      <w:r w:rsidR="00791280">
        <w:rPr>
          <w:rFonts w:ascii="Times New Roman" w:hAnsi="Times New Roman" w:cs="Times New Roman"/>
          <w:sz w:val="24"/>
          <w:szCs w:val="24"/>
        </w:rPr>
        <w:t xml:space="preserve"> were obtained via</w:t>
      </w:r>
      <w:r w:rsidR="005B746A">
        <w:rPr>
          <w:rFonts w:ascii="Times New Roman" w:hAnsi="Times New Roman" w:cs="Times New Roman"/>
          <w:sz w:val="24"/>
          <w:szCs w:val="24"/>
        </w:rPr>
        <w:t xml:space="preserve"> </w:t>
      </w:r>
      <w:r w:rsidR="004D5CD0">
        <w:rPr>
          <w:rFonts w:ascii="Times New Roman" w:hAnsi="Times New Roman" w:cs="Times New Roman"/>
          <w:sz w:val="24"/>
          <w:szCs w:val="24"/>
        </w:rPr>
        <w:t>TCSPC</w:t>
      </w:r>
      <w:r w:rsidR="00E850F5">
        <w:rPr>
          <w:rFonts w:ascii="Times New Roman" w:hAnsi="Times New Roman" w:cs="Times New Roman"/>
          <w:sz w:val="24"/>
          <w:szCs w:val="24"/>
        </w:rPr>
        <w:t xml:space="preserve"> (c.f. Fig 7a)</w:t>
      </w:r>
      <w:r w:rsidR="004D5CD0">
        <w:rPr>
          <w:rFonts w:ascii="Times New Roman" w:hAnsi="Times New Roman" w:cs="Times New Roman"/>
          <w:sz w:val="24"/>
          <w:szCs w:val="24"/>
        </w:rPr>
        <w:t xml:space="preserve">. The resulting intensity </w:t>
      </w:r>
      <w:r w:rsidR="00DF61F7">
        <w:rPr>
          <w:rFonts w:ascii="Times New Roman" w:hAnsi="Times New Roman" w:cs="Times New Roman"/>
          <w:sz w:val="24"/>
          <w:szCs w:val="24"/>
        </w:rPr>
        <w:t>decays</w:t>
      </w:r>
      <w:r w:rsidR="004D5CD0">
        <w:rPr>
          <w:rFonts w:ascii="Times New Roman" w:hAnsi="Times New Roman" w:cs="Times New Roman"/>
          <w:sz w:val="24"/>
          <w:szCs w:val="24"/>
        </w:rPr>
        <w:t xml:space="preserve"> w</w:t>
      </w:r>
      <w:r w:rsidR="00DF61F7">
        <w:rPr>
          <w:rFonts w:ascii="Times New Roman" w:hAnsi="Times New Roman" w:cs="Times New Roman"/>
          <w:sz w:val="24"/>
          <w:szCs w:val="24"/>
        </w:rPr>
        <w:t>ere</w:t>
      </w:r>
      <w:r w:rsidR="004D5CD0">
        <w:rPr>
          <w:rFonts w:ascii="Times New Roman" w:hAnsi="Times New Roman" w:cs="Times New Roman"/>
          <w:sz w:val="24"/>
          <w:szCs w:val="24"/>
        </w:rPr>
        <w:t xml:space="preserve"> utilized to construct time-resolved anisotropy decays by the relation </w:t>
      </w:r>
      <w:r w:rsidR="00244F60">
        <w:rPr>
          <w:rFonts w:ascii="Times New Roman" w:hAnsi="Times New Roman" w:cs="Times New Roman"/>
          <w:position w:val="-10"/>
          <w:sz w:val="24"/>
          <w:szCs w:val="24"/>
        </w:rPr>
        <w:pict w14:anchorId="01B46B8C">
          <v:shape id="_x0000_i1039" type="#_x0000_t75" style="width:85pt;height:16pt">
            <v:imagedata r:id="rId27" o:title=""/>
          </v:shape>
        </w:pict>
      </w:r>
      <w:r w:rsidR="009C4444">
        <w:rPr>
          <w:rFonts w:ascii="Times New Roman" w:hAnsi="Times New Roman" w:cs="Times New Roman"/>
          <w:sz w:val="24"/>
          <w:szCs w:val="24"/>
        </w:rPr>
        <w:t xml:space="preserve">, where </w:t>
      </w:r>
      <w:r w:rsidR="00244F60">
        <w:rPr>
          <w:rFonts w:ascii="Times New Roman" w:hAnsi="Times New Roman" w:cs="Times New Roman"/>
          <w:position w:val="-12"/>
          <w:sz w:val="24"/>
          <w:szCs w:val="24"/>
        </w:rPr>
        <w:pict w14:anchorId="2921B3B1">
          <v:shape id="_x0000_i1040" type="#_x0000_t75" style="width:106.5pt;height:19pt">
            <v:imagedata r:id="rId28" o:title=""/>
          </v:shape>
        </w:pict>
      </w:r>
      <w:r w:rsidR="009C4444">
        <w:rPr>
          <w:rFonts w:ascii="Times New Roman" w:hAnsi="Times New Roman" w:cs="Times New Roman"/>
          <w:sz w:val="24"/>
          <w:szCs w:val="24"/>
        </w:rPr>
        <w:t xml:space="preserve">, </w:t>
      </w:r>
      <w:r w:rsidR="00244F60">
        <w:rPr>
          <w:rFonts w:ascii="Times New Roman" w:hAnsi="Times New Roman" w:cs="Times New Roman"/>
          <w:position w:val="-12"/>
          <w:sz w:val="24"/>
          <w:szCs w:val="24"/>
        </w:rPr>
        <w:pict w14:anchorId="314A1422">
          <v:shape id="_x0000_i1041" type="#_x0000_t75" style="width:155.5pt;height:19pt">
            <v:imagedata r:id="rId29" o:title=""/>
          </v:shape>
        </w:pic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proofErr w:type="gramStart"/>
      <w:r w:rsidR="00B61269">
        <w:rPr>
          <w:rFonts w:ascii="Times New Roman" w:hAnsi="Times New Roman" w:cs="Times New Roman"/>
          <w:sz w:val="24"/>
          <w:szCs w:val="24"/>
        </w:rPr>
        <w:t>.</w:t>
      </w:r>
      <w:r w:rsidR="00357040">
        <w:rPr>
          <w:rFonts w:ascii="Times New Roman" w:hAnsi="Times New Roman" w:cs="Times New Roman"/>
          <w:sz w:val="24"/>
          <w:szCs w:val="24"/>
        </w:rPr>
        <w:t>{</w:t>
      </w:r>
      <w:proofErr w:type="gramEnd"/>
      <w:r w:rsidR="00357040">
        <w:rPr>
          <w:rFonts w:ascii="Times New Roman" w:hAnsi="Times New Roman" w:cs="Times New Roman"/>
          <w:sz w:val="24"/>
          <w:szCs w:val="24"/>
        </w:rPr>
        <w:t>Cross, 1984 #87}</w:t>
      </w:r>
      <w:r w:rsidR="00C711A6">
        <w:rPr>
          <w:rFonts w:ascii="Times New Roman" w:hAnsi="Times New Roman" w:cs="Times New Roman"/>
          <w:sz w:val="24"/>
          <w:szCs w:val="24"/>
        </w:rPr>
        <w:t xml:space="preserve"> </w:t>
      </w:r>
      <w:r w:rsidR="0073542E">
        <w:rPr>
          <w:rFonts w:ascii="Times New Roman" w:hAnsi="Times New Roman" w:cs="Times New Roman"/>
          <w:sz w:val="24"/>
          <w:szCs w:val="24"/>
        </w:rPr>
        <w:t>Briefly, after least-squares fitting to each intensity</w:t>
      </w:r>
      <w:r w:rsidR="00F2711B">
        <w:rPr>
          <w:rFonts w:ascii="Times New Roman" w:hAnsi="Times New Roman" w:cs="Times New Roman"/>
          <w:sz w:val="24"/>
          <w:szCs w:val="24"/>
        </w:rPr>
        <w:t xml:space="preserve"> decay, the limiting anisotropy</w:t>
      </w:r>
      <w:r w:rsidR="00D163B5">
        <w:rPr>
          <w:rFonts w:ascii="Times New Roman" w:hAnsi="Times New Roman" w:cs="Times New Roman"/>
          <w:sz w:val="24"/>
          <w:szCs w:val="24"/>
        </w:rPr>
        <w:t xml:space="preserve"> is determined from the</w:t>
      </w:r>
      <w:r w:rsidR="009F72DA">
        <w:rPr>
          <w:rFonts w:ascii="Times New Roman" w:hAnsi="Times New Roman" w:cs="Times New Roman"/>
          <w:sz w:val="24"/>
          <w:szCs w:val="24"/>
        </w:rPr>
        <w:t xml:space="preserve"> </w:t>
      </w:r>
      <w:r w:rsidR="000F6EA0">
        <w:rPr>
          <w:rFonts w:ascii="Times New Roman" w:hAnsi="Times New Roman" w:cs="Times New Roman"/>
          <w:sz w:val="24"/>
          <w:szCs w:val="24"/>
        </w:rPr>
        <w:t xml:space="preserve">corrected </w:t>
      </w:r>
      <w:r w:rsidR="0073542E">
        <w:rPr>
          <w:rFonts w:ascii="Times New Roman" w:hAnsi="Times New Roman" w:cs="Times New Roman"/>
          <w:sz w:val="24"/>
          <w:szCs w:val="24"/>
        </w:rPr>
        <w:t>amplitudes of the intensity decays</w:t>
      </w:r>
      <w:r w:rsidR="000F6EA0">
        <w:rPr>
          <w:rFonts w:ascii="Times New Roman" w:hAnsi="Times New Roman" w:cs="Times New Roman"/>
          <w:sz w:val="24"/>
          <w:szCs w:val="24"/>
        </w:rPr>
        <w:t xml:space="preserve"> (</w:t>
      </w:r>
      <w:r w:rsidR="00BF0C5B">
        <w:rPr>
          <w:rFonts w:ascii="Times New Roman" w:hAnsi="Times New Roman" w:cs="Times New Roman"/>
          <w:sz w:val="24"/>
          <w:szCs w:val="24"/>
        </w:rPr>
        <w:t>correction procedure</w:t>
      </w:r>
      <w:r w:rsidR="000F6EA0">
        <w:rPr>
          <w:rFonts w:ascii="Times New Roman" w:hAnsi="Times New Roman" w:cs="Times New Roman"/>
          <w:sz w:val="24"/>
          <w:szCs w:val="24"/>
        </w:rPr>
        <w:t xml:space="preserve"> detailed in the Supporting Information)</w:t>
      </w:r>
      <w:r w:rsidR="0073542E">
        <w:rPr>
          <w:rFonts w:ascii="Times New Roman" w:hAnsi="Times New Roman" w:cs="Times New Roman"/>
          <w:sz w:val="24"/>
          <w:szCs w:val="24"/>
        </w:rPr>
        <w:t xml:space="preserve"> by </w:t>
      </w:r>
      <w:r w:rsidR="00DC4A4D" w:rsidRPr="002433CD">
        <w:rPr>
          <w:rFonts w:ascii="Times New Roman" w:hAnsi="Times New Roman" w:cs="Times New Roman"/>
          <w:position w:val="-14"/>
          <w:sz w:val="24"/>
          <w:szCs w:val="24"/>
        </w:rPr>
        <w:object w:dxaOrig="2460" w:dyaOrig="400" w14:anchorId="3442E078">
          <v:shape id="_x0000_i1042" type="#_x0000_t75" style="width:123pt;height:20.5pt" o:ole="">
            <v:imagedata r:id="rId30" o:title=""/>
          </v:shape>
          <o:OLEObject Type="Embed" ProgID="Equation.3" ShapeID="_x0000_i1042" DrawAspect="Content" ObjectID="_1366318668" r:id="rId31"/>
        </w:object>
      </w:r>
      <w:r w:rsidR="002433CD">
        <w:rPr>
          <w:rFonts w:ascii="Times New Roman" w:hAnsi="Times New Roman" w:cs="Times New Roman"/>
          <w:sz w:val="24"/>
          <w:szCs w:val="24"/>
        </w:rPr>
        <w:t xml:space="preserve">, where the </w:t>
      </w:r>
      <w:r w:rsidR="000F6EA0">
        <w:rPr>
          <w:rFonts w:ascii="Times New Roman" w:hAnsi="Times New Roman" w:cs="Times New Roman"/>
          <w:sz w:val="24"/>
          <w:szCs w:val="24"/>
        </w:rPr>
        <w:t xml:space="preserve">numerical </w:t>
      </w:r>
      <w:r w:rsidR="002433CD">
        <w:rPr>
          <w:rFonts w:ascii="Times New Roman" w:hAnsi="Times New Roman" w:cs="Times New Roman"/>
          <w:sz w:val="24"/>
          <w:szCs w:val="24"/>
        </w:rPr>
        <w:t>super</w:t>
      </w:r>
      <w:r w:rsidR="00D26C1D">
        <w:rPr>
          <w:rFonts w:ascii="Times New Roman" w:hAnsi="Times New Roman" w:cs="Times New Roman"/>
          <w:sz w:val="24"/>
          <w:szCs w:val="24"/>
        </w:rPr>
        <w:t>scripts indicate the polarizer orientation</w:t>
      </w:r>
      <w:r w:rsidR="00DC4A4D">
        <w:rPr>
          <w:rFonts w:ascii="Times New Roman" w:hAnsi="Times New Roman" w:cs="Times New Roman"/>
          <w:sz w:val="24"/>
          <w:szCs w:val="24"/>
        </w:rPr>
        <w:t xml:space="preserve"> and the subscripts indicate the trial function used</w:t>
      </w:r>
      <w:r w:rsidR="00D26C1D">
        <w:rPr>
          <w:rFonts w:ascii="Times New Roman" w:hAnsi="Times New Roman" w:cs="Times New Roman"/>
          <w:sz w:val="24"/>
          <w:szCs w:val="24"/>
        </w:rPr>
        <w:t xml:space="preserve">. The correlation time </w:t>
      </w:r>
      <w:r w:rsidR="00D26C1D" w:rsidRPr="00D26C1D">
        <w:rPr>
          <w:rFonts w:ascii="Symbol" w:hAnsi="Symbol" w:cs="Times New Roman"/>
          <w:sz w:val="24"/>
          <w:szCs w:val="24"/>
        </w:rPr>
        <w:t></w:t>
      </w:r>
      <w:r w:rsidR="00D26C1D" w:rsidRPr="00D26C1D">
        <w:rPr>
          <w:rFonts w:ascii="Times New Roman" w:hAnsi="Times New Roman" w:cs="Times New Roman"/>
          <w:sz w:val="24"/>
          <w:szCs w:val="24"/>
          <w:vertAlign w:val="subscript"/>
        </w:rPr>
        <w:t>c</w:t>
      </w:r>
      <w:r w:rsidR="00D26C1D">
        <w:rPr>
          <w:rFonts w:ascii="Times New Roman" w:hAnsi="Times New Roman" w:cs="Times New Roman"/>
          <w:sz w:val="24"/>
          <w:szCs w:val="24"/>
        </w:rPr>
        <w:t xml:space="preserve"> is determined from a weighted average of the individual exponential time constants obtained from the corresponding fits to the intensity decays at 0° and 90° polarizer orientations</w:t>
      </w:r>
      <w:r w:rsidR="002433CD">
        <w:rPr>
          <w:rFonts w:ascii="Times New Roman" w:hAnsi="Times New Roman" w:cs="Times New Roman"/>
          <w:sz w:val="24"/>
          <w:szCs w:val="24"/>
        </w:rPr>
        <w:t xml:space="preserve"> by </w:t>
      </w:r>
    </w:p>
    <w:p w14:paraId="5A388CCA" w14:textId="70815E17" w:rsidR="00DC4A4D" w:rsidRPr="00D26C1D" w:rsidRDefault="000F6EA0" w:rsidP="00DC4A4D">
      <w:pPr>
        <w:pStyle w:val="NoSpacing"/>
        <w:spacing w:line="480" w:lineRule="auto"/>
        <w:ind w:firstLine="720"/>
        <w:jc w:val="right"/>
        <w:rPr>
          <w:rFonts w:ascii="Times New Roman" w:hAnsi="Times New Roman" w:cs="Times New Roman"/>
          <w:sz w:val="24"/>
          <w:szCs w:val="24"/>
        </w:rPr>
      </w:pPr>
      <w:r w:rsidRPr="000F6EA0">
        <w:rPr>
          <w:rFonts w:ascii="Times New Roman" w:hAnsi="Times New Roman" w:cs="Times New Roman"/>
          <w:position w:val="-32"/>
          <w:sz w:val="24"/>
          <w:szCs w:val="24"/>
        </w:rPr>
        <w:object w:dxaOrig="4260" w:dyaOrig="760" w14:anchorId="401A4E14">
          <v:shape id="_x0000_i1043" type="#_x0000_t75" style="width:213pt;height:38pt" o:ole="">
            <v:imagedata r:id="rId32" o:title=""/>
          </v:shape>
          <o:OLEObject Type="Embed" ProgID="Equation.3" ShapeID="_x0000_i1043" DrawAspect="Content" ObjectID="_1366318669" r:id="rId33"/>
        </w:object>
      </w:r>
      <w:r w:rsidR="00D26C1D">
        <w:rPr>
          <w:rFonts w:ascii="Times New Roman" w:hAnsi="Times New Roman" w:cs="Times New Roman"/>
          <w:sz w:val="24"/>
          <w:szCs w:val="24"/>
        </w:rPr>
        <w:t>.</w:t>
      </w:r>
      <w:r w:rsidR="00DC4A4D">
        <w:rPr>
          <w:rFonts w:ascii="Times New Roman" w:hAnsi="Times New Roman" w:cs="Times New Roman"/>
          <w:sz w:val="24"/>
          <w:szCs w:val="24"/>
        </w:rPr>
        <w:tab/>
      </w:r>
      <w:r w:rsidR="00DC4A4D">
        <w:rPr>
          <w:rFonts w:ascii="Times New Roman" w:hAnsi="Times New Roman" w:cs="Times New Roman"/>
          <w:sz w:val="24"/>
          <w:szCs w:val="24"/>
        </w:rPr>
        <w:tab/>
        <w:t xml:space="preserve">       (3)</w:t>
      </w:r>
    </w:p>
    <w:p w14:paraId="6E16E633" w14:textId="62EC90B5" w:rsidR="00BB7130" w:rsidRDefault="00771E20" w:rsidP="00F9538D">
      <w:pPr>
        <w:pStyle w:val="NoSpacing"/>
        <w:spacing w:line="480" w:lineRule="auto"/>
        <w:ind w:firstLine="720"/>
        <w:jc w:val="both"/>
        <w:rPr>
          <w:rFonts w:ascii="Times New Roman" w:hAnsi="Times New Roman" w:cs="Times New Roman"/>
          <w:sz w:val="24"/>
          <w:szCs w:val="24"/>
        </w:rPr>
      </w:pPr>
      <w:r w:rsidRPr="00771E20">
        <w:rPr>
          <w:rFonts w:ascii="Times New Roman" w:hAnsi="Times New Roman" w:cs="Times New Roman"/>
          <w:sz w:val="24"/>
          <w:szCs w:val="24"/>
        </w:rPr>
        <w:t xml:space="preserve">Due to the short lifetime and rapid anisotropy decay for MEH-PPV, only MEH-PPV in solution yielded a complete set of intensity decays usable for fitting analysis </w:t>
      </w:r>
      <w:r w:rsidR="001242BE" w:rsidRPr="00771E20">
        <w:rPr>
          <w:rFonts w:ascii="Times New Roman" w:hAnsi="Times New Roman" w:cs="Times New Roman"/>
          <w:sz w:val="24"/>
          <w:szCs w:val="24"/>
        </w:rPr>
        <w:t>(</w:t>
      </w:r>
      <w:r w:rsidR="001242BE" w:rsidRPr="00771E20">
        <w:rPr>
          <w:rFonts w:ascii="Times New Roman" w:hAnsi="Times New Roman" w:cs="Times New Roman"/>
          <w:i/>
          <w:sz w:val="24"/>
          <w:szCs w:val="24"/>
        </w:rPr>
        <w:t>r</w:t>
      </w:r>
      <w:r w:rsidR="001242BE" w:rsidRPr="00771E20">
        <w:rPr>
          <w:rFonts w:ascii="Times New Roman" w:hAnsi="Times New Roman" w:cs="Times New Roman"/>
          <w:sz w:val="24"/>
          <w:szCs w:val="24"/>
          <w:vertAlign w:val="subscript"/>
        </w:rPr>
        <w:t>0</w:t>
      </w:r>
      <w:r w:rsidR="001242BE" w:rsidRPr="00771E20">
        <w:rPr>
          <w:rFonts w:ascii="Times New Roman" w:hAnsi="Times New Roman" w:cs="Times New Roman"/>
          <w:sz w:val="24"/>
          <w:szCs w:val="24"/>
        </w:rPr>
        <w:t xml:space="preserve"> = 0.07 </w:t>
      </w:r>
      <w:r w:rsidR="001242BE" w:rsidRPr="00771E20">
        <w:rPr>
          <w:rFonts w:ascii="Symbol" w:hAnsi="Symbol" w:cs="Times New Roman"/>
          <w:sz w:val="24"/>
          <w:szCs w:val="24"/>
        </w:rPr>
        <w:t></w:t>
      </w:r>
      <w:r w:rsidR="00F42678" w:rsidRPr="00771E20">
        <w:rPr>
          <w:rFonts w:ascii="Times New Roman" w:hAnsi="Times New Roman" w:cs="Times New Roman"/>
          <w:sz w:val="24"/>
          <w:szCs w:val="24"/>
          <w:vertAlign w:val="subscript"/>
        </w:rPr>
        <w:t>c</w:t>
      </w:r>
      <w:r w:rsidR="00EA7984" w:rsidRPr="00771E20">
        <w:rPr>
          <w:rFonts w:ascii="Times New Roman" w:hAnsi="Times New Roman" w:cs="Times New Roman"/>
          <w:sz w:val="24"/>
          <w:szCs w:val="24"/>
        </w:rPr>
        <w:t xml:space="preserve"> = 290</w:t>
      </w:r>
      <w:r w:rsidR="00F42678" w:rsidRPr="00771E20">
        <w:rPr>
          <w:rFonts w:ascii="Times New Roman" w:hAnsi="Times New Roman" w:cs="Times New Roman"/>
          <w:sz w:val="24"/>
          <w:szCs w:val="24"/>
        </w:rPr>
        <w:t xml:space="preserve"> </w:t>
      </w:r>
      <w:proofErr w:type="spellStart"/>
      <w:r w:rsidR="00F42678" w:rsidRPr="00771E20">
        <w:rPr>
          <w:rFonts w:ascii="Times New Roman" w:hAnsi="Times New Roman" w:cs="Times New Roman"/>
          <w:sz w:val="24"/>
          <w:szCs w:val="24"/>
        </w:rPr>
        <w:t>ps</w:t>
      </w:r>
      <w:proofErr w:type="spellEnd"/>
      <w:r w:rsidR="00F42678" w:rsidRPr="00771E20">
        <w:rPr>
          <w:rFonts w:ascii="Times New Roman" w:hAnsi="Times New Roman" w:cs="Times New Roman"/>
          <w:sz w:val="24"/>
          <w:szCs w:val="24"/>
        </w:rPr>
        <w:t>).</w:t>
      </w:r>
      <w:r w:rsidR="005858F1" w:rsidRPr="00771E20">
        <w:rPr>
          <w:rFonts w:ascii="Times New Roman" w:hAnsi="Times New Roman" w:cs="Times New Roman"/>
          <w:sz w:val="24"/>
          <w:szCs w:val="24"/>
        </w:rPr>
        <w:t xml:space="preserve"> </w:t>
      </w:r>
      <w:r w:rsidR="008455B2">
        <w:rPr>
          <w:rFonts w:ascii="Times New Roman" w:hAnsi="Times New Roman" w:cs="Times New Roman"/>
          <w:sz w:val="24"/>
          <w:szCs w:val="24"/>
        </w:rPr>
        <w:t xml:space="preserve">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BF0C5B">
        <w:rPr>
          <w:rFonts w:ascii="Times New Roman" w:hAnsi="Times New Roman" w:cs="Times New Roman"/>
          <w:sz w:val="24"/>
          <w:szCs w:val="24"/>
        </w:rPr>
        <w:t xml:space="preserve"> in solution</w:t>
      </w:r>
      <w:r w:rsidR="008455B2">
        <w:rPr>
          <w:rFonts w:ascii="Times New Roman" w:hAnsi="Times New Roman" w:cs="Times New Roman"/>
          <w:sz w:val="24"/>
          <w:szCs w:val="24"/>
        </w:rPr>
        <w:t>.</w:t>
      </w:r>
      <w:r w:rsidR="00357040">
        <w:rPr>
          <w:rFonts w:ascii="Times New Roman" w:hAnsi="Times New Roman" w:cs="Times New Roman"/>
          <w:sz w:val="24"/>
          <w:szCs w:val="24"/>
        </w:rPr>
        <w:t xml:space="preserve">{Nguyen, 1999 #96;Bjorklund, </w:t>
      </w:r>
      <w:r w:rsidR="00357040">
        <w:rPr>
          <w:rFonts w:ascii="Times New Roman" w:hAnsi="Times New Roman" w:cs="Times New Roman"/>
          <w:sz w:val="24"/>
          <w:szCs w:val="24"/>
        </w:rPr>
        <w:lastRenderedPageBreak/>
        <w:t>2001 #97}</w:t>
      </w:r>
      <w:r w:rsidR="00F42678">
        <w:rPr>
          <w:rFonts w:ascii="Times New Roman" w:hAnsi="Times New Roman" w:cs="Times New Roman"/>
          <w:sz w:val="24"/>
          <w:szCs w:val="24"/>
        </w:rPr>
        <w:t xml:space="preserve"> </w:t>
      </w:r>
      <w:r w:rsidR="008455B2">
        <w:rPr>
          <w:rFonts w:ascii="Times New Roman" w:hAnsi="Times New Roman" w:cs="Times New Roman"/>
          <w:sz w:val="24"/>
          <w:szCs w:val="24"/>
        </w:rPr>
        <w:t xml:space="preserve">The representative intensity decays, and constructed anisotropy decay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w:t>
      </w:r>
      <w:r w:rsidR="00BF0C5B">
        <w:rPr>
          <w:rFonts w:ascii="Times New Roman" w:hAnsi="Times New Roman" w:cs="Times New Roman"/>
          <w:sz w:val="24"/>
          <w:szCs w:val="24"/>
        </w:rPr>
        <w:t xml:space="preserve"> (40% THF)</w:t>
      </w:r>
      <w:r w:rsidR="005858F1">
        <w:rPr>
          <w:rFonts w:ascii="Times New Roman" w:hAnsi="Times New Roman" w:cs="Times New Roman"/>
          <w:sz w:val="24"/>
          <w:szCs w:val="24"/>
        </w:rPr>
        <w:t xml:space="preserve"> are</w:t>
      </w:r>
      <w:r w:rsidR="001242BE" w:rsidRPr="00B30BC6">
        <w:rPr>
          <w:rFonts w:ascii="Times New Roman" w:hAnsi="Times New Roman" w:cs="Times New Roman"/>
          <w:sz w:val="24"/>
          <w:szCs w:val="24"/>
        </w:rPr>
        <w:t xml:space="preserve"> given in Fig. 7. For </w:t>
      </w:r>
      <w:r w:rsidR="0046063C">
        <w:rPr>
          <w:rFonts w:ascii="Times New Roman" w:hAnsi="Times New Roman" w:cs="Times New Roman"/>
          <w:sz w:val="24"/>
          <w:szCs w:val="24"/>
        </w:rPr>
        <w:t>40%, 60%, 95% and 100% 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phenomenological</w:t>
      </w:r>
      <w:r>
        <w:rPr>
          <w:rFonts w:ascii="Times New Roman" w:hAnsi="Times New Roman" w:cs="Times New Roman"/>
          <w:sz w:val="24"/>
          <w:szCs w:val="24"/>
        </w:rPr>
        <w:t xml:space="preserve"> correlation times</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 xml:space="preserve">are 21 </w:t>
      </w:r>
      <w:proofErr w:type="spellStart"/>
      <w:r w:rsidR="00EA7984">
        <w:rPr>
          <w:rFonts w:ascii="Times New Roman" w:hAnsi="Times New Roman" w:cs="Times New Roman"/>
          <w:sz w:val="24"/>
          <w:szCs w:val="24"/>
        </w:rPr>
        <w:t>ps</w:t>
      </w:r>
      <w:proofErr w:type="spellEnd"/>
      <w:r w:rsidR="00EA7984">
        <w:rPr>
          <w:rFonts w:ascii="Times New Roman" w:hAnsi="Times New Roman" w:cs="Times New Roman"/>
          <w:sz w:val="24"/>
          <w:szCs w:val="24"/>
        </w:rPr>
        <w:t>, 450</w:t>
      </w:r>
      <w:r w:rsidR="001242BE" w:rsidRPr="00B30BC6">
        <w:rPr>
          <w:rFonts w:ascii="Times New Roman" w:hAnsi="Times New Roman" w:cs="Times New Roman"/>
          <w:sz w:val="24"/>
          <w:szCs w:val="24"/>
        </w:rPr>
        <w:t xml:space="preserve">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910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and 920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respectively.</w:t>
      </w:r>
      <w:r w:rsidR="00DF61F7">
        <w:rPr>
          <w:rFonts w:ascii="Times New Roman" w:hAnsi="Times New Roman" w:cs="Times New Roman"/>
          <w:sz w:val="24"/>
          <w:szCs w:val="24"/>
        </w:rPr>
        <w:t xml:space="preserve"> Direct </w:t>
      </w:r>
      <w:proofErr w:type="spellStart"/>
      <w:r w:rsidR="00DF61F7">
        <w:rPr>
          <w:rFonts w:ascii="Times New Roman" w:hAnsi="Times New Roman" w:cs="Times New Roman"/>
          <w:sz w:val="24"/>
          <w:szCs w:val="24"/>
        </w:rPr>
        <w:t>reconvolution</w:t>
      </w:r>
      <w:proofErr w:type="spellEnd"/>
      <w:r w:rsidR="00DF61F7">
        <w:rPr>
          <w:rFonts w:ascii="Times New Roman" w:hAnsi="Times New Roman" w:cs="Times New Roman"/>
          <w:sz w:val="24"/>
          <w:szCs w:val="24"/>
        </w:rPr>
        <w:t xml:space="preserve"> fitting of the</w:t>
      </w:r>
      <w:r w:rsidR="00D15156">
        <w:rPr>
          <w:rFonts w:ascii="Times New Roman" w:hAnsi="Times New Roman" w:cs="Times New Roman"/>
          <w:sz w:val="24"/>
          <w:szCs w:val="24"/>
        </w:rPr>
        <w:t xml:space="preserve"> </w:t>
      </w:r>
      <w:r w:rsidR="00DF61F7">
        <w:rPr>
          <w:rFonts w:ascii="Times New Roman" w:hAnsi="Times New Roman" w:cs="Times New Roman"/>
          <w:sz w:val="24"/>
          <w:szCs w:val="24"/>
        </w:rPr>
        <w:t xml:space="preserve">anisotropy decay in Fig 7b to a single exponential with a constant offset yields </w:t>
      </w:r>
      <w:r w:rsidR="00DF61F7" w:rsidRPr="00DF61F7">
        <w:rPr>
          <w:rFonts w:ascii="Symbol" w:hAnsi="Symbol" w:cs="Times New Roman"/>
          <w:sz w:val="24"/>
          <w:szCs w:val="24"/>
        </w:rPr>
        <w:t></w:t>
      </w:r>
      <w:r w:rsidR="00DF61F7" w:rsidRPr="00DF61F7">
        <w:rPr>
          <w:rFonts w:ascii="Times New Roman" w:hAnsi="Times New Roman" w:cs="Times New Roman"/>
          <w:sz w:val="24"/>
          <w:szCs w:val="24"/>
          <w:vertAlign w:val="subscript"/>
        </w:rPr>
        <w:t>c</w:t>
      </w:r>
      <w:r w:rsidR="00DF61F7">
        <w:rPr>
          <w:rFonts w:ascii="Times New Roman" w:hAnsi="Times New Roman" w:cs="Times New Roman"/>
          <w:sz w:val="24"/>
          <w:szCs w:val="24"/>
        </w:rPr>
        <w:t xml:space="preserve"> of 20 </w:t>
      </w:r>
      <w:proofErr w:type="spellStart"/>
      <w:r w:rsidR="00DF61F7">
        <w:rPr>
          <w:rFonts w:ascii="Times New Roman" w:hAnsi="Times New Roman" w:cs="Times New Roman"/>
          <w:sz w:val="24"/>
          <w:szCs w:val="24"/>
        </w:rPr>
        <w:t>ps</w:t>
      </w:r>
      <w:proofErr w:type="spellEnd"/>
      <w:r w:rsidR="00DF61F7">
        <w:rPr>
          <w:rFonts w:ascii="Times New Roman" w:hAnsi="Times New Roman" w:cs="Times New Roman"/>
          <w:sz w:val="24"/>
          <w:szCs w:val="24"/>
        </w:rPr>
        <w:t xml:space="preserve"> with an offset of 0.03.</w:t>
      </w:r>
      <w:r w:rsidR="001242BE" w:rsidRPr="00B30BC6">
        <w:rPr>
          <w:rFonts w:ascii="Times New Roman" w:hAnsi="Times New Roman" w:cs="Times New Roman"/>
          <w:sz w:val="24"/>
          <w:szCs w:val="24"/>
        </w:rPr>
        <w:t xml:space="preserve"> The increasing correlation times indicate that </w:t>
      </w:r>
      <w:r w:rsidR="00BF0C5B">
        <w:rPr>
          <w:rFonts w:ascii="Times New Roman" w:hAnsi="Times New Roman" w:cs="Times New Roman"/>
          <w:sz w:val="24"/>
          <w:szCs w:val="24"/>
        </w:rPr>
        <w:t xml:space="preserve">the </w:t>
      </w:r>
      <w:r w:rsidR="001242BE" w:rsidRPr="00B30BC6">
        <w:rPr>
          <w:rFonts w:ascii="Times New Roman" w:hAnsi="Times New Roman" w:cs="Times New Roman"/>
          <w:sz w:val="24"/>
          <w:szCs w:val="24"/>
        </w:rPr>
        <w:t xml:space="preserve">anisotropy decays </w:t>
      </w:r>
      <w:r w:rsidR="00BF0C5B">
        <w:rPr>
          <w:rFonts w:ascii="Times New Roman" w:hAnsi="Times New Roman" w:cs="Times New Roman"/>
          <w:sz w:val="24"/>
          <w:szCs w:val="24"/>
        </w:rPr>
        <w:t>at a reduced rate</w:t>
      </w:r>
      <w:r w:rsidR="001242BE" w:rsidRPr="00B30BC6">
        <w:rPr>
          <w:rFonts w:ascii="Times New Roman" w:hAnsi="Times New Roman" w:cs="Times New Roman"/>
          <w:sz w:val="24"/>
          <w:szCs w:val="24"/>
        </w:rPr>
        <w:t xml:space="preserve"> </w:t>
      </w:r>
      <w:r w:rsidR="00BF0C5B">
        <w:rPr>
          <w:rFonts w:ascii="Times New Roman" w:hAnsi="Times New Roman" w:cs="Times New Roman"/>
          <w:sz w:val="24"/>
          <w:szCs w:val="24"/>
        </w:rPr>
        <w:t xml:space="preserve">with increasing % THF. The reduced rate of anisotropy decay </w:t>
      </w:r>
      <w:r w:rsidR="00D91FCF">
        <w:rPr>
          <w:rFonts w:ascii="Times New Roman" w:hAnsi="Times New Roman" w:cs="Times New Roman"/>
          <w:sz w:val="24"/>
          <w:szCs w:val="24"/>
        </w:rPr>
        <w:t xml:space="preserve">with increased swelling </w:t>
      </w:r>
      <w:r w:rsidR="001242BE" w:rsidRPr="00B30BC6">
        <w:rPr>
          <w:rFonts w:ascii="Times New Roman" w:hAnsi="Times New Roman" w:cs="Times New Roman"/>
          <w:sz w:val="24"/>
          <w:szCs w:val="24"/>
        </w:rPr>
        <w:t>is expecte</w:t>
      </w:r>
      <w:r w:rsidR="00703B20">
        <w:rPr>
          <w:rFonts w:ascii="Times New Roman" w:hAnsi="Times New Roman" w:cs="Times New Roman"/>
          <w:sz w:val="24"/>
          <w:szCs w:val="24"/>
        </w:rPr>
        <w:t xml:space="preserve">d due to a </w:t>
      </w:r>
      <w:r w:rsidR="00490CD9">
        <w:rPr>
          <w:rFonts w:ascii="Times New Roman" w:hAnsi="Times New Roman" w:cs="Times New Roman"/>
          <w:sz w:val="24"/>
          <w:szCs w:val="24"/>
        </w:rPr>
        <w:t>reduc</w:t>
      </w:r>
      <w:r w:rsidR="00BF0C5B">
        <w:rPr>
          <w:rFonts w:ascii="Times New Roman" w:hAnsi="Times New Roman" w:cs="Times New Roman"/>
          <w:sz w:val="24"/>
          <w:szCs w:val="24"/>
        </w:rPr>
        <w:t>ed</w:t>
      </w:r>
      <w:r w:rsidR="00490CD9">
        <w:rPr>
          <w:rFonts w:ascii="Times New Roman" w:hAnsi="Times New Roman" w:cs="Times New Roman"/>
          <w:sz w:val="24"/>
          <w:szCs w:val="24"/>
        </w:rPr>
        <w:t xml:space="preserve"> rate of multiple</w:t>
      </w:r>
      <w:r w:rsidR="00703B20">
        <w:rPr>
          <w:rFonts w:ascii="Times New Roman" w:hAnsi="Times New Roman" w:cs="Times New Roman"/>
          <w:sz w:val="24"/>
          <w:szCs w:val="24"/>
        </w:rPr>
        <w:t xml:space="preserve"> energy transfer </w:t>
      </w:r>
      <w:r w:rsidR="00D523FE">
        <w:rPr>
          <w:rFonts w:ascii="Times New Roman" w:hAnsi="Times New Roman" w:cs="Times New Roman"/>
          <w:sz w:val="24"/>
          <w:szCs w:val="24"/>
        </w:rPr>
        <w:t xml:space="preserve">resulting from increases in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t>interchromophore</w:t>
      </w:r>
      <w:proofErr w:type="spellEnd"/>
      <w:r w:rsidR="00D523FE">
        <w:rPr>
          <w:rFonts w:ascii="Times New Roman" w:hAnsi="Times New Roman" w:cs="Times New Roman"/>
          <w:sz w:val="24"/>
          <w:szCs w:val="24"/>
        </w:rPr>
        <w:t xml:space="preserve"> distance</w:t>
      </w:r>
      <w:r w:rsidR="001242BE" w:rsidRPr="00B30BC6">
        <w:rPr>
          <w:rFonts w:ascii="Times New Roman" w:hAnsi="Times New Roman" w:cs="Times New Roman"/>
          <w:sz w:val="24"/>
          <w:szCs w:val="24"/>
        </w:rPr>
        <w:t>. The low (~2x to ~50x lower than the theoretical maximum of 0.4) limiting anisotropy values obtained</w:t>
      </w:r>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645F67">
        <w:rPr>
          <w:rFonts w:ascii="Times New Roman" w:hAnsi="Times New Roman" w:cs="Times New Roman"/>
          <w:sz w:val="24"/>
          <w:szCs w:val="24"/>
        </w:rPr>
        <w:t>transition dipoles are not</w:t>
      </w:r>
      <w:r w:rsidR="00703B20">
        <w:rPr>
          <w:rFonts w:ascii="Times New Roman" w:hAnsi="Times New Roman" w:cs="Times New Roman"/>
          <w:sz w:val="24"/>
          <w:szCs w:val="24"/>
        </w:rPr>
        <w:t xml:space="preserve"> initially well-</w:t>
      </w:r>
      <w:r w:rsidR="00645F67">
        <w:rPr>
          <w:rFonts w:ascii="Times New Roman" w:hAnsi="Times New Roman" w:cs="Times New Roman"/>
          <w:sz w:val="24"/>
          <w:szCs w:val="24"/>
        </w:rPr>
        <w:t>aligned,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w:t>
      </w:r>
      <w:r w:rsidR="00F9538D">
        <w:rPr>
          <w:rFonts w:ascii="Times New Roman" w:hAnsi="Times New Roman" w:cs="Times New Roman"/>
          <w:sz w:val="24"/>
          <w:szCs w:val="24"/>
        </w:rPr>
        <w:t>In CPNs, t</w:t>
      </w:r>
      <w:r w:rsidR="00940BB3">
        <w:rPr>
          <w:rFonts w:ascii="Times New Roman" w:hAnsi="Times New Roman" w:cs="Times New Roman"/>
          <w:sz w:val="24"/>
          <w:szCs w:val="24"/>
        </w:rPr>
        <w:t>he correlation ti</w:t>
      </w:r>
      <w:r w:rsidR="008A3487">
        <w:rPr>
          <w:rFonts w:ascii="Times New Roman" w:hAnsi="Times New Roman" w:cs="Times New Roman"/>
          <w:sz w:val="24"/>
          <w:szCs w:val="24"/>
        </w:rPr>
        <w:t>me constants obtained with Eq. 3 are hypothesized to represent the depolarization time due to multiple energy transfer</w:t>
      </w:r>
      <w:r w:rsidR="00F9538D">
        <w:rPr>
          <w:rFonts w:ascii="Times New Roman" w:hAnsi="Times New Roman" w:cs="Times New Roman"/>
          <w:sz w:val="24"/>
          <w:szCs w:val="24"/>
        </w:rPr>
        <w:t xml:space="preserve"> exclusively</w:t>
      </w:r>
      <w:r w:rsidR="00D523FE">
        <w:rPr>
          <w:rFonts w:ascii="Times New Roman" w:hAnsi="Times New Roman" w:cs="Times New Roman"/>
          <w:sz w:val="24"/>
          <w:szCs w:val="24"/>
        </w:rPr>
        <w:t xml:space="preserve"> (i.e., particle rotation in solvent can be safely ignored)</w:t>
      </w:r>
      <w:r w:rsidR="00F9538D">
        <w:rPr>
          <w:rFonts w:ascii="Times New Roman" w:hAnsi="Times New Roman" w:cs="Times New Roman"/>
          <w:sz w:val="24"/>
          <w:szCs w:val="24"/>
        </w:rPr>
        <w:t>, providing a convenient means to probe the rate of exciton transport at each solvent composition</w:t>
      </w:r>
      <w:r w:rsidR="008A3487">
        <w:rPr>
          <w:rFonts w:ascii="Times New Roman" w:hAnsi="Times New Roman" w:cs="Times New Roman"/>
          <w:sz w:val="24"/>
          <w:szCs w:val="24"/>
        </w:rPr>
        <w:t xml:space="preserve">. </w:t>
      </w:r>
      <w:r w:rsidR="00D15156">
        <w:rPr>
          <w:rFonts w:ascii="Times New Roman" w:hAnsi="Times New Roman" w:cs="Times New Roman"/>
          <w:sz w:val="24"/>
          <w:szCs w:val="24"/>
        </w:rPr>
        <w:t>For</w:t>
      </w:r>
      <w:r w:rsidR="001242BE" w:rsidRPr="00B30BC6">
        <w:rPr>
          <w:rFonts w:ascii="Times New Roman" w:hAnsi="Times New Roman" w:cs="Times New Roman"/>
          <w:sz w:val="24"/>
          <w:szCs w:val="24"/>
        </w:rPr>
        <w:t xml:space="preserve"> P</w:t>
      </w:r>
      <w:r w:rsidR="00D15156">
        <w:rPr>
          <w:rFonts w:ascii="Times New Roman" w:hAnsi="Times New Roman" w:cs="Times New Roman"/>
          <w:sz w:val="24"/>
          <w:szCs w:val="24"/>
        </w:rPr>
        <w:t>FBT CPNs in 40% THF (given that a more significant anisotropy decay</w:t>
      </w:r>
      <w:r w:rsidR="001242BE" w:rsidRPr="00B30BC6">
        <w:rPr>
          <w:rFonts w:ascii="Times New Roman" w:hAnsi="Times New Roman" w:cs="Times New Roman"/>
          <w:sz w:val="24"/>
          <w:szCs w:val="24"/>
        </w:rPr>
        <w:t xml:space="preserve">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 xml:space="preserve">is 21 </w:t>
      </w:r>
      <w:proofErr w:type="spellStart"/>
      <w:r w:rsidR="001242BE" w:rsidRPr="00B30BC6">
        <w:rPr>
          <w:rFonts w:ascii="Times New Roman" w:hAnsi="Times New Roman" w:cs="Times New Roman"/>
          <w:sz w:val="24"/>
          <w:szCs w:val="24"/>
        </w:rPr>
        <w:t>ps</w:t>
      </w:r>
      <w:proofErr w:type="spellEnd"/>
      <w:r w:rsidR="00D15156">
        <w:rPr>
          <w:rFonts w:ascii="Times New Roman" w:hAnsi="Times New Roman" w:cs="Times New Roman"/>
          <w:sz w:val="24"/>
          <w:szCs w:val="24"/>
        </w:rPr>
        <w:t>, which</w:t>
      </w:r>
      <w:r w:rsidR="001242BE" w:rsidRPr="00B30BC6">
        <w:rPr>
          <w:rFonts w:ascii="Times New Roman" w:hAnsi="Times New Roman" w:cs="Times New Roman"/>
          <w:sz w:val="24"/>
          <w:szCs w:val="24"/>
        </w:rPr>
        <w:t xml:space="preserve"> corresponds to a</w:t>
      </w:r>
      <w:r w:rsidR="00D15156">
        <w:rPr>
          <w:rFonts w:ascii="Times New Roman" w:hAnsi="Times New Roman" w:cs="Times New Roman"/>
          <w:sz w:val="24"/>
          <w:szCs w:val="24"/>
        </w:rPr>
        <w:t xml:space="preserve"> multiple</w:t>
      </w:r>
      <w:r w:rsidR="00FE0C8A">
        <w:rPr>
          <w:rFonts w:ascii="Times New Roman" w:hAnsi="Times New Roman" w:cs="Times New Roman"/>
          <w:sz w:val="24"/>
          <w:szCs w:val="24"/>
        </w:rPr>
        <w:t xml:space="preserve"> energy transfer rate constant </w:t>
      </w:r>
      <w:proofErr w:type="spellStart"/>
      <w:r w:rsidR="00D523FE">
        <w:rPr>
          <w:rFonts w:ascii="Times New Roman" w:hAnsi="Times New Roman" w:cs="Times New Roman"/>
          <w:i/>
          <w:sz w:val="24"/>
          <w:szCs w:val="24"/>
        </w:rPr>
        <w:t>k</w:t>
      </w:r>
      <w:r w:rsidR="00D523FE" w:rsidRPr="00D523FE">
        <w:rPr>
          <w:rFonts w:ascii="Times New Roman" w:hAnsi="Times New Roman" w:cs="Times New Roman"/>
          <w:i/>
          <w:sz w:val="24"/>
          <w:szCs w:val="24"/>
          <w:vertAlign w:val="subscript"/>
        </w:rPr>
        <w:t>et</w:t>
      </w:r>
      <w:proofErr w:type="spellEnd"/>
      <w:r w:rsidR="00D523FE">
        <w:rPr>
          <w:rFonts w:ascii="Times New Roman" w:hAnsi="Times New Roman" w:cs="Times New Roman"/>
          <w:i/>
          <w:sz w:val="24"/>
          <w:szCs w:val="24"/>
        </w:rPr>
        <w:t xml:space="preserve"> </w:t>
      </w:r>
      <w:r w:rsidR="00FE0C8A">
        <w:rPr>
          <w:rFonts w:ascii="Times New Roman" w:hAnsi="Times New Roman" w:cs="Times New Roman"/>
          <w:sz w:val="24"/>
          <w:szCs w:val="24"/>
        </w:rPr>
        <w:t>of 4.8</w:t>
      </w:r>
      <w:r w:rsidR="00244F60">
        <w:rPr>
          <w:rFonts w:ascii="Times New Roman" w:hAnsi="Times New Roman" w:cs="Times New Roman"/>
          <w:position w:val="-4"/>
          <w:sz w:val="24"/>
          <w:szCs w:val="24"/>
        </w:rPr>
        <w:pict w14:anchorId="11EA6EBC">
          <v:shape id="_x0000_i1044" type="#_x0000_t75" style="width:9.5pt;height:9.5pt">
            <v:imagedata r:id="rId34" o:title=""/>
          </v:shape>
        </w:pi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244F60">
        <w:rPr>
          <w:rFonts w:ascii="Times New Roman" w:hAnsi="Times New Roman" w:cs="Times New Roman"/>
          <w:position w:val="-4"/>
          <w:sz w:val="24"/>
          <w:szCs w:val="24"/>
        </w:rPr>
        <w:pict w14:anchorId="36CA551B">
          <v:shape id="_x0000_i1045" type="#_x0000_t75" style="width:9.5pt;height:9.5pt">
            <v:imagedata r:id="rId35"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suggests that </w:t>
      </w:r>
      <w:r w:rsidR="00B21DBD">
        <w:rPr>
          <w:rFonts w:ascii="Times New Roman" w:hAnsi="Times New Roman" w:cs="Times New Roman"/>
          <w:sz w:val="24"/>
          <w:szCs w:val="24"/>
        </w:rPr>
        <w:t>multiple energy transfer between equivalent chromophores</w:t>
      </w:r>
      <w:r w:rsidR="001242BE" w:rsidRPr="00B30BC6">
        <w:rPr>
          <w:rFonts w:ascii="Times New Roman" w:hAnsi="Times New Roman" w:cs="Times New Roman"/>
          <w:sz w:val="24"/>
          <w:szCs w:val="24"/>
        </w:rPr>
        <w:t xml:space="preserve"> is </w:t>
      </w:r>
      <w:r>
        <w:rPr>
          <w:rFonts w:ascii="Times New Roman" w:hAnsi="Times New Roman" w:cs="Times New Roman"/>
          <w:sz w:val="24"/>
          <w:szCs w:val="24"/>
        </w:rPr>
        <w:t>faster</w:t>
      </w:r>
      <w:r w:rsidR="001242BE" w:rsidRPr="00B30BC6">
        <w:rPr>
          <w:rFonts w:ascii="Times New Roman" w:hAnsi="Times New Roman" w:cs="Times New Roman"/>
          <w:sz w:val="24"/>
          <w:szCs w:val="24"/>
        </w:rPr>
        <w:t xml:space="preserve"> in the aggregated state</w:t>
      </w:r>
      <w:r>
        <w:rPr>
          <w:rFonts w:ascii="Times New Roman" w:hAnsi="Times New Roman" w:cs="Times New Roman"/>
          <w:sz w:val="24"/>
          <w:szCs w:val="24"/>
        </w:rPr>
        <w:t>.</w:t>
      </w:r>
    </w:p>
    <w:p w14:paraId="5468803F" w14:textId="2D6F4ECE" w:rsidR="00010454" w:rsidRDefault="00A74F81"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Given that the model kinetics match experimental decay kinetics well at low THF concentrations,</w:t>
      </w:r>
      <w:r w:rsidR="00096C4E">
        <w:rPr>
          <w:rFonts w:ascii="Times New Roman" w:hAnsi="Times New Roman" w:cs="Times New Roman"/>
          <w:sz w:val="24"/>
          <w:szCs w:val="24"/>
        </w:rPr>
        <w:t xml:space="preserve"> </w:t>
      </w:r>
      <w:r w:rsidR="00096C4E" w:rsidRPr="0089447C">
        <w:rPr>
          <w:rFonts w:ascii="Times New Roman" w:hAnsi="Times New Roman" w:cs="Times New Roman"/>
          <w:sz w:val="24"/>
          <w:szCs w:val="24"/>
        </w:rPr>
        <w:t xml:space="preserve">the approximate </w:t>
      </w:r>
      <w:proofErr w:type="spellStart"/>
      <w:r w:rsidR="00414782" w:rsidRPr="00414782">
        <w:rPr>
          <w:rFonts w:ascii="Times New Roman" w:hAnsi="Times New Roman" w:cs="Times New Roman"/>
          <w:i/>
          <w:sz w:val="24"/>
          <w:szCs w:val="24"/>
        </w:rPr>
        <w:t>k</w:t>
      </w:r>
      <w:r w:rsidR="00414782" w:rsidRPr="00414782">
        <w:rPr>
          <w:rFonts w:ascii="Times New Roman" w:hAnsi="Times New Roman" w:cs="Times New Roman"/>
          <w:i/>
          <w:sz w:val="24"/>
          <w:szCs w:val="24"/>
          <w:vertAlign w:val="subscript"/>
        </w:rPr>
        <w:t>et</w:t>
      </w:r>
      <w:proofErr w:type="spellEnd"/>
      <w:r w:rsidR="00047F79" w:rsidRPr="0089447C">
        <w:rPr>
          <w:rFonts w:ascii="Times New Roman" w:hAnsi="Times New Roman" w:cs="Times New Roman"/>
          <w:sz w:val="24"/>
          <w:szCs w:val="24"/>
        </w:rPr>
        <w:t xml:space="preserve"> </w:t>
      </w:r>
      <w:r>
        <w:rPr>
          <w:rFonts w:ascii="Times New Roman" w:hAnsi="Times New Roman" w:cs="Times New Roman"/>
          <w:sz w:val="24"/>
          <w:szCs w:val="24"/>
        </w:rPr>
        <w:t xml:space="preserve">for CPNs in water </w:t>
      </w:r>
      <w:r w:rsidR="00047F79" w:rsidRPr="0089447C">
        <w:rPr>
          <w:rFonts w:ascii="Times New Roman" w:hAnsi="Times New Roman" w:cs="Times New Roman"/>
          <w:sz w:val="24"/>
          <w:szCs w:val="24"/>
        </w:rPr>
        <w:t>was calculated from the model</w:t>
      </w:r>
      <w:r w:rsidR="007F405F" w:rsidRPr="0089447C">
        <w:rPr>
          <w:rFonts w:ascii="Times New Roman" w:hAnsi="Times New Roman" w:cs="Times New Roman"/>
          <w:sz w:val="24"/>
          <w:szCs w:val="24"/>
        </w:rPr>
        <w:t xml:space="preserve"> energy transfer</w:t>
      </w:r>
      <w:r w:rsidR="00096C4E" w:rsidRPr="0089447C">
        <w:rPr>
          <w:rFonts w:ascii="Times New Roman" w:hAnsi="Times New Roman" w:cs="Times New Roman"/>
          <w:sz w:val="24"/>
          <w:szCs w:val="24"/>
        </w:rPr>
        <w:t xml:space="preserve"> probabilities</w:t>
      </w:r>
      <w:r w:rsidR="005540F9" w:rsidRPr="0089447C">
        <w:rPr>
          <w:rFonts w:ascii="Times New Roman" w:hAnsi="Times New Roman" w:cs="Times New Roman"/>
          <w:sz w:val="24"/>
          <w:szCs w:val="24"/>
        </w:rPr>
        <w:t xml:space="preserve"> </w:t>
      </w:r>
      <w:r w:rsidR="00D15156" w:rsidRPr="0089447C">
        <w:rPr>
          <w:rFonts w:ascii="Times New Roman" w:hAnsi="Times New Roman" w:cs="Times New Roman"/>
          <w:sz w:val="24"/>
          <w:szCs w:val="24"/>
        </w:rPr>
        <w:t>by</w:t>
      </w:r>
      <w:r w:rsidR="00096C4E" w:rsidRPr="0089447C">
        <w:rPr>
          <w:rFonts w:ascii="Times New Roman" w:hAnsi="Times New Roman" w:cs="Times New Roman"/>
          <w:sz w:val="24"/>
          <w:szCs w:val="24"/>
        </w:rPr>
        <w:t xml:space="preserve"> </w:t>
      </w:r>
      <w:r w:rsidR="00244F60">
        <w:rPr>
          <w:rFonts w:ascii="Times New Roman" w:hAnsi="Times New Roman" w:cs="Times New Roman"/>
          <w:position w:val="-12"/>
          <w:sz w:val="24"/>
          <w:szCs w:val="24"/>
        </w:rPr>
        <w:pict w14:anchorId="7258DEFB">
          <v:shape id="_x0000_i1046" type="#_x0000_t75" style="width:103pt;height:18pt">
            <v:imagedata r:id="rId36" o:title=""/>
          </v:shape>
        </w:pict>
      </w:r>
      <w:r w:rsidR="0089447C" w:rsidRPr="0089447C">
        <w:rPr>
          <w:rFonts w:ascii="Times New Roman" w:hAnsi="Times New Roman" w:cs="Times New Roman"/>
          <w:sz w:val="24"/>
          <w:szCs w:val="24"/>
        </w:rPr>
        <w:t>, and</w:t>
      </w:r>
      <w:r w:rsidR="00E602FE" w:rsidRPr="0089447C">
        <w:rPr>
          <w:rFonts w:ascii="Times New Roman" w:hAnsi="Times New Roman" w:cs="Times New Roman"/>
          <w:sz w:val="24"/>
          <w:szCs w:val="24"/>
        </w:rPr>
        <w:t xml:space="preserve"> can be approximated as </w:t>
      </w:r>
      <w:r w:rsidR="00244F60">
        <w:rPr>
          <w:rFonts w:ascii="Times New Roman" w:hAnsi="Times New Roman" w:cs="Times New Roman"/>
          <w:position w:val="-12"/>
          <w:sz w:val="24"/>
          <w:szCs w:val="24"/>
        </w:rPr>
        <w:pict w14:anchorId="2F364D5F">
          <v:shape id="_x0000_i1047" type="#_x0000_t75" style="width:62.5pt;height:18pt">
            <v:imagedata r:id="rId37" o:title=""/>
          </v:shape>
        </w:pict>
      </w:r>
      <w:r w:rsidR="00096C4E" w:rsidRPr="0089447C">
        <w:rPr>
          <w:rFonts w:ascii="Times New Roman" w:hAnsi="Times New Roman" w:cs="Times New Roman"/>
          <w:sz w:val="24"/>
          <w:szCs w:val="24"/>
        </w:rPr>
        <w:t>.</w:t>
      </w:r>
      <w:r w:rsidR="00096C4E">
        <w:rPr>
          <w:rFonts w:ascii="Times New Roman" w:hAnsi="Times New Roman" w:cs="Times New Roman"/>
          <w:sz w:val="24"/>
          <w:szCs w:val="24"/>
        </w:rPr>
        <w:t xml:space="preserve"> The </w:t>
      </w:r>
      <w:r w:rsidR="00096C4E">
        <w:rPr>
          <w:rFonts w:ascii="Times New Roman" w:hAnsi="Times New Roman" w:cs="Times New Roman"/>
          <w:sz w:val="24"/>
          <w:szCs w:val="24"/>
        </w:rPr>
        <w:lastRenderedPageBreak/>
        <w:t>results of these calculations yield</w:t>
      </w:r>
      <w:r>
        <w:rPr>
          <w:rFonts w:ascii="Times New Roman" w:hAnsi="Times New Roman" w:cs="Times New Roman"/>
          <w:sz w:val="24"/>
          <w:szCs w:val="24"/>
        </w:rPr>
        <w:t xml:space="preserve"> model</w:t>
      </w:r>
      <w:r w:rsidR="00096C4E">
        <w:rPr>
          <w:rFonts w:ascii="Times New Roman" w:hAnsi="Times New Roman" w:cs="Times New Roman"/>
          <w:sz w:val="24"/>
          <w:szCs w:val="24"/>
        </w:rPr>
        <w:t xml:space="preserve">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244F60">
        <w:rPr>
          <w:rFonts w:ascii="Times New Roman" w:hAnsi="Times New Roman" w:cs="Times New Roman"/>
          <w:position w:val="-4"/>
          <w:sz w:val="24"/>
          <w:szCs w:val="24"/>
        </w:rPr>
        <w:pict w14:anchorId="68471778">
          <v:shape id="_x0000_i1048" type="#_x0000_t75" style="width:9.5pt;height:9.5pt">
            <v:imagedata r:id="rId38"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sidR="00096C4E">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244F60">
        <w:rPr>
          <w:rFonts w:ascii="Times New Roman" w:hAnsi="Times New Roman" w:cs="Times New Roman"/>
          <w:position w:val="-4"/>
          <w:sz w:val="24"/>
          <w:szCs w:val="24"/>
        </w:rPr>
        <w:pict w14:anchorId="2ABD4559">
          <v:shape id="_x0000_i1049" type="#_x0000_t75" style="width:9.5pt;height:9.5pt">
            <v:imagedata r:id="rId39"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The experimental</w:t>
      </w:r>
      <w:r w:rsidR="00FE0C8A" w:rsidRPr="00A74F81">
        <w:rPr>
          <w:rFonts w:ascii="Times New Roman" w:hAnsi="Times New Roman" w:cs="Times New Roman"/>
          <w:sz w:val="24"/>
          <w:szCs w:val="24"/>
        </w:rPr>
        <w:t xml:space="preserve"> </w:t>
      </w:r>
      <w:proofErr w:type="spellStart"/>
      <w:r w:rsidR="0083521E" w:rsidRPr="00A74F81">
        <w:rPr>
          <w:rFonts w:ascii="Times New Roman" w:hAnsi="Times New Roman" w:cs="Times New Roman"/>
          <w:i/>
          <w:sz w:val="24"/>
          <w:szCs w:val="24"/>
        </w:rPr>
        <w:t>k</w:t>
      </w:r>
      <w:r w:rsidR="00D15156" w:rsidRPr="00A74F81">
        <w:rPr>
          <w:rFonts w:ascii="Times New Roman" w:hAnsi="Times New Roman" w:cs="Times New Roman"/>
          <w:i/>
          <w:sz w:val="24"/>
          <w:szCs w:val="24"/>
          <w:vertAlign w:val="subscript"/>
        </w:rPr>
        <w:t>e</w:t>
      </w:r>
      <w:r w:rsidR="0083521E" w:rsidRPr="00A74F81">
        <w:rPr>
          <w:rFonts w:ascii="Times New Roman" w:hAnsi="Times New Roman" w:cs="Times New Roman"/>
          <w:i/>
          <w:sz w:val="24"/>
          <w:szCs w:val="24"/>
          <w:vertAlign w:val="subscript"/>
        </w:rPr>
        <w:t>t</w:t>
      </w:r>
      <w:proofErr w:type="spellEnd"/>
      <w:r w:rsidR="00FE0C8A" w:rsidRPr="00A74F81">
        <w:rPr>
          <w:rFonts w:ascii="Times New Roman" w:hAnsi="Times New Roman" w:cs="Times New Roman"/>
          <w:sz w:val="24"/>
          <w:szCs w:val="24"/>
        </w:rPr>
        <w:t xml:space="preserve"> </w:t>
      </w:r>
      <w:r w:rsidRPr="00A74F81">
        <w:rPr>
          <w:rFonts w:ascii="Times New Roman" w:hAnsi="Times New Roman" w:cs="Times New Roman"/>
          <w:sz w:val="24"/>
          <w:szCs w:val="24"/>
        </w:rPr>
        <w:t xml:space="preserve">values </w:t>
      </w:r>
      <w:r w:rsidR="00FE0C8A" w:rsidRPr="00A74F81">
        <w:rPr>
          <w:rFonts w:ascii="Times New Roman" w:hAnsi="Times New Roman" w:cs="Times New Roman"/>
          <w:sz w:val="24"/>
          <w:szCs w:val="24"/>
        </w:rPr>
        <w:t xml:space="preserve">for the polymers in good solvent </w:t>
      </w:r>
      <w:r w:rsidRPr="00A74F81">
        <w:rPr>
          <w:rFonts w:ascii="Times New Roman" w:hAnsi="Times New Roman" w:cs="Times New Roman"/>
          <w:sz w:val="24"/>
          <w:szCs w:val="24"/>
        </w:rPr>
        <w:t>were</w:t>
      </w:r>
      <w:r w:rsidR="00FE0C8A" w:rsidRPr="00A74F81">
        <w:rPr>
          <w:rFonts w:ascii="Times New Roman" w:hAnsi="Times New Roman" w:cs="Times New Roman"/>
          <w:sz w:val="24"/>
          <w:szCs w:val="24"/>
        </w:rPr>
        <w:t xml:space="preserve"> </w:t>
      </w:r>
      <w:r w:rsidR="0083521E" w:rsidRPr="00A74F81">
        <w:rPr>
          <w:rFonts w:ascii="Times New Roman" w:hAnsi="Times New Roman" w:cs="Times New Roman"/>
          <w:sz w:val="24"/>
          <w:szCs w:val="24"/>
        </w:rPr>
        <w:t>3.4</w:t>
      </w:r>
      <w:r w:rsidR="00244F60">
        <w:rPr>
          <w:rFonts w:ascii="Times New Roman" w:hAnsi="Times New Roman" w:cs="Times New Roman"/>
          <w:position w:val="-4"/>
          <w:sz w:val="24"/>
          <w:szCs w:val="24"/>
        </w:rPr>
        <w:pict w14:anchorId="36B5D24A">
          <v:shape id="_x0000_i1050" type="#_x0000_t75" style="width:9.5pt;height:9.5pt">
            <v:imagedata r:id="rId40"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noBreakHyphen/>
        <w:t>1</w:t>
      </w:r>
      <w:r w:rsidR="00FE0C8A" w:rsidRPr="00A74F81">
        <w:rPr>
          <w:rFonts w:ascii="Times New Roman" w:hAnsi="Times New Roman" w:cs="Times New Roman"/>
          <w:sz w:val="24"/>
          <w:szCs w:val="24"/>
        </w:rPr>
        <w:t xml:space="preserve"> for MEH-PPV and </w:t>
      </w:r>
      <w:r w:rsidR="0083521E" w:rsidRPr="00A74F81">
        <w:rPr>
          <w:rFonts w:ascii="Times New Roman" w:hAnsi="Times New Roman" w:cs="Times New Roman"/>
          <w:sz w:val="24"/>
          <w:szCs w:val="24"/>
        </w:rPr>
        <w:t>1.1</w:t>
      </w:r>
      <w:r w:rsidR="00244F60">
        <w:rPr>
          <w:rFonts w:ascii="Times New Roman" w:hAnsi="Times New Roman" w:cs="Times New Roman"/>
          <w:position w:val="-4"/>
          <w:sz w:val="24"/>
          <w:szCs w:val="24"/>
        </w:rPr>
        <w:pict w14:anchorId="781E314D">
          <v:shape id="_x0000_i1051" type="#_x0000_t75" style="width:9.5pt;height:9.5pt">
            <v:imagedata r:id="rId41"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t>-1</w:t>
      </w:r>
      <w:r w:rsidR="00FE0C8A" w:rsidRPr="00A74F81">
        <w:rPr>
          <w:rFonts w:ascii="Times New Roman" w:hAnsi="Times New Roman" w:cs="Times New Roman"/>
          <w:sz w:val="24"/>
          <w:szCs w:val="24"/>
        </w:rPr>
        <w:t xml:space="preserve"> for PFBT.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D15156">
        <w:rPr>
          <w:rFonts w:ascii="Times New Roman" w:hAnsi="Times New Roman" w:cs="Times New Roman"/>
          <w:sz w:val="24"/>
          <w:szCs w:val="24"/>
        </w:rPr>
        <w:t>his indicates that the</w:t>
      </w:r>
      <w:r w:rsidR="002A532F">
        <w:rPr>
          <w:rFonts w:ascii="Times New Roman" w:hAnsi="Times New Roman" w:cs="Times New Roman"/>
          <w:sz w:val="24"/>
          <w:szCs w:val="24"/>
        </w:rPr>
        <w:t xml:space="preserve"> energy transfer</w:t>
      </w:r>
      <w:r w:rsidR="00D15156">
        <w:rPr>
          <w:rFonts w:ascii="Times New Roman" w:hAnsi="Times New Roman" w:cs="Times New Roman"/>
          <w:sz w:val="24"/>
          <w:szCs w:val="24"/>
        </w:rPr>
        <w:t xml:space="preserve"> rate</w:t>
      </w:r>
      <w:r w:rsidR="00010454">
        <w:rPr>
          <w:rFonts w:ascii="Times New Roman" w:hAnsi="Times New Roman" w:cs="Times New Roman"/>
          <w:sz w:val="24"/>
          <w:szCs w:val="24"/>
        </w:rPr>
        <w:t xml:space="preserve"> to six nearest neighbors (for the nanoparticles) is between ~10x and ~60x faster than the </w:t>
      </w:r>
      <w:r w:rsidR="002A532F">
        <w:rPr>
          <w:rFonts w:ascii="Times New Roman" w:hAnsi="Times New Roman" w:cs="Times New Roman"/>
          <w:sz w:val="24"/>
          <w:szCs w:val="24"/>
        </w:rPr>
        <w:t>energy transfer</w:t>
      </w:r>
      <w:r w:rsidR="00010454">
        <w:rPr>
          <w:rFonts w:ascii="Times New Roman" w:hAnsi="Times New Roman" w:cs="Times New Roman"/>
          <w:sz w:val="24"/>
          <w:szCs w:val="24"/>
        </w:rPr>
        <w:t xml:space="preserve"> rate to two nearest neighbors (for a linear polymer in solution).</w:t>
      </w:r>
    </w:p>
    <w:p w14:paraId="07FB6174" w14:textId="7E3C422A" w:rsidR="00CD5A09" w:rsidRPr="008F7DD6" w:rsidRDefault="00D523FE" w:rsidP="00D523FE">
      <w:pPr>
        <w:pStyle w:val="NoSpacing"/>
        <w:spacing w:line="480" w:lineRule="auto"/>
        <w:ind w:firstLine="720"/>
        <w:jc w:val="both"/>
        <w:rPr>
          <w:rFonts w:ascii="Times New Roman" w:hAnsi="Times New Roman" w:cs="Times New Roman"/>
          <w:sz w:val="24"/>
          <w:szCs w:val="24"/>
        </w:rPr>
      </w:pPr>
      <w:r w:rsidRPr="000B4BB7">
        <w:rPr>
          <w:rFonts w:ascii="Times New Roman" w:hAnsi="Times New Roman" w:cs="Times New Roman"/>
          <w:sz w:val="24"/>
          <w:szCs w:val="24"/>
          <w:highlight w:val="yellow"/>
        </w:rPr>
        <w:t>Upon e</w:t>
      </w:r>
      <w:r w:rsidR="001327B6" w:rsidRPr="000B4BB7">
        <w:rPr>
          <w:rFonts w:ascii="Times New Roman" w:hAnsi="Times New Roman" w:cs="Times New Roman"/>
          <w:sz w:val="24"/>
          <w:szCs w:val="24"/>
          <w:highlight w:val="yellow"/>
        </w:rPr>
        <w:t>xamination of</w:t>
      </w:r>
      <w:r w:rsidR="002469AF" w:rsidRPr="000B4BB7">
        <w:rPr>
          <w:rFonts w:ascii="Times New Roman" w:hAnsi="Times New Roman" w:cs="Times New Roman"/>
          <w:sz w:val="24"/>
          <w:szCs w:val="24"/>
          <w:highlight w:val="yellow"/>
        </w:rPr>
        <w:t xml:space="preserve"> the </w:t>
      </w:r>
      <w:r w:rsidR="002A532F" w:rsidRPr="000B4BB7">
        <w:rPr>
          <w:rFonts w:ascii="Times New Roman" w:hAnsi="Times New Roman" w:cs="Times New Roman"/>
          <w:sz w:val="24"/>
          <w:szCs w:val="24"/>
          <w:highlight w:val="yellow"/>
        </w:rPr>
        <w:t>calculated rate</w:t>
      </w:r>
      <w:r w:rsidR="002D2AEA" w:rsidRPr="000B4BB7">
        <w:rPr>
          <w:rFonts w:ascii="Times New Roman" w:hAnsi="Times New Roman" w:cs="Times New Roman"/>
          <w:sz w:val="24"/>
          <w:szCs w:val="24"/>
          <w:highlight w:val="yellow"/>
        </w:rPr>
        <w:t xml:space="preserve"> constant</w:t>
      </w:r>
      <w:r w:rsidR="002A532F" w:rsidRPr="000B4BB7">
        <w:rPr>
          <w:rFonts w:ascii="Times New Roman" w:hAnsi="Times New Roman" w:cs="Times New Roman"/>
          <w:sz w:val="24"/>
          <w:szCs w:val="24"/>
          <w:highlight w:val="yellow"/>
        </w:rPr>
        <w:t>s</w:t>
      </w:r>
      <w:r w:rsidR="002469AF" w:rsidRPr="000B4BB7">
        <w:rPr>
          <w:rFonts w:ascii="Times New Roman" w:hAnsi="Times New Roman" w:cs="Times New Roman"/>
          <w:sz w:val="24"/>
          <w:szCs w:val="24"/>
          <w:highlight w:val="yellow"/>
        </w:rPr>
        <w:t xml:space="preserve"> from th</w:t>
      </w:r>
      <w:r w:rsidR="002A532F" w:rsidRPr="000B4BB7">
        <w:rPr>
          <w:rFonts w:ascii="Times New Roman" w:hAnsi="Times New Roman" w:cs="Times New Roman"/>
          <w:sz w:val="24"/>
          <w:szCs w:val="24"/>
          <w:highlight w:val="yellow"/>
        </w:rPr>
        <w:t>e model in conjunction with the</w:t>
      </w:r>
      <w:r w:rsidR="002469AF" w:rsidRPr="000B4BB7">
        <w:rPr>
          <w:rFonts w:ascii="Times New Roman" w:hAnsi="Times New Roman" w:cs="Times New Roman"/>
          <w:sz w:val="24"/>
          <w:szCs w:val="24"/>
          <w:highlight w:val="yellow"/>
        </w:rPr>
        <w:t xml:space="preserve"> </w:t>
      </w:r>
      <w:r w:rsidR="0083521E" w:rsidRPr="000B4BB7">
        <w:rPr>
          <w:rFonts w:ascii="Times New Roman" w:hAnsi="Times New Roman" w:cs="Times New Roman"/>
          <w:sz w:val="24"/>
          <w:szCs w:val="24"/>
          <w:highlight w:val="yellow"/>
        </w:rPr>
        <w:t>FAD</w:t>
      </w:r>
      <w:r w:rsidR="002A532F" w:rsidRPr="000B4BB7">
        <w:rPr>
          <w:rFonts w:ascii="Times New Roman" w:hAnsi="Times New Roman" w:cs="Times New Roman"/>
          <w:sz w:val="24"/>
          <w:szCs w:val="24"/>
          <w:highlight w:val="yellow"/>
        </w:rPr>
        <w:t xml:space="preserve"> fitting analysis results </w:t>
      </w:r>
      <w:r w:rsidR="002469AF" w:rsidRPr="000B4BB7">
        <w:rPr>
          <w:rFonts w:ascii="Times New Roman" w:hAnsi="Times New Roman" w:cs="Times New Roman"/>
          <w:sz w:val="24"/>
          <w:szCs w:val="24"/>
          <w:highlight w:val="yellow"/>
        </w:rPr>
        <w:t xml:space="preserve">for both polymers, further speculation could be made that many of the observed </w:t>
      </w:r>
      <w:proofErr w:type="spellStart"/>
      <w:r w:rsidR="002469AF" w:rsidRPr="000B4BB7">
        <w:rPr>
          <w:rFonts w:ascii="Times New Roman" w:hAnsi="Times New Roman" w:cs="Times New Roman"/>
          <w:sz w:val="24"/>
          <w:szCs w:val="24"/>
          <w:highlight w:val="yellow"/>
        </w:rPr>
        <w:t>photophysics</w:t>
      </w:r>
      <w:proofErr w:type="spellEnd"/>
      <w:r w:rsidR="002469AF" w:rsidRPr="000B4BB7">
        <w:rPr>
          <w:rFonts w:ascii="Times New Roman" w:hAnsi="Times New Roman" w:cs="Times New Roman"/>
          <w:sz w:val="24"/>
          <w:szCs w:val="24"/>
          <w:highlight w:val="yellow"/>
        </w:rPr>
        <w:t xml:space="preserve"> for both polymers are </w:t>
      </w:r>
      <w:r w:rsidR="00791280" w:rsidRPr="000B4BB7">
        <w:rPr>
          <w:rFonts w:ascii="Times New Roman" w:hAnsi="Times New Roman" w:cs="Times New Roman"/>
          <w:sz w:val="24"/>
          <w:szCs w:val="24"/>
          <w:highlight w:val="yellow"/>
        </w:rPr>
        <w:t>dictated</w:t>
      </w:r>
      <w:r w:rsidR="00B717AF" w:rsidRPr="000B4BB7">
        <w:rPr>
          <w:rFonts w:ascii="Times New Roman" w:hAnsi="Times New Roman" w:cs="Times New Roman"/>
          <w:sz w:val="24"/>
          <w:szCs w:val="24"/>
          <w:highlight w:val="yellow"/>
        </w:rPr>
        <w:t xml:space="preserve"> </w:t>
      </w:r>
      <w:r w:rsidR="002469AF" w:rsidRPr="000B4BB7">
        <w:rPr>
          <w:rFonts w:ascii="Times New Roman" w:hAnsi="Times New Roman" w:cs="Times New Roman"/>
          <w:sz w:val="24"/>
          <w:szCs w:val="24"/>
          <w:highlight w:val="yellow"/>
        </w:rPr>
        <w:t xml:space="preserve">by the </w:t>
      </w:r>
      <w:r w:rsidR="00D15156" w:rsidRPr="000B4BB7">
        <w:rPr>
          <w:rFonts w:ascii="Times New Roman" w:hAnsi="Times New Roman" w:cs="Times New Roman"/>
          <w:sz w:val="24"/>
          <w:szCs w:val="24"/>
          <w:highlight w:val="yellow"/>
        </w:rPr>
        <w:t>multiple</w:t>
      </w:r>
      <w:r w:rsidR="002A532F" w:rsidRPr="000B4BB7">
        <w:rPr>
          <w:rFonts w:ascii="Times New Roman" w:hAnsi="Times New Roman" w:cs="Times New Roman"/>
          <w:sz w:val="24"/>
          <w:szCs w:val="24"/>
          <w:highlight w:val="yellow"/>
        </w:rPr>
        <w:t xml:space="preserve"> energy transfer rates</w:t>
      </w:r>
      <w:proofErr w:type="gramStart"/>
      <w:r w:rsidR="002469AF" w:rsidRPr="000B4BB7">
        <w:rPr>
          <w:rFonts w:ascii="Times New Roman" w:hAnsi="Times New Roman" w:cs="Times New Roman"/>
          <w:sz w:val="24"/>
          <w:szCs w:val="24"/>
          <w:highlight w:val="yellow"/>
        </w:rPr>
        <w:t>.</w:t>
      </w:r>
      <w:r w:rsidR="000B4BB7">
        <w:rPr>
          <w:rFonts w:ascii="Times New Roman" w:hAnsi="Times New Roman" w:cs="Times New Roman"/>
          <w:sz w:val="24"/>
          <w:szCs w:val="24"/>
        </w:rPr>
        <w:t>[</w:t>
      </w:r>
      <w:proofErr w:type="gramEnd"/>
      <w:r w:rsidR="000B4BB7">
        <w:rPr>
          <w:rFonts w:ascii="Times New Roman" w:hAnsi="Times New Roman" w:cs="Times New Roman"/>
          <w:sz w:val="24"/>
          <w:szCs w:val="24"/>
        </w:rPr>
        <w:t>awkward/unclear]</w:t>
      </w:r>
      <w:r w:rsidR="00010454">
        <w:rPr>
          <w:rFonts w:ascii="Times New Roman" w:hAnsi="Times New Roman" w:cs="Times New Roman"/>
          <w:sz w:val="24"/>
          <w:szCs w:val="24"/>
        </w:rPr>
        <w:t xml:space="preserve"> </w:t>
      </w:r>
      <w:r w:rsidR="002469AF">
        <w:rPr>
          <w:rFonts w:ascii="Times New Roman" w:hAnsi="Times New Roman" w:cs="Times New Roman"/>
          <w:sz w:val="24"/>
          <w:szCs w:val="24"/>
        </w:rPr>
        <w:t xml:space="preserve">The </w:t>
      </w:r>
      <w:r w:rsidR="002A532F">
        <w:rPr>
          <w:rFonts w:ascii="Times New Roman" w:hAnsi="Times New Roman" w:cs="Times New Roman"/>
          <w:sz w:val="24"/>
          <w:szCs w:val="24"/>
        </w:rPr>
        <w:t>results</w:t>
      </w:r>
      <w:r w:rsidR="002469AF">
        <w:rPr>
          <w:rFonts w:ascii="Times New Roman" w:hAnsi="Times New Roman" w:cs="Times New Roman"/>
          <w:sz w:val="24"/>
          <w:szCs w:val="24"/>
        </w:rPr>
        <w:t xml:space="preserve"> for MEH-PPV indicate that the </w:t>
      </w:r>
      <w:r w:rsidR="00C247C1">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w:t>
      </w:r>
      <w:r w:rsidR="002469AF">
        <w:rPr>
          <w:rFonts w:ascii="Times New Roman" w:hAnsi="Times New Roman" w:cs="Times New Roman"/>
          <w:sz w:val="24"/>
          <w:szCs w:val="24"/>
        </w:rPr>
        <w:t xml:space="preserve"> of MEH-PPV is significantly higher as compared to PFBT</w:t>
      </w:r>
      <w:r w:rsidR="002D2AEA">
        <w:rPr>
          <w:rFonts w:ascii="Times New Roman" w:hAnsi="Times New Roman" w:cs="Times New Roman"/>
          <w:sz w:val="24"/>
          <w:szCs w:val="24"/>
        </w:rPr>
        <w:t xml:space="preserve">, which </w:t>
      </w:r>
      <w:r w:rsidR="00D11EB1">
        <w:rPr>
          <w:rFonts w:ascii="Times New Roman" w:hAnsi="Times New Roman" w:cs="Times New Roman"/>
          <w:sz w:val="24"/>
          <w:szCs w:val="24"/>
        </w:rPr>
        <w:t xml:space="preserve">would make it well-suited for applications requiring </w:t>
      </w:r>
      <w:r w:rsidR="0083521E">
        <w:rPr>
          <w:rFonts w:ascii="Times New Roman" w:hAnsi="Times New Roman" w:cs="Times New Roman"/>
          <w:sz w:val="24"/>
          <w:szCs w:val="24"/>
        </w:rPr>
        <w:t>greater exciton mobility</w:t>
      </w:r>
      <w:r w:rsidR="00D11EB1">
        <w:rPr>
          <w:rFonts w:ascii="Times New Roman" w:hAnsi="Times New Roman" w:cs="Times New Roman"/>
          <w:sz w:val="24"/>
          <w:szCs w:val="24"/>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F17E95" w:rsidRPr="00F17E95">
        <w:rPr>
          <w:rFonts w:ascii="Times New Roman" w:hAnsi="Times New Roman" w:cs="Times New Roman"/>
          <w:sz w:val="24"/>
          <w:szCs w:val="24"/>
        </w:rPr>
        <w:t>intrinsic</w:t>
      </w:r>
      <w:r w:rsidR="00E51F3E">
        <w:rPr>
          <w:rFonts w:ascii="Times New Roman" w:hAnsi="Times New Roman" w:cs="Times New Roman"/>
          <w:sz w:val="24"/>
          <w:szCs w:val="24"/>
        </w:rPr>
        <w:t xml:space="preserve"> exciton diffusion length f</w:t>
      </w:r>
      <w:r w:rsidR="00D11EB1">
        <w:rPr>
          <w:rFonts w:ascii="Times New Roman" w:hAnsi="Times New Roman" w:cs="Times New Roman"/>
          <w:sz w:val="24"/>
          <w:szCs w:val="24"/>
        </w:rPr>
        <w:t>or polymers such as this, since</w:t>
      </w:r>
      <w:r w:rsidR="00E51F3E">
        <w:rPr>
          <w:rFonts w:ascii="Times New Roman" w:hAnsi="Times New Roman" w:cs="Times New Roman"/>
          <w:sz w:val="24"/>
          <w:szCs w:val="24"/>
        </w:rPr>
        <w:t xml:space="preserve"> exciton </w:t>
      </w:r>
      <w:r w:rsidR="005F5829">
        <w:rPr>
          <w:rFonts w:ascii="Times New Roman" w:hAnsi="Times New Roman" w:cs="Times New Roman"/>
          <w:sz w:val="24"/>
          <w:szCs w:val="24"/>
        </w:rPr>
        <w:t xml:space="preserve">motion is </w:t>
      </w:r>
      <w:r w:rsidR="00397AE9">
        <w:rPr>
          <w:rFonts w:ascii="Times New Roman" w:hAnsi="Times New Roman" w:cs="Times New Roman"/>
          <w:sz w:val="24"/>
          <w:szCs w:val="24"/>
        </w:rPr>
        <w:t xml:space="preserve">more or less </w:t>
      </w:r>
      <w:r w:rsidR="005F5829">
        <w:rPr>
          <w:rFonts w:ascii="Times New Roman" w:hAnsi="Times New Roman" w:cs="Times New Roman"/>
          <w:sz w:val="24"/>
          <w:szCs w:val="24"/>
        </w:rPr>
        <w:t>limited by the distance between quenchers.</w:t>
      </w:r>
      <w:r>
        <w:rPr>
          <w:rFonts w:ascii="Times New Roman" w:hAnsi="Times New Roman" w:cs="Times New Roman"/>
          <w:sz w:val="24"/>
          <w:szCs w:val="24"/>
        </w:rPr>
        <w:t xml:space="preserve"> </w:t>
      </w:r>
      <w:r w:rsidR="009213DC">
        <w:rPr>
          <w:rFonts w:ascii="Times New Roman" w:hAnsi="Times New Roman" w:cs="Times New Roman"/>
          <w:sz w:val="24"/>
          <w:szCs w:val="24"/>
        </w:rPr>
        <w:t>Similar</w:t>
      </w:r>
      <w:r w:rsidR="000D0F2F">
        <w:rPr>
          <w:rFonts w:ascii="Times New Roman" w:hAnsi="Times New Roman" w:cs="Times New Roman"/>
          <w:sz w:val="24"/>
          <w:szCs w:val="24"/>
        </w:rPr>
        <w:t>ly, th</w:t>
      </w:r>
      <w:r w:rsidR="00E51F3E">
        <w:rPr>
          <w:rFonts w:ascii="Times New Roman" w:hAnsi="Times New Roman" w:cs="Times New Roman"/>
          <w:sz w:val="24"/>
          <w:szCs w:val="24"/>
        </w:rPr>
        <w:t xml:space="preserve">e </w:t>
      </w:r>
      <w:r w:rsidR="001327B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0D0F2F">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sidR="000D0F2F">
        <w:rPr>
          <w:rFonts w:ascii="Times New Roman" w:hAnsi="Times New Roman" w:cs="Times New Roman"/>
          <w:sz w:val="24"/>
          <w:szCs w:val="24"/>
        </w:rPr>
        <w:t xml:space="preserve">which would make PFBT more useful for applications requiring </w:t>
      </w:r>
      <w:r w:rsidR="00D11EB1">
        <w:rPr>
          <w:rFonts w:ascii="Times New Roman" w:hAnsi="Times New Roman" w:cs="Times New Roman"/>
          <w:sz w:val="24"/>
          <w:szCs w:val="24"/>
        </w:rPr>
        <w:t>a higher luminescence yield</w:t>
      </w:r>
      <w:r w:rsidR="000D0F2F">
        <w:rPr>
          <w:rFonts w:ascii="Times New Roman" w:hAnsi="Times New Roman" w:cs="Times New Roman"/>
          <w:sz w:val="24"/>
          <w:szCs w:val="24"/>
        </w:rPr>
        <w:t>. G</w:t>
      </w:r>
      <w:r w:rsidR="002469AF">
        <w:rPr>
          <w:rFonts w:ascii="Times New Roman" w:hAnsi="Times New Roman" w:cs="Times New Roman"/>
          <w:sz w:val="24"/>
          <w:szCs w:val="24"/>
        </w:rPr>
        <w:t>iven that the model results yield approximately the same number of quenc</w:t>
      </w:r>
      <w:r w:rsidR="000D0F2F">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sidR="000D0F2F">
        <w:rPr>
          <w:rFonts w:ascii="Times New Roman" w:hAnsi="Times New Roman" w:cs="Times New Roman"/>
          <w:sz w:val="24"/>
          <w:szCs w:val="24"/>
        </w:rPr>
        <w:t xml:space="preserve">it follows that if exciton transport is faster, then </w:t>
      </w:r>
      <w:proofErr w:type="spellStart"/>
      <w:r w:rsidR="000D0F2F">
        <w:rPr>
          <w:rFonts w:ascii="Times New Roman" w:hAnsi="Times New Roman" w:cs="Times New Roman"/>
          <w:sz w:val="24"/>
          <w:szCs w:val="24"/>
        </w:rPr>
        <w:t>excitons</w:t>
      </w:r>
      <w:proofErr w:type="spellEnd"/>
      <w:r w:rsidR="000D0F2F">
        <w:rPr>
          <w:rFonts w:ascii="Times New Roman" w:hAnsi="Times New Roman" w:cs="Times New Roman"/>
          <w:sz w:val="24"/>
          <w:szCs w:val="24"/>
        </w:rPr>
        <w:t xml:space="preserve"> would be more efficiently funneled to defect sites, reducing the number of emission events. Thus, even though </w:t>
      </w:r>
      <w:r w:rsidR="00E51F3E">
        <w:rPr>
          <w:rFonts w:ascii="Times New Roman" w:hAnsi="Times New Roman" w:cs="Times New Roman"/>
          <w:sz w:val="24"/>
          <w:szCs w:val="24"/>
        </w:rPr>
        <w:t>similar behavior is exhibited with</w:t>
      </w:r>
      <w:r w:rsidR="00622F57">
        <w:rPr>
          <w:rFonts w:ascii="Times New Roman" w:hAnsi="Times New Roman" w:cs="Times New Roman"/>
          <w:sz w:val="24"/>
          <w:szCs w:val="24"/>
        </w:rPr>
        <w:t xml:space="preserve"> regard to quenching efficiency </w:t>
      </w:r>
      <w:r w:rsidR="00622F57" w:rsidRPr="007C162D">
        <w:rPr>
          <w:rFonts w:ascii="Times New Roman" w:hAnsi="Times New Roman" w:cs="Times New Roman"/>
          <w:sz w:val="24"/>
          <w:szCs w:val="24"/>
          <w:highlight w:val="yellow"/>
        </w:rPr>
        <w:t>when comparing</w:t>
      </w:r>
      <w:r w:rsidR="00E51F3E" w:rsidRPr="007C162D">
        <w:rPr>
          <w:rFonts w:ascii="Times New Roman" w:hAnsi="Times New Roman" w:cs="Times New Roman"/>
          <w:sz w:val="24"/>
          <w:szCs w:val="24"/>
          <w:highlight w:val="yellow"/>
        </w:rPr>
        <w:t xml:space="preserve"> a 3D particle to </w:t>
      </w:r>
      <w:r w:rsidR="00D700EA" w:rsidRPr="007C162D">
        <w:rPr>
          <w:rFonts w:ascii="Times New Roman" w:hAnsi="Times New Roman" w:cs="Times New Roman"/>
          <w:sz w:val="24"/>
          <w:szCs w:val="24"/>
          <w:highlight w:val="yellow"/>
        </w:rPr>
        <w:t xml:space="preserve">isolated </w:t>
      </w:r>
      <w:r w:rsidR="00E51F3E" w:rsidRPr="007C162D">
        <w:rPr>
          <w:rFonts w:ascii="Times New Roman" w:hAnsi="Times New Roman" w:cs="Times New Roman"/>
          <w:sz w:val="24"/>
          <w:szCs w:val="24"/>
          <w:highlight w:val="yellow"/>
        </w:rPr>
        <w:t>1D chains through swelling</w:t>
      </w:r>
      <w:r w:rsidR="001327B6" w:rsidRPr="007C162D">
        <w:rPr>
          <w:rFonts w:ascii="Times New Roman" w:hAnsi="Times New Roman" w:cs="Times New Roman"/>
          <w:sz w:val="24"/>
          <w:szCs w:val="24"/>
          <w:highlight w:val="yellow"/>
        </w:rPr>
        <w:t xml:space="preserve"> for both polymers</w:t>
      </w:r>
      <w:proofErr w:type="gramStart"/>
      <w:r w:rsidR="000D0F2F" w:rsidRPr="007C162D">
        <w:rPr>
          <w:rFonts w:ascii="Times New Roman" w:hAnsi="Times New Roman" w:cs="Times New Roman"/>
          <w:sz w:val="24"/>
          <w:szCs w:val="24"/>
          <w:highlight w:val="yellow"/>
        </w:rPr>
        <w:t>,</w:t>
      </w:r>
      <w:r w:rsidR="007C162D">
        <w:rPr>
          <w:rFonts w:ascii="Times New Roman" w:hAnsi="Times New Roman" w:cs="Times New Roman"/>
          <w:sz w:val="24"/>
          <w:szCs w:val="24"/>
        </w:rPr>
        <w:t>[</w:t>
      </w:r>
      <w:proofErr w:type="gramEnd"/>
      <w:r w:rsidR="007C162D">
        <w:rPr>
          <w:rFonts w:ascii="Times New Roman" w:hAnsi="Times New Roman" w:cs="Times New Roman"/>
          <w:sz w:val="24"/>
          <w:szCs w:val="24"/>
        </w:rPr>
        <w:t>??]</w:t>
      </w:r>
      <w:r w:rsidR="000D0F2F">
        <w:rPr>
          <w:rFonts w:ascii="Times New Roman" w:hAnsi="Times New Roman" w:cs="Times New Roman"/>
          <w:sz w:val="24"/>
          <w:szCs w:val="24"/>
        </w:rPr>
        <w:t xml:space="preserve"> we still see </w:t>
      </w:r>
      <w:r w:rsidR="00CD446D">
        <w:rPr>
          <w:rFonts w:ascii="Times New Roman" w:hAnsi="Times New Roman" w:cs="Times New Roman"/>
          <w:sz w:val="24"/>
          <w:szCs w:val="24"/>
        </w:rPr>
        <w:t>large</w:t>
      </w:r>
      <w:r w:rsidR="000D0F2F">
        <w:rPr>
          <w:rFonts w:ascii="Times New Roman" w:hAnsi="Times New Roman" w:cs="Times New Roman"/>
          <w:sz w:val="24"/>
          <w:szCs w:val="24"/>
        </w:rPr>
        <w:t xml:space="preserve"> differences</w:t>
      </w:r>
      <w:r w:rsidR="00CD446D">
        <w:rPr>
          <w:rFonts w:ascii="Times New Roman" w:hAnsi="Times New Roman" w:cs="Times New Roman"/>
          <w:sz w:val="24"/>
          <w:szCs w:val="24"/>
        </w:rPr>
        <w:t xml:space="preserve"> in fluoresc</w:t>
      </w:r>
      <w:r w:rsidR="00622F57">
        <w:rPr>
          <w:rFonts w:ascii="Times New Roman" w:hAnsi="Times New Roman" w:cs="Times New Roman"/>
          <w:sz w:val="24"/>
          <w:szCs w:val="24"/>
        </w:rPr>
        <w:t>ence lifetime and quantum yield</w:t>
      </w:r>
      <w:r w:rsidR="00CD446D">
        <w:rPr>
          <w:rFonts w:ascii="Times New Roman" w:hAnsi="Times New Roman" w:cs="Times New Roman"/>
          <w:sz w:val="24"/>
          <w:szCs w:val="24"/>
        </w:rPr>
        <w:t xml:space="preserve"> due to significant differences in</w:t>
      </w:r>
      <w:r w:rsidR="000D0F2F">
        <w:rPr>
          <w:rFonts w:ascii="Times New Roman" w:hAnsi="Times New Roman" w:cs="Times New Roman"/>
          <w:sz w:val="24"/>
          <w:szCs w:val="24"/>
        </w:rPr>
        <w:t xml:space="preserve"> </w:t>
      </w:r>
      <w:r w:rsidR="00F3518F">
        <w:rPr>
          <w:rFonts w:ascii="Times New Roman" w:hAnsi="Times New Roman" w:cs="Times New Roman"/>
          <w:sz w:val="24"/>
          <w:szCs w:val="24"/>
        </w:rPr>
        <w:t>exciton mobility</w:t>
      </w:r>
      <w:r w:rsidR="00CD446D">
        <w:rPr>
          <w:rFonts w:ascii="Times New Roman" w:hAnsi="Times New Roman" w:cs="Times New Roman"/>
          <w:sz w:val="24"/>
          <w:szCs w:val="24"/>
        </w:rPr>
        <w:t>.</w:t>
      </w:r>
    </w:p>
    <w:p w14:paraId="51D64FD8" w14:textId="77777777" w:rsidR="003F19F8" w:rsidRPr="003F19F8" w:rsidRDefault="003F19F8" w:rsidP="003F19F8">
      <w:pPr>
        <w:pStyle w:val="Default"/>
        <w:spacing w:line="480" w:lineRule="auto"/>
        <w:jc w:val="both"/>
      </w:pPr>
      <w:r>
        <w:rPr>
          <w:b/>
        </w:rPr>
        <w:t>CONCLUSION</w:t>
      </w:r>
    </w:p>
    <w:p w14:paraId="25C1EDDB" w14:textId="236CB2B9" w:rsidR="007C52E0" w:rsidRDefault="007B73E8" w:rsidP="007C52E0">
      <w:pPr>
        <w:pStyle w:val="Default"/>
        <w:spacing w:line="480" w:lineRule="auto"/>
        <w:ind w:firstLine="720"/>
        <w:jc w:val="both"/>
      </w:pPr>
      <w:r w:rsidRPr="007B73E8">
        <w:lastRenderedPageBreak/>
        <w:t>Steady-state and time-resolved fluorescenc</w:t>
      </w:r>
      <w:r w:rsidR="001327B6">
        <w:t>e spectroscopic methods, in conjunction</w:t>
      </w:r>
      <w:r w:rsidRPr="007B73E8">
        <w:t xml:space="preserve"> with a discrete lattice model were utilized to assess the effect of solvent-induced swelling on the </w:t>
      </w:r>
      <w:r w:rsidR="001327B6">
        <w:t>steady-state</w:t>
      </w:r>
      <w:r w:rsidRPr="007B73E8">
        <w:t xml:space="preserve"> spectra, exciton decay rates, and multiple</w:t>
      </w:r>
      <w:r w:rsidR="001327B6">
        <w:t xml:space="preserve"> </w:t>
      </w:r>
      <w:r w:rsidRPr="007B73E8">
        <w:t>energy transfer rates in conjugated polymer nanoparticles.</w:t>
      </w:r>
      <w:r w:rsidR="000A5A78">
        <w:t xml:space="preserve"> </w:t>
      </w:r>
      <w:r w:rsidR="00520695">
        <w:t>For both polymers, t</w:t>
      </w:r>
      <w:r w:rsidR="007C52E0">
        <w:t xml:space="preserve">he </w:t>
      </w:r>
      <w:r w:rsidR="00520695">
        <w:t xml:space="preserve">fluorescence </w:t>
      </w:r>
      <w:r w:rsidR="007C52E0">
        <w:t>quantum yield increases with in</w:t>
      </w:r>
      <w:r w:rsidR="004E2A92">
        <w:t>creasing THF concentration, reproducing</w:t>
      </w:r>
      <w:r w:rsidR="007C52E0">
        <w:t xml:space="preserve"> the </w:t>
      </w:r>
      <w:r w:rsidR="00520695">
        <w:t xml:space="preserve">fluorescence quantum yield corresponding to the </w:t>
      </w:r>
      <w:r w:rsidR="007C52E0">
        <w:t xml:space="preserve">free polymer at 95% THF. </w:t>
      </w:r>
      <w:r w:rsidR="00520695">
        <w:t>Analysis of the fluorescence spectra</w:t>
      </w:r>
      <w:r w:rsidR="004B4B93">
        <w:t xml:space="preserve"> of MEH-PPV exhibits </w:t>
      </w:r>
      <w:r w:rsidR="00854A63">
        <w:t xml:space="preserve">a </w:t>
      </w:r>
      <w:r w:rsidR="004B4B93">
        <w:t>significant blue shift</w:t>
      </w:r>
      <w:r w:rsidR="00854A63">
        <w:t>ed</w:t>
      </w:r>
      <w:r w:rsidR="004B4B93">
        <w:t xml:space="preserve"> </w:t>
      </w:r>
      <w:r w:rsidR="00854A63">
        <w:t xml:space="preserve">component to the spectra </w:t>
      </w:r>
      <w:r w:rsidR="004B4B93">
        <w:t xml:space="preserve">as </w:t>
      </w:r>
      <w:r w:rsidR="00854A63">
        <w:t>THF concentration increases</w:t>
      </w:r>
      <w:r w:rsidR="007C52E0">
        <w:t xml:space="preserve">, </w:t>
      </w:r>
      <w:r w:rsidR="000A5A78">
        <w:t xml:space="preserve">which provides evidence of dissociation of the nanoparticle into free polymer, over the range of 40-80% THF. </w:t>
      </w:r>
      <w:r w:rsidR="00520695">
        <w:t>A multiple</w:t>
      </w:r>
      <w:r w:rsidR="00572AA1">
        <w:t xml:space="preserve"> </w:t>
      </w:r>
      <w:r w:rsidR="007C52E0">
        <w:t>energy transfer model</w:t>
      </w:r>
      <w:r w:rsidR="00854A63">
        <w:t xml:space="preserve"> </w:t>
      </w:r>
      <w:r w:rsidR="00572AA1" w:rsidRPr="00520695">
        <w:t>incorporating q</w:t>
      </w:r>
      <w:r w:rsidR="00520695" w:rsidRPr="00520695">
        <w:t>uenching by defects yielded</w:t>
      </w:r>
      <w:r w:rsidR="007C52E0">
        <w:t xml:space="preserve"> good agreement </w:t>
      </w:r>
      <w:r w:rsidR="007C162D">
        <w:t>with</w:t>
      </w:r>
      <w:r w:rsidR="002D2538" w:rsidRPr="00520695">
        <w:t xml:space="preserve"> experimental</w:t>
      </w:r>
      <w:r w:rsidR="00520695" w:rsidRPr="00520695">
        <w:t xml:space="preserve"> quenching efficiency and TCSPC results</w:t>
      </w:r>
      <w:r w:rsidR="002D2538">
        <w:t xml:space="preserve"> at</w:t>
      </w:r>
      <w:r w:rsidR="00854A63">
        <w:t xml:space="preserve"> low to m</w:t>
      </w:r>
      <w:r w:rsidR="001327B6">
        <w:t>oderate</w:t>
      </w:r>
      <w:r w:rsidR="00854A63">
        <w:t xml:space="preserve"> THF concentrations</w:t>
      </w:r>
      <w:r w:rsidR="002D2538">
        <w:t>.</w:t>
      </w:r>
      <w:r w:rsidR="00421C03">
        <w:t xml:space="preserve"> </w:t>
      </w:r>
      <w:r w:rsidR="00AC3248">
        <w:t xml:space="preserve">The model results </w:t>
      </w:r>
      <w:r w:rsidR="00421C03">
        <w:t>yield</w:t>
      </w:r>
      <w:r w:rsidR="00AC3248">
        <w:t>ed</w:t>
      </w:r>
      <w:r w:rsidR="004E2A92">
        <w:t xml:space="preserve"> energy transfer</w:t>
      </w:r>
      <w:r w:rsidR="00AC3248">
        <w:t xml:space="preserve"> rate constants of 2.0</w:t>
      </w:r>
      <w:r w:rsidR="00244F60">
        <w:rPr>
          <w:position w:val="-4"/>
        </w:rPr>
        <w:pict w14:anchorId="40698F47">
          <v:shape id="_x0000_i1052" type="#_x0000_t75" style="width:9.5pt;height:9.5pt">
            <v:imagedata r:id="rId42" o:title=""/>
          </v:shape>
        </w:pict>
      </w:r>
      <w:r w:rsidR="00AC3248">
        <w:t>10</w:t>
      </w:r>
      <w:r w:rsidR="00AC3248">
        <w:rPr>
          <w:vertAlign w:val="superscript"/>
        </w:rPr>
        <w:t>11</w:t>
      </w:r>
      <w:r w:rsidR="00AC3248">
        <w:t xml:space="preserve"> s</w:t>
      </w:r>
      <w:r w:rsidR="00AC3248">
        <w:rPr>
          <w:vertAlign w:val="superscript"/>
        </w:rPr>
        <w:t>-1</w:t>
      </w:r>
      <w:r w:rsidR="00AC3248">
        <w:t xml:space="preserve"> for MEH-PPV CPNs and 1.1</w:t>
      </w:r>
      <w:r w:rsidR="00244F60">
        <w:rPr>
          <w:position w:val="-4"/>
        </w:rPr>
        <w:pict w14:anchorId="2CAA7A39">
          <v:shape id="_x0000_i1053" type="#_x0000_t75" style="width:9.5pt;height:9.5pt">
            <v:imagedata r:id="rId43" o:title=""/>
          </v:shape>
        </w:pict>
      </w:r>
      <w:r w:rsidR="00AC3248">
        <w:t>10</w:t>
      </w:r>
      <w:r w:rsidR="00AC3248">
        <w:rPr>
          <w:vertAlign w:val="superscript"/>
        </w:rPr>
        <w:t>10</w:t>
      </w:r>
      <w:r w:rsidR="00AC3248">
        <w:t xml:space="preserve"> s</w:t>
      </w:r>
      <w:r w:rsidR="00AC3248">
        <w:rPr>
          <w:vertAlign w:val="superscript"/>
        </w:rPr>
        <w:t>-1</w:t>
      </w:r>
      <w:r w:rsidR="001327B6">
        <w:t xml:space="preserve"> for PFBT CPNs, and</w:t>
      </w:r>
      <w:r w:rsidR="00AC3248">
        <w:t xml:space="preserve"> </w:t>
      </w:r>
      <w:r w:rsidR="003840C2">
        <w:t>FAD</w:t>
      </w:r>
      <w:r w:rsidR="00AC3248">
        <w:t xml:space="preserve"> fitting </w:t>
      </w:r>
      <w:r w:rsidR="003840C2">
        <w:t>analysis</w:t>
      </w:r>
      <w:r w:rsidR="004E2A92">
        <w:t xml:space="preserve"> yielded </w:t>
      </w:r>
      <w:proofErr w:type="spellStart"/>
      <w:r w:rsidR="00AC3248" w:rsidRPr="00AC3248">
        <w:rPr>
          <w:i/>
        </w:rPr>
        <w:t>k</w:t>
      </w:r>
      <w:r w:rsidR="00AC3248" w:rsidRPr="00AC3248">
        <w:rPr>
          <w:i/>
          <w:vertAlign w:val="subscript"/>
        </w:rPr>
        <w:t>et</w:t>
      </w:r>
      <w:proofErr w:type="spellEnd"/>
      <w:r w:rsidR="004E2A92">
        <w:t xml:space="preserve"> =</w:t>
      </w:r>
      <w:r w:rsidR="00AC3248">
        <w:t xml:space="preserve"> 4.8</w:t>
      </w:r>
      <w:r w:rsidR="00244F60">
        <w:rPr>
          <w:position w:val="-4"/>
        </w:rPr>
        <w:pict w14:anchorId="0E27146F">
          <v:shape id="_x0000_i1054" type="#_x0000_t75" style="width:9.5pt;height:9.5pt">
            <v:imagedata r:id="rId44" o:title=""/>
          </v:shape>
        </w:pict>
      </w:r>
      <w:r w:rsidR="00AC3248">
        <w:t>10</w:t>
      </w:r>
      <w:r w:rsidR="00AC3248">
        <w:rPr>
          <w:vertAlign w:val="superscript"/>
        </w:rPr>
        <w:t>10</w:t>
      </w:r>
      <w:r w:rsidR="00AC3248">
        <w:t xml:space="preserve"> s</w:t>
      </w:r>
      <w:r w:rsidR="00AC3248" w:rsidRPr="00FE0C8A">
        <w:rPr>
          <w:vertAlign w:val="superscript"/>
        </w:rPr>
        <w:t>-1</w:t>
      </w:r>
      <w:r w:rsidR="00AC3248">
        <w:t xml:space="preserve"> for moderately swelled PFBT CPNs</w:t>
      </w:r>
      <w:r w:rsidR="00C554F9">
        <w:t>,</w:t>
      </w:r>
      <w:r w:rsidR="00AC3248">
        <w:t xml:space="preserve"> which are 10-60 times higher than the values of </w:t>
      </w:r>
      <w:proofErr w:type="spellStart"/>
      <w:r w:rsidR="00AC3248" w:rsidRPr="00AC3248">
        <w:rPr>
          <w:i/>
        </w:rPr>
        <w:t>k</w:t>
      </w:r>
      <w:r w:rsidR="00AC3248" w:rsidRPr="00AC3248">
        <w:rPr>
          <w:i/>
          <w:vertAlign w:val="subscript"/>
        </w:rPr>
        <w:t>et</w:t>
      </w:r>
      <w:proofErr w:type="spellEnd"/>
      <w:r w:rsidR="00AC3248">
        <w:t xml:space="preserve"> obtained for the corresponding polymers in THF.</w:t>
      </w:r>
      <w:r w:rsidR="00854A63">
        <w:t xml:space="preserve"> Calculations assessing quenching efficiency </w:t>
      </w:r>
      <w:r w:rsidR="00C554F9">
        <w:t xml:space="preserve">for an ensemble of isolated 1D chains compared to a 3D nanoparticle </w:t>
      </w:r>
      <w:r w:rsidR="00854A63">
        <w:t xml:space="preserve">yield </w:t>
      </w:r>
      <w:r w:rsidR="00C554F9">
        <w:t xml:space="preserve">nearly </w:t>
      </w:r>
      <w:r w:rsidR="00854A63">
        <w:t>an order of magnitude difference in quenching</w:t>
      </w:r>
      <w:r w:rsidR="00AC3248">
        <w:t xml:space="preserve">, which indicates that exciton </w:t>
      </w:r>
      <w:r w:rsidR="00C554F9">
        <w:t>transport</w:t>
      </w:r>
      <w:r w:rsidR="00AC3248">
        <w:t xml:space="preserve"> to quenchers is </w:t>
      </w:r>
      <w:r w:rsidR="00C554F9">
        <w:t>reduced</w:t>
      </w:r>
      <w:r w:rsidR="004E2A92">
        <w:t xml:space="preserve"> significantly</w:t>
      </w:r>
      <w:r w:rsidR="00AC3248">
        <w:t xml:space="preserve"> in 1D compared to 3D</w:t>
      </w:r>
      <w:r w:rsidR="00C554F9">
        <w:t>, resulting from the</w:t>
      </w:r>
      <w:r w:rsidR="00AC3248">
        <w:t xml:space="preserve"> reduced number of nearest neighbor chromophores</w:t>
      </w:r>
      <w:r w:rsidR="00C554F9">
        <w:t xml:space="preserve"> in 1D</w:t>
      </w:r>
      <w:r w:rsidR="00854A63">
        <w:t xml:space="preserve">. </w:t>
      </w:r>
      <w:r w:rsidR="00C554F9">
        <w:t>The increased</w:t>
      </w:r>
      <w:r w:rsidR="003840C2">
        <w:t xml:space="preserve"> </w:t>
      </w:r>
      <w:r w:rsidR="00D523FE">
        <w:t xml:space="preserve">multiple </w:t>
      </w:r>
      <w:r w:rsidR="003840C2">
        <w:t xml:space="preserve">energy transfer rates in the nanoparticle state </w:t>
      </w:r>
      <w:r w:rsidR="0061228C">
        <w:t>ha</w:t>
      </w:r>
      <w:r w:rsidR="003840C2">
        <w:t>ve</w:t>
      </w:r>
      <w:r w:rsidR="0061228C">
        <w:t xml:space="preserve"> meaningful implications for imaging and device applications</w:t>
      </w:r>
      <w:r w:rsidR="00C554F9">
        <w:t>, and</w:t>
      </w:r>
      <w:r w:rsidR="003840C2">
        <w:t xml:space="preserve"> these results elucidate an apparent tradeoff</w:t>
      </w:r>
      <w:bookmarkStart w:id="0" w:name="_GoBack"/>
      <w:bookmarkEnd w:id="0"/>
      <w:r w:rsidR="003840C2">
        <w:t xml:space="preserve"> between exciton mobility and luminescence yield</w:t>
      </w:r>
      <w:r w:rsidR="0061228C">
        <w:t>.</w:t>
      </w:r>
      <w:r w:rsidR="00CB6AD0">
        <w:t xml:space="preserve"> </w:t>
      </w:r>
      <w:r w:rsidR="003840C2" w:rsidRPr="003840C2">
        <w:t>T</w:t>
      </w:r>
      <w:r w:rsidR="00CB6AD0" w:rsidRPr="003840C2">
        <w:t>he results are consistent with an effective chromophore diameter of ~</w:t>
      </w:r>
      <w:r w:rsidR="003840C2" w:rsidRPr="003840C2">
        <w:t>1</w:t>
      </w:r>
      <w:r w:rsidR="00CB6AD0" w:rsidRPr="003840C2">
        <w:t xml:space="preserve"> nm and an energy transfer time of ~</w:t>
      </w:r>
      <w:r w:rsidR="003840C2" w:rsidRPr="003840C2">
        <w:t xml:space="preserve">5 </w:t>
      </w:r>
      <w:proofErr w:type="spellStart"/>
      <w:r w:rsidR="007126A1">
        <w:t>ps</w:t>
      </w:r>
      <w:proofErr w:type="spellEnd"/>
      <w:r w:rsidR="007126A1">
        <w:t xml:space="preserve"> </w:t>
      </w:r>
      <w:r w:rsidR="003840C2" w:rsidRPr="003840C2">
        <w:t>to ~90</w:t>
      </w:r>
      <w:r w:rsidR="00CB6AD0" w:rsidRPr="003840C2">
        <w:t xml:space="preserve"> </w:t>
      </w:r>
      <w:proofErr w:type="spellStart"/>
      <w:r w:rsidR="00CB6AD0" w:rsidRPr="003840C2">
        <w:t>ps</w:t>
      </w:r>
      <w:proofErr w:type="spellEnd"/>
      <w:r w:rsidR="00CB6AD0" w:rsidRPr="003840C2">
        <w:t xml:space="preserve"> between neighbo</w:t>
      </w:r>
      <w:r w:rsidR="003840C2" w:rsidRPr="003840C2">
        <w:t>ring close-packed chromophores.</w:t>
      </w:r>
    </w:p>
    <w:p w14:paraId="1BCEC2FA" w14:textId="77777777" w:rsidR="007C52E0" w:rsidRDefault="007C52E0" w:rsidP="007C52E0">
      <w:pPr>
        <w:pStyle w:val="Default"/>
        <w:spacing w:line="480" w:lineRule="auto"/>
        <w:jc w:val="both"/>
        <w:rPr>
          <w:b/>
        </w:rPr>
      </w:pPr>
      <w:r>
        <w:rPr>
          <w:b/>
        </w:rPr>
        <w:t>ACKNOWLEDGMENTS</w:t>
      </w:r>
    </w:p>
    <w:p w14:paraId="661AB12F" w14:textId="399B4C40" w:rsidR="007C52E0" w:rsidRDefault="007C52E0" w:rsidP="00155438">
      <w:pPr>
        <w:autoSpaceDE w:val="0"/>
        <w:autoSpaceDN w:val="0"/>
        <w:adjustRightInd w:val="0"/>
        <w:spacing w:after="0" w:line="240" w:lineRule="auto"/>
        <w:rPr>
          <w:rFonts w:ascii="Times New Roman" w:hAnsi="Times New Roman" w:cs="Times New Roman"/>
          <w:sz w:val="24"/>
          <w:szCs w:val="24"/>
        </w:rPr>
      </w:pPr>
      <w:r>
        <w:lastRenderedPageBreak/>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upport from the NSF under Grant</w:t>
      </w:r>
      <w:r w:rsidR="00397AE9">
        <w:rPr>
          <w:rFonts w:ascii="Times New Roman" w:hAnsi="Times New Roman" w:cs="Times New Roman"/>
          <w:sz w:val="24"/>
          <w:szCs w:val="24"/>
        </w:rPr>
        <w:t>s</w:t>
      </w:r>
      <w:r w:rsidR="00155438">
        <w:rPr>
          <w:rFonts w:ascii="Times New Roman" w:hAnsi="Times New Roman" w:cs="Times New Roman"/>
          <w:sz w:val="24"/>
          <w:szCs w:val="24"/>
        </w:rPr>
        <w:t xml:space="preserve"> </w:t>
      </w:r>
      <w:r w:rsidR="00155438" w:rsidRPr="00155438">
        <w:rPr>
          <w:rFonts w:ascii="Times New Roman" w:hAnsi="Times New Roman" w:cs="Times New Roman"/>
          <w:sz w:val="24"/>
          <w:szCs w:val="24"/>
        </w:rPr>
        <w:t>No. CHE-1058885</w:t>
      </w:r>
      <w:r w:rsidR="00397AE9">
        <w:rPr>
          <w:rFonts w:ascii="Times New Roman" w:hAnsi="Times New Roman" w:cs="Times New Roman"/>
          <w:sz w:val="24"/>
          <w:szCs w:val="24"/>
        </w:rPr>
        <w:t xml:space="preserve"> and </w:t>
      </w:r>
      <w:r w:rsidR="00397AE9" w:rsidRPr="00397AE9">
        <w:rPr>
          <w:rFonts w:ascii="Times New Roman" w:hAnsi="Times New Roman" w:cs="Times New Roman"/>
          <w:sz w:val="24"/>
          <w:szCs w:val="24"/>
          <w:highlight w:val="yellow"/>
        </w:rPr>
        <w:t>[insert the new grant number]</w:t>
      </w:r>
      <w:r w:rsidR="00155438" w:rsidRPr="00155438">
        <w:rPr>
          <w:rFonts w:ascii="Times New Roman" w:hAnsi="Times New Roman" w:cs="Times New Roman"/>
          <w:sz w:val="24"/>
          <w:szCs w:val="24"/>
        </w:rPr>
        <w:t>.</w:t>
      </w:r>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3DEC45C" w14:textId="77777777" w:rsidR="0074159A"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sectPr w:rsidR="0074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8&lt;/item&gt;&lt;item&gt;10&lt;/item&gt;&lt;item&gt;14&lt;/item&gt;&lt;item&gt;18&lt;/item&gt;&lt;item&gt;19&lt;/item&gt;&lt;item&gt;21&lt;/item&gt;&lt;item&gt;22&lt;/item&gt;&lt;item&gt;30&lt;/item&gt;&lt;item&gt;42&lt;/item&gt;&lt;item&gt;44&lt;/item&gt;&lt;item&gt;48&lt;/item&gt;&lt;item&gt;49&lt;/item&gt;&lt;item&gt;51&lt;/item&gt;&lt;item&gt;56&lt;/item&gt;&lt;item&gt;58&lt;/item&gt;&lt;item&gt;59&lt;/item&gt;&lt;item&gt;60&lt;/item&gt;&lt;item&gt;61&lt;/item&gt;&lt;item&gt;62&lt;/item&gt;&lt;item&gt;87&lt;/item&gt;&lt;item&gt;88&lt;/item&gt;&lt;item&gt;96&lt;/item&gt;&lt;item&gt;97&lt;/item&gt;&lt;item&gt;98&lt;/item&gt;&lt;item&gt;99&lt;/item&gt;&lt;item&gt;102&lt;/item&gt;&lt;item&gt;105&lt;/item&gt;&lt;item&gt;108&lt;/item&gt;&lt;item&gt;110&lt;/item&gt;&lt;item&gt;113&lt;/item&gt;&lt;/record-ids&gt;&lt;/item&gt;&lt;/Libraries&gt;"/>
  </w:docVars>
  <w:rsids>
    <w:rsidRoot w:val="00551E65"/>
    <w:rsid w:val="000012A9"/>
    <w:rsid w:val="00005036"/>
    <w:rsid w:val="0000521D"/>
    <w:rsid w:val="0000625E"/>
    <w:rsid w:val="0000646E"/>
    <w:rsid w:val="000072A1"/>
    <w:rsid w:val="000072CF"/>
    <w:rsid w:val="0001039F"/>
    <w:rsid w:val="00010454"/>
    <w:rsid w:val="00010988"/>
    <w:rsid w:val="00011DBF"/>
    <w:rsid w:val="00013CE7"/>
    <w:rsid w:val="00013D29"/>
    <w:rsid w:val="000142C7"/>
    <w:rsid w:val="00015C96"/>
    <w:rsid w:val="000203EC"/>
    <w:rsid w:val="0002168C"/>
    <w:rsid w:val="00024190"/>
    <w:rsid w:val="000248C1"/>
    <w:rsid w:val="000264E2"/>
    <w:rsid w:val="00027A7F"/>
    <w:rsid w:val="000301FC"/>
    <w:rsid w:val="00035C9D"/>
    <w:rsid w:val="00036A55"/>
    <w:rsid w:val="00037047"/>
    <w:rsid w:val="00041327"/>
    <w:rsid w:val="00041B4D"/>
    <w:rsid w:val="00045FE1"/>
    <w:rsid w:val="000468B1"/>
    <w:rsid w:val="000475D5"/>
    <w:rsid w:val="00047F79"/>
    <w:rsid w:val="00050749"/>
    <w:rsid w:val="000539B8"/>
    <w:rsid w:val="00060AD2"/>
    <w:rsid w:val="00060D97"/>
    <w:rsid w:val="00062821"/>
    <w:rsid w:val="00063DFE"/>
    <w:rsid w:val="00067596"/>
    <w:rsid w:val="00072D6C"/>
    <w:rsid w:val="00072E01"/>
    <w:rsid w:val="0007591C"/>
    <w:rsid w:val="00077579"/>
    <w:rsid w:val="00080CE9"/>
    <w:rsid w:val="00081F54"/>
    <w:rsid w:val="00082110"/>
    <w:rsid w:val="00084C92"/>
    <w:rsid w:val="00085572"/>
    <w:rsid w:val="00091AF1"/>
    <w:rsid w:val="0009557F"/>
    <w:rsid w:val="00096C4E"/>
    <w:rsid w:val="0009700D"/>
    <w:rsid w:val="000A270E"/>
    <w:rsid w:val="000A4589"/>
    <w:rsid w:val="000A4F81"/>
    <w:rsid w:val="000A5A78"/>
    <w:rsid w:val="000A69D9"/>
    <w:rsid w:val="000B0106"/>
    <w:rsid w:val="000B0756"/>
    <w:rsid w:val="000B1B8D"/>
    <w:rsid w:val="000B1F85"/>
    <w:rsid w:val="000B21B9"/>
    <w:rsid w:val="000B25EC"/>
    <w:rsid w:val="000B3A66"/>
    <w:rsid w:val="000B4BB7"/>
    <w:rsid w:val="000B57B1"/>
    <w:rsid w:val="000B6459"/>
    <w:rsid w:val="000B718E"/>
    <w:rsid w:val="000C20EE"/>
    <w:rsid w:val="000C3220"/>
    <w:rsid w:val="000C6DC2"/>
    <w:rsid w:val="000C7E2B"/>
    <w:rsid w:val="000D0414"/>
    <w:rsid w:val="000D0754"/>
    <w:rsid w:val="000D0E8B"/>
    <w:rsid w:val="000D0F2F"/>
    <w:rsid w:val="000D175B"/>
    <w:rsid w:val="000D3473"/>
    <w:rsid w:val="000D400E"/>
    <w:rsid w:val="000D54B4"/>
    <w:rsid w:val="000D597B"/>
    <w:rsid w:val="000D6A54"/>
    <w:rsid w:val="000D6BBA"/>
    <w:rsid w:val="000D722E"/>
    <w:rsid w:val="000E001B"/>
    <w:rsid w:val="000E1712"/>
    <w:rsid w:val="000E2C41"/>
    <w:rsid w:val="000E2DD2"/>
    <w:rsid w:val="000E375B"/>
    <w:rsid w:val="000E452C"/>
    <w:rsid w:val="000E5025"/>
    <w:rsid w:val="000E505A"/>
    <w:rsid w:val="000E5879"/>
    <w:rsid w:val="000E5AB4"/>
    <w:rsid w:val="000E5CB6"/>
    <w:rsid w:val="000E60B5"/>
    <w:rsid w:val="000F0FF9"/>
    <w:rsid w:val="000F237F"/>
    <w:rsid w:val="000F43CF"/>
    <w:rsid w:val="000F5AB3"/>
    <w:rsid w:val="000F6EA0"/>
    <w:rsid w:val="00101CD2"/>
    <w:rsid w:val="001036F5"/>
    <w:rsid w:val="001055CA"/>
    <w:rsid w:val="00105A26"/>
    <w:rsid w:val="001077F1"/>
    <w:rsid w:val="00111870"/>
    <w:rsid w:val="00112AAC"/>
    <w:rsid w:val="00113891"/>
    <w:rsid w:val="00113EAC"/>
    <w:rsid w:val="0011542C"/>
    <w:rsid w:val="001240B9"/>
    <w:rsid w:val="001242BE"/>
    <w:rsid w:val="00126F78"/>
    <w:rsid w:val="00127035"/>
    <w:rsid w:val="001278D5"/>
    <w:rsid w:val="001327B6"/>
    <w:rsid w:val="001363BD"/>
    <w:rsid w:val="001366BA"/>
    <w:rsid w:val="001410E0"/>
    <w:rsid w:val="001430F8"/>
    <w:rsid w:val="00145BA7"/>
    <w:rsid w:val="001501FB"/>
    <w:rsid w:val="00150334"/>
    <w:rsid w:val="00150F6B"/>
    <w:rsid w:val="001518F5"/>
    <w:rsid w:val="00155438"/>
    <w:rsid w:val="00160F40"/>
    <w:rsid w:val="00161558"/>
    <w:rsid w:val="0016574C"/>
    <w:rsid w:val="00165D23"/>
    <w:rsid w:val="001711DD"/>
    <w:rsid w:val="0017261B"/>
    <w:rsid w:val="00175489"/>
    <w:rsid w:val="001768DF"/>
    <w:rsid w:val="001805EE"/>
    <w:rsid w:val="001834AE"/>
    <w:rsid w:val="001835B4"/>
    <w:rsid w:val="001843CA"/>
    <w:rsid w:val="00184B28"/>
    <w:rsid w:val="00186CFB"/>
    <w:rsid w:val="00187990"/>
    <w:rsid w:val="00191CE5"/>
    <w:rsid w:val="00192C0A"/>
    <w:rsid w:val="001932AB"/>
    <w:rsid w:val="00194A4C"/>
    <w:rsid w:val="00196B76"/>
    <w:rsid w:val="00197195"/>
    <w:rsid w:val="001A0FE2"/>
    <w:rsid w:val="001A30BC"/>
    <w:rsid w:val="001A37A8"/>
    <w:rsid w:val="001A5550"/>
    <w:rsid w:val="001A5D80"/>
    <w:rsid w:val="001A6DD3"/>
    <w:rsid w:val="001B0786"/>
    <w:rsid w:val="001B0CF4"/>
    <w:rsid w:val="001B2A49"/>
    <w:rsid w:val="001B3C35"/>
    <w:rsid w:val="001B716E"/>
    <w:rsid w:val="001C5579"/>
    <w:rsid w:val="001D4FB0"/>
    <w:rsid w:val="001D617C"/>
    <w:rsid w:val="001D7030"/>
    <w:rsid w:val="001E1735"/>
    <w:rsid w:val="001E2687"/>
    <w:rsid w:val="001E2EEE"/>
    <w:rsid w:val="001E76A9"/>
    <w:rsid w:val="001F2C91"/>
    <w:rsid w:val="001F38C2"/>
    <w:rsid w:val="001F44B3"/>
    <w:rsid w:val="001F512B"/>
    <w:rsid w:val="001F54BD"/>
    <w:rsid w:val="001F56AA"/>
    <w:rsid w:val="001F661F"/>
    <w:rsid w:val="001F736E"/>
    <w:rsid w:val="001F747C"/>
    <w:rsid w:val="0020102D"/>
    <w:rsid w:val="002045D1"/>
    <w:rsid w:val="0020781C"/>
    <w:rsid w:val="002106EC"/>
    <w:rsid w:val="0021139A"/>
    <w:rsid w:val="002167E5"/>
    <w:rsid w:val="002236F8"/>
    <w:rsid w:val="00223E62"/>
    <w:rsid w:val="00225662"/>
    <w:rsid w:val="00227383"/>
    <w:rsid w:val="002301D8"/>
    <w:rsid w:val="0023042F"/>
    <w:rsid w:val="00230EA5"/>
    <w:rsid w:val="00231F52"/>
    <w:rsid w:val="00232459"/>
    <w:rsid w:val="0023270E"/>
    <w:rsid w:val="0023399E"/>
    <w:rsid w:val="002417FF"/>
    <w:rsid w:val="00241808"/>
    <w:rsid w:val="002433CD"/>
    <w:rsid w:val="00243B91"/>
    <w:rsid w:val="002447E0"/>
    <w:rsid w:val="00244F60"/>
    <w:rsid w:val="002469AF"/>
    <w:rsid w:val="00246B39"/>
    <w:rsid w:val="00250D64"/>
    <w:rsid w:val="00253D7E"/>
    <w:rsid w:val="00254725"/>
    <w:rsid w:val="0025526A"/>
    <w:rsid w:val="00256131"/>
    <w:rsid w:val="00260EE9"/>
    <w:rsid w:val="002623C5"/>
    <w:rsid w:val="002628A8"/>
    <w:rsid w:val="002630D0"/>
    <w:rsid w:val="002643CB"/>
    <w:rsid w:val="00266A42"/>
    <w:rsid w:val="00267596"/>
    <w:rsid w:val="002711B5"/>
    <w:rsid w:val="002721D7"/>
    <w:rsid w:val="00272217"/>
    <w:rsid w:val="00272CA2"/>
    <w:rsid w:val="002739D2"/>
    <w:rsid w:val="00280BCD"/>
    <w:rsid w:val="00282C7C"/>
    <w:rsid w:val="00283706"/>
    <w:rsid w:val="00284C32"/>
    <w:rsid w:val="00286129"/>
    <w:rsid w:val="00287536"/>
    <w:rsid w:val="00293AC8"/>
    <w:rsid w:val="002957E7"/>
    <w:rsid w:val="00297131"/>
    <w:rsid w:val="002975E8"/>
    <w:rsid w:val="00297AB8"/>
    <w:rsid w:val="002A1FDC"/>
    <w:rsid w:val="002A2762"/>
    <w:rsid w:val="002A2D37"/>
    <w:rsid w:val="002A532F"/>
    <w:rsid w:val="002A55DF"/>
    <w:rsid w:val="002B0780"/>
    <w:rsid w:val="002B186D"/>
    <w:rsid w:val="002B7BFD"/>
    <w:rsid w:val="002B7CA3"/>
    <w:rsid w:val="002C1410"/>
    <w:rsid w:val="002C185C"/>
    <w:rsid w:val="002C23BF"/>
    <w:rsid w:val="002C26E4"/>
    <w:rsid w:val="002C4A76"/>
    <w:rsid w:val="002C65C9"/>
    <w:rsid w:val="002C6CCF"/>
    <w:rsid w:val="002D2538"/>
    <w:rsid w:val="002D2AEA"/>
    <w:rsid w:val="002D3660"/>
    <w:rsid w:val="002D4038"/>
    <w:rsid w:val="002D4C7C"/>
    <w:rsid w:val="002D52EA"/>
    <w:rsid w:val="002E015D"/>
    <w:rsid w:val="002E2CB0"/>
    <w:rsid w:val="002F108C"/>
    <w:rsid w:val="002F2387"/>
    <w:rsid w:val="002F2CE3"/>
    <w:rsid w:val="002F3AD2"/>
    <w:rsid w:val="002F4C3E"/>
    <w:rsid w:val="002F5276"/>
    <w:rsid w:val="002F6CAA"/>
    <w:rsid w:val="002F6FC7"/>
    <w:rsid w:val="003001D6"/>
    <w:rsid w:val="0030372E"/>
    <w:rsid w:val="0030527F"/>
    <w:rsid w:val="00307B86"/>
    <w:rsid w:val="00315258"/>
    <w:rsid w:val="0031617D"/>
    <w:rsid w:val="003161DC"/>
    <w:rsid w:val="003161DE"/>
    <w:rsid w:val="00321545"/>
    <w:rsid w:val="00321788"/>
    <w:rsid w:val="003251F7"/>
    <w:rsid w:val="00325B49"/>
    <w:rsid w:val="00325EAE"/>
    <w:rsid w:val="00326C94"/>
    <w:rsid w:val="00327731"/>
    <w:rsid w:val="00327BE8"/>
    <w:rsid w:val="003376DD"/>
    <w:rsid w:val="00340A77"/>
    <w:rsid w:val="00341835"/>
    <w:rsid w:val="003474E2"/>
    <w:rsid w:val="0035258B"/>
    <w:rsid w:val="00353A57"/>
    <w:rsid w:val="00354D89"/>
    <w:rsid w:val="00357040"/>
    <w:rsid w:val="0035778E"/>
    <w:rsid w:val="003605CB"/>
    <w:rsid w:val="00361DB4"/>
    <w:rsid w:val="003635D8"/>
    <w:rsid w:val="00363B83"/>
    <w:rsid w:val="003709AB"/>
    <w:rsid w:val="00371595"/>
    <w:rsid w:val="00375A52"/>
    <w:rsid w:val="00376009"/>
    <w:rsid w:val="0037628C"/>
    <w:rsid w:val="003763E0"/>
    <w:rsid w:val="00381EB8"/>
    <w:rsid w:val="0038302B"/>
    <w:rsid w:val="003840C2"/>
    <w:rsid w:val="0038439A"/>
    <w:rsid w:val="003902F9"/>
    <w:rsid w:val="003938A4"/>
    <w:rsid w:val="0039451C"/>
    <w:rsid w:val="00394F6E"/>
    <w:rsid w:val="00396581"/>
    <w:rsid w:val="00397AE9"/>
    <w:rsid w:val="003A0007"/>
    <w:rsid w:val="003A3F56"/>
    <w:rsid w:val="003A40C3"/>
    <w:rsid w:val="003A47DC"/>
    <w:rsid w:val="003A50F7"/>
    <w:rsid w:val="003A5BEC"/>
    <w:rsid w:val="003A6C4B"/>
    <w:rsid w:val="003B1916"/>
    <w:rsid w:val="003B22F5"/>
    <w:rsid w:val="003B338C"/>
    <w:rsid w:val="003B38B3"/>
    <w:rsid w:val="003B4962"/>
    <w:rsid w:val="003B56EC"/>
    <w:rsid w:val="003B648F"/>
    <w:rsid w:val="003B7D17"/>
    <w:rsid w:val="003C0483"/>
    <w:rsid w:val="003C06C2"/>
    <w:rsid w:val="003C1695"/>
    <w:rsid w:val="003C1CF7"/>
    <w:rsid w:val="003C22AD"/>
    <w:rsid w:val="003C35EF"/>
    <w:rsid w:val="003C5A7B"/>
    <w:rsid w:val="003D1B10"/>
    <w:rsid w:val="003D3E31"/>
    <w:rsid w:val="003D4EA9"/>
    <w:rsid w:val="003D7E27"/>
    <w:rsid w:val="003E37B8"/>
    <w:rsid w:val="003E57B7"/>
    <w:rsid w:val="003E651C"/>
    <w:rsid w:val="003F19F8"/>
    <w:rsid w:val="003F2083"/>
    <w:rsid w:val="003F2561"/>
    <w:rsid w:val="003F3436"/>
    <w:rsid w:val="003F4006"/>
    <w:rsid w:val="003F7421"/>
    <w:rsid w:val="003F791E"/>
    <w:rsid w:val="00401FD0"/>
    <w:rsid w:val="00402718"/>
    <w:rsid w:val="00406D05"/>
    <w:rsid w:val="0041049A"/>
    <w:rsid w:val="00410B7A"/>
    <w:rsid w:val="00410F08"/>
    <w:rsid w:val="00414782"/>
    <w:rsid w:val="004150D8"/>
    <w:rsid w:val="00417D06"/>
    <w:rsid w:val="00420C3A"/>
    <w:rsid w:val="00421010"/>
    <w:rsid w:val="00421553"/>
    <w:rsid w:val="00421C03"/>
    <w:rsid w:val="00422A5C"/>
    <w:rsid w:val="00422E82"/>
    <w:rsid w:val="00424148"/>
    <w:rsid w:val="00425A76"/>
    <w:rsid w:val="004301CC"/>
    <w:rsid w:val="00430D66"/>
    <w:rsid w:val="00432A0B"/>
    <w:rsid w:val="00441DDC"/>
    <w:rsid w:val="004541A5"/>
    <w:rsid w:val="00455B55"/>
    <w:rsid w:val="00456954"/>
    <w:rsid w:val="004573EE"/>
    <w:rsid w:val="00457E01"/>
    <w:rsid w:val="0046063C"/>
    <w:rsid w:val="004606AF"/>
    <w:rsid w:val="00460B99"/>
    <w:rsid w:val="004657A4"/>
    <w:rsid w:val="004700B0"/>
    <w:rsid w:val="004706D2"/>
    <w:rsid w:val="00472ACE"/>
    <w:rsid w:val="00472CB6"/>
    <w:rsid w:val="0047381F"/>
    <w:rsid w:val="00473F1A"/>
    <w:rsid w:val="004807F0"/>
    <w:rsid w:val="004901BE"/>
    <w:rsid w:val="0049056B"/>
    <w:rsid w:val="00490CD9"/>
    <w:rsid w:val="00491E88"/>
    <w:rsid w:val="00493DD3"/>
    <w:rsid w:val="004A2CF4"/>
    <w:rsid w:val="004A41C6"/>
    <w:rsid w:val="004A4A37"/>
    <w:rsid w:val="004A6157"/>
    <w:rsid w:val="004A7A83"/>
    <w:rsid w:val="004B1252"/>
    <w:rsid w:val="004B1606"/>
    <w:rsid w:val="004B4B93"/>
    <w:rsid w:val="004B5139"/>
    <w:rsid w:val="004B594D"/>
    <w:rsid w:val="004B6F01"/>
    <w:rsid w:val="004B7D6E"/>
    <w:rsid w:val="004C217D"/>
    <w:rsid w:val="004C3F6E"/>
    <w:rsid w:val="004C67D0"/>
    <w:rsid w:val="004D216D"/>
    <w:rsid w:val="004D360D"/>
    <w:rsid w:val="004D3DC2"/>
    <w:rsid w:val="004D4379"/>
    <w:rsid w:val="004D4F9A"/>
    <w:rsid w:val="004D5899"/>
    <w:rsid w:val="004D5CD0"/>
    <w:rsid w:val="004D7F2D"/>
    <w:rsid w:val="004E1D5C"/>
    <w:rsid w:val="004E2A92"/>
    <w:rsid w:val="004E5516"/>
    <w:rsid w:val="004E7366"/>
    <w:rsid w:val="004E753D"/>
    <w:rsid w:val="004E7F56"/>
    <w:rsid w:val="004F0E9B"/>
    <w:rsid w:val="004F2A79"/>
    <w:rsid w:val="004F2C5D"/>
    <w:rsid w:val="004F4195"/>
    <w:rsid w:val="004F4E9F"/>
    <w:rsid w:val="004F5858"/>
    <w:rsid w:val="004F6FB9"/>
    <w:rsid w:val="0050076E"/>
    <w:rsid w:val="005039FA"/>
    <w:rsid w:val="00505AFD"/>
    <w:rsid w:val="00505F58"/>
    <w:rsid w:val="00506326"/>
    <w:rsid w:val="00507D8E"/>
    <w:rsid w:val="00507F8C"/>
    <w:rsid w:val="00514EFC"/>
    <w:rsid w:val="00515C1F"/>
    <w:rsid w:val="0051702E"/>
    <w:rsid w:val="00520695"/>
    <w:rsid w:val="005209FF"/>
    <w:rsid w:val="00522FE8"/>
    <w:rsid w:val="005236E7"/>
    <w:rsid w:val="00525CFE"/>
    <w:rsid w:val="00526008"/>
    <w:rsid w:val="00526AEF"/>
    <w:rsid w:val="005370C5"/>
    <w:rsid w:val="00546079"/>
    <w:rsid w:val="0054793B"/>
    <w:rsid w:val="005515D3"/>
    <w:rsid w:val="00551E65"/>
    <w:rsid w:val="005520E5"/>
    <w:rsid w:val="005523B1"/>
    <w:rsid w:val="0055326D"/>
    <w:rsid w:val="0055337C"/>
    <w:rsid w:val="005540F9"/>
    <w:rsid w:val="00555037"/>
    <w:rsid w:val="00562184"/>
    <w:rsid w:val="00564650"/>
    <w:rsid w:val="005657E0"/>
    <w:rsid w:val="005665E8"/>
    <w:rsid w:val="0056765F"/>
    <w:rsid w:val="00567D3A"/>
    <w:rsid w:val="00570B74"/>
    <w:rsid w:val="00572A5E"/>
    <w:rsid w:val="00572AA1"/>
    <w:rsid w:val="00574879"/>
    <w:rsid w:val="00574E16"/>
    <w:rsid w:val="00576844"/>
    <w:rsid w:val="0057703B"/>
    <w:rsid w:val="00581630"/>
    <w:rsid w:val="00582326"/>
    <w:rsid w:val="00583540"/>
    <w:rsid w:val="00584114"/>
    <w:rsid w:val="005858F1"/>
    <w:rsid w:val="00586F5C"/>
    <w:rsid w:val="005876F4"/>
    <w:rsid w:val="00587BA6"/>
    <w:rsid w:val="00591E25"/>
    <w:rsid w:val="00594CB1"/>
    <w:rsid w:val="005950AF"/>
    <w:rsid w:val="00596146"/>
    <w:rsid w:val="005A07C4"/>
    <w:rsid w:val="005B2F70"/>
    <w:rsid w:val="005B6728"/>
    <w:rsid w:val="005B6AAE"/>
    <w:rsid w:val="005B746A"/>
    <w:rsid w:val="005C025E"/>
    <w:rsid w:val="005C224D"/>
    <w:rsid w:val="005C36E5"/>
    <w:rsid w:val="005D199F"/>
    <w:rsid w:val="005D1A52"/>
    <w:rsid w:val="005D2E3A"/>
    <w:rsid w:val="005D5554"/>
    <w:rsid w:val="005D7F68"/>
    <w:rsid w:val="005E1161"/>
    <w:rsid w:val="005F097A"/>
    <w:rsid w:val="005F5579"/>
    <w:rsid w:val="005F5829"/>
    <w:rsid w:val="005F679A"/>
    <w:rsid w:val="00604814"/>
    <w:rsid w:val="00604FB7"/>
    <w:rsid w:val="006068B4"/>
    <w:rsid w:val="00607D06"/>
    <w:rsid w:val="006111DC"/>
    <w:rsid w:val="0061228C"/>
    <w:rsid w:val="00612BFA"/>
    <w:rsid w:val="00612EEC"/>
    <w:rsid w:val="006132AC"/>
    <w:rsid w:val="00613F68"/>
    <w:rsid w:val="006149CA"/>
    <w:rsid w:val="00617D4F"/>
    <w:rsid w:val="00620DCB"/>
    <w:rsid w:val="00622F57"/>
    <w:rsid w:val="0062311F"/>
    <w:rsid w:val="00625681"/>
    <w:rsid w:val="00626D1F"/>
    <w:rsid w:val="006306B6"/>
    <w:rsid w:val="006346B1"/>
    <w:rsid w:val="0063651E"/>
    <w:rsid w:val="00636C80"/>
    <w:rsid w:val="00636D2A"/>
    <w:rsid w:val="00637C35"/>
    <w:rsid w:val="00637F6E"/>
    <w:rsid w:val="00642116"/>
    <w:rsid w:val="00645F67"/>
    <w:rsid w:val="00646751"/>
    <w:rsid w:val="006469A8"/>
    <w:rsid w:val="006479BD"/>
    <w:rsid w:val="006503C8"/>
    <w:rsid w:val="006542BA"/>
    <w:rsid w:val="00654BE2"/>
    <w:rsid w:val="00657105"/>
    <w:rsid w:val="006577DF"/>
    <w:rsid w:val="0066135B"/>
    <w:rsid w:val="006615F9"/>
    <w:rsid w:val="006624CF"/>
    <w:rsid w:val="00664CB2"/>
    <w:rsid w:val="00665D21"/>
    <w:rsid w:val="00666ABF"/>
    <w:rsid w:val="00666BAA"/>
    <w:rsid w:val="00666DB0"/>
    <w:rsid w:val="00667563"/>
    <w:rsid w:val="00667DDC"/>
    <w:rsid w:val="006752D9"/>
    <w:rsid w:val="006805BA"/>
    <w:rsid w:val="006832A2"/>
    <w:rsid w:val="00685858"/>
    <w:rsid w:val="00685F41"/>
    <w:rsid w:val="006920C0"/>
    <w:rsid w:val="00692547"/>
    <w:rsid w:val="006931CB"/>
    <w:rsid w:val="006931F5"/>
    <w:rsid w:val="00697218"/>
    <w:rsid w:val="006978B7"/>
    <w:rsid w:val="006A103C"/>
    <w:rsid w:val="006A2339"/>
    <w:rsid w:val="006A24DF"/>
    <w:rsid w:val="006A29B1"/>
    <w:rsid w:val="006A4132"/>
    <w:rsid w:val="006A6F96"/>
    <w:rsid w:val="006B22C1"/>
    <w:rsid w:val="006B5087"/>
    <w:rsid w:val="006B5FA7"/>
    <w:rsid w:val="006B7227"/>
    <w:rsid w:val="006C1D84"/>
    <w:rsid w:val="006C26E6"/>
    <w:rsid w:val="006E0A39"/>
    <w:rsid w:val="006E1384"/>
    <w:rsid w:val="006E4258"/>
    <w:rsid w:val="006E4D51"/>
    <w:rsid w:val="006E4F00"/>
    <w:rsid w:val="006E63C9"/>
    <w:rsid w:val="006E7FF8"/>
    <w:rsid w:val="006F127B"/>
    <w:rsid w:val="006F16AA"/>
    <w:rsid w:val="006F1854"/>
    <w:rsid w:val="006F35D8"/>
    <w:rsid w:val="006F382D"/>
    <w:rsid w:val="006F4C34"/>
    <w:rsid w:val="006F6369"/>
    <w:rsid w:val="006F690E"/>
    <w:rsid w:val="006F6DCA"/>
    <w:rsid w:val="006F72C1"/>
    <w:rsid w:val="00703B20"/>
    <w:rsid w:val="00704344"/>
    <w:rsid w:val="0070468A"/>
    <w:rsid w:val="00711373"/>
    <w:rsid w:val="007126A1"/>
    <w:rsid w:val="00712E20"/>
    <w:rsid w:val="00715B09"/>
    <w:rsid w:val="00717C15"/>
    <w:rsid w:val="00721C88"/>
    <w:rsid w:val="00722B89"/>
    <w:rsid w:val="007234D6"/>
    <w:rsid w:val="00724288"/>
    <w:rsid w:val="00724A55"/>
    <w:rsid w:val="007325D5"/>
    <w:rsid w:val="0073270E"/>
    <w:rsid w:val="00732D31"/>
    <w:rsid w:val="007339F0"/>
    <w:rsid w:val="00733EE8"/>
    <w:rsid w:val="0073400C"/>
    <w:rsid w:val="00734E3A"/>
    <w:rsid w:val="0073542E"/>
    <w:rsid w:val="007372C6"/>
    <w:rsid w:val="0074159A"/>
    <w:rsid w:val="007425E2"/>
    <w:rsid w:val="00744B4F"/>
    <w:rsid w:val="0074620B"/>
    <w:rsid w:val="00747532"/>
    <w:rsid w:val="007520B4"/>
    <w:rsid w:val="007525BA"/>
    <w:rsid w:val="00752D67"/>
    <w:rsid w:val="0075359E"/>
    <w:rsid w:val="00753E1E"/>
    <w:rsid w:val="0075613E"/>
    <w:rsid w:val="00771E20"/>
    <w:rsid w:val="007733D4"/>
    <w:rsid w:val="007737A7"/>
    <w:rsid w:val="00773D5A"/>
    <w:rsid w:val="00777063"/>
    <w:rsid w:val="0078350D"/>
    <w:rsid w:val="00783AB4"/>
    <w:rsid w:val="00783F4D"/>
    <w:rsid w:val="00784FB9"/>
    <w:rsid w:val="007874B2"/>
    <w:rsid w:val="00791280"/>
    <w:rsid w:val="007949F8"/>
    <w:rsid w:val="0079592C"/>
    <w:rsid w:val="00796598"/>
    <w:rsid w:val="00796AEB"/>
    <w:rsid w:val="007A0D8C"/>
    <w:rsid w:val="007A38AC"/>
    <w:rsid w:val="007A43C6"/>
    <w:rsid w:val="007A4C55"/>
    <w:rsid w:val="007A5B31"/>
    <w:rsid w:val="007A7EDD"/>
    <w:rsid w:val="007B0DEC"/>
    <w:rsid w:val="007B1E44"/>
    <w:rsid w:val="007B3130"/>
    <w:rsid w:val="007B353F"/>
    <w:rsid w:val="007B4E8A"/>
    <w:rsid w:val="007B5737"/>
    <w:rsid w:val="007B7226"/>
    <w:rsid w:val="007B73E8"/>
    <w:rsid w:val="007C162D"/>
    <w:rsid w:val="007C52E0"/>
    <w:rsid w:val="007C52FB"/>
    <w:rsid w:val="007C68EE"/>
    <w:rsid w:val="007C70CA"/>
    <w:rsid w:val="007D0264"/>
    <w:rsid w:val="007D05A0"/>
    <w:rsid w:val="007D0E8D"/>
    <w:rsid w:val="007D15BE"/>
    <w:rsid w:val="007D16D9"/>
    <w:rsid w:val="007D2189"/>
    <w:rsid w:val="007D43B7"/>
    <w:rsid w:val="007D45F8"/>
    <w:rsid w:val="007D499C"/>
    <w:rsid w:val="007D734A"/>
    <w:rsid w:val="007E0ADF"/>
    <w:rsid w:val="007E412B"/>
    <w:rsid w:val="007F078A"/>
    <w:rsid w:val="007F1892"/>
    <w:rsid w:val="007F2014"/>
    <w:rsid w:val="007F29E4"/>
    <w:rsid w:val="007F405F"/>
    <w:rsid w:val="007F553F"/>
    <w:rsid w:val="007F7241"/>
    <w:rsid w:val="00803882"/>
    <w:rsid w:val="008050F9"/>
    <w:rsid w:val="0080634E"/>
    <w:rsid w:val="00806E01"/>
    <w:rsid w:val="00810177"/>
    <w:rsid w:val="00815E96"/>
    <w:rsid w:val="00817B2F"/>
    <w:rsid w:val="008204D3"/>
    <w:rsid w:val="0082386A"/>
    <w:rsid w:val="008242A0"/>
    <w:rsid w:val="00825EC6"/>
    <w:rsid w:val="008267FD"/>
    <w:rsid w:val="00832333"/>
    <w:rsid w:val="0083521E"/>
    <w:rsid w:val="0083628E"/>
    <w:rsid w:val="00837782"/>
    <w:rsid w:val="0084146E"/>
    <w:rsid w:val="008430B9"/>
    <w:rsid w:val="00843846"/>
    <w:rsid w:val="00844698"/>
    <w:rsid w:val="00844826"/>
    <w:rsid w:val="00845069"/>
    <w:rsid w:val="008455B2"/>
    <w:rsid w:val="0084595E"/>
    <w:rsid w:val="00846E86"/>
    <w:rsid w:val="00847295"/>
    <w:rsid w:val="00850B06"/>
    <w:rsid w:val="00851749"/>
    <w:rsid w:val="00852F9B"/>
    <w:rsid w:val="00854A63"/>
    <w:rsid w:val="00855215"/>
    <w:rsid w:val="008560D2"/>
    <w:rsid w:val="00857525"/>
    <w:rsid w:val="00860A51"/>
    <w:rsid w:val="00861817"/>
    <w:rsid w:val="008619C3"/>
    <w:rsid w:val="00863276"/>
    <w:rsid w:val="00870D11"/>
    <w:rsid w:val="00872279"/>
    <w:rsid w:val="00873862"/>
    <w:rsid w:val="00874F7A"/>
    <w:rsid w:val="00877B87"/>
    <w:rsid w:val="00881E9D"/>
    <w:rsid w:val="00882953"/>
    <w:rsid w:val="00884831"/>
    <w:rsid w:val="00885694"/>
    <w:rsid w:val="00885BB0"/>
    <w:rsid w:val="00885BC3"/>
    <w:rsid w:val="0089216D"/>
    <w:rsid w:val="008928E0"/>
    <w:rsid w:val="0089390E"/>
    <w:rsid w:val="0089447C"/>
    <w:rsid w:val="008968B5"/>
    <w:rsid w:val="008A243A"/>
    <w:rsid w:val="008A2A3B"/>
    <w:rsid w:val="008A3487"/>
    <w:rsid w:val="008A36F5"/>
    <w:rsid w:val="008A6CEA"/>
    <w:rsid w:val="008A7159"/>
    <w:rsid w:val="008A7780"/>
    <w:rsid w:val="008A7CAE"/>
    <w:rsid w:val="008B139E"/>
    <w:rsid w:val="008B454F"/>
    <w:rsid w:val="008B4E41"/>
    <w:rsid w:val="008B5B97"/>
    <w:rsid w:val="008C1A8F"/>
    <w:rsid w:val="008C2D3A"/>
    <w:rsid w:val="008C43C9"/>
    <w:rsid w:val="008C45F6"/>
    <w:rsid w:val="008C4AF0"/>
    <w:rsid w:val="008C5E1A"/>
    <w:rsid w:val="008D01E0"/>
    <w:rsid w:val="008D2BA2"/>
    <w:rsid w:val="008D4FA1"/>
    <w:rsid w:val="008E08FE"/>
    <w:rsid w:val="008E7DF6"/>
    <w:rsid w:val="008F0E32"/>
    <w:rsid w:val="008F22BD"/>
    <w:rsid w:val="008F23AC"/>
    <w:rsid w:val="008F4DA6"/>
    <w:rsid w:val="008F74E9"/>
    <w:rsid w:val="008F76D6"/>
    <w:rsid w:val="008F7DD6"/>
    <w:rsid w:val="009003C7"/>
    <w:rsid w:val="00902858"/>
    <w:rsid w:val="009030EB"/>
    <w:rsid w:val="00903C42"/>
    <w:rsid w:val="00904A7E"/>
    <w:rsid w:val="00904B6C"/>
    <w:rsid w:val="0090556D"/>
    <w:rsid w:val="00906111"/>
    <w:rsid w:val="0090737E"/>
    <w:rsid w:val="009079A3"/>
    <w:rsid w:val="009079B9"/>
    <w:rsid w:val="00917CB8"/>
    <w:rsid w:val="00917EC5"/>
    <w:rsid w:val="009213DC"/>
    <w:rsid w:val="0092178F"/>
    <w:rsid w:val="009244D2"/>
    <w:rsid w:val="00924E9C"/>
    <w:rsid w:val="00925CC9"/>
    <w:rsid w:val="00930073"/>
    <w:rsid w:val="0093088E"/>
    <w:rsid w:val="00932C62"/>
    <w:rsid w:val="00940148"/>
    <w:rsid w:val="00940633"/>
    <w:rsid w:val="00940781"/>
    <w:rsid w:val="00940BB3"/>
    <w:rsid w:val="009413AC"/>
    <w:rsid w:val="009446C9"/>
    <w:rsid w:val="00946E1B"/>
    <w:rsid w:val="009472F9"/>
    <w:rsid w:val="00950EBE"/>
    <w:rsid w:val="0095218A"/>
    <w:rsid w:val="00952E35"/>
    <w:rsid w:val="00953D67"/>
    <w:rsid w:val="00956A36"/>
    <w:rsid w:val="00961D88"/>
    <w:rsid w:val="00964CC9"/>
    <w:rsid w:val="00966CAA"/>
    <w:rsid w:val="00966EEB"/>
    <w:rsid w:val="009671A1"/>
    <w:rsid w:val="00970A49"/>
    <w:rsid w:val="0097722B"/>
    <w:rsid w:val="00982611"/>
    <w:rsid w:val="00987300"/>
    <w:rsid w:val="00990263"/>
    <w:rsid w:val="00996A95"/>
    <w:rsid w:val="009A0A94"/>
    <w:rsid w:val="009A0B16"/>
    <w:rsid w:val="009A1E2F"/>
    <w:rsid w:val="009A3923"/>
    <w:rsid w:val="009A4698"/>
    <w:rsid w:val="009A4F76"/>
    <w:rsid w:val="009A4F7F"/>
    <w:rsid w:val="009B1E0F"/>
    <w:rsid w:val="009B2F58"/>
    <w:rsid w:val="009B3D2F"/>
    <w:rsid w:val="009B4DBF"/>
    <w:rsid w:val="009B5AED"/>
    <w:rsid w:val="009B6454"/>
    <w:rsid w:val="009B6506"/>
    <w:rsid w:val="009B704F"/>
    <w:rsid w:val="009C027E"/>
    <w:rsid w:val="009C4444"/>
    <w:rsid w:val="009C4659"/>
    <w:rsid w:val="009C5FBE"/>
    <w:rsid w:val="009D1631"/>
    <w:rsid w:val="009D25D8"/>
    <w:rsid w:val="009D4420"/>
    <w:rsid w:val="009D5429"/>
    <w:rsid w:val="009D6A35"/>
    <w:rsid w:val="009D7513"/>
    <w:rsid w:val="009E2A3B"/>
    <w:rsid w:val="009E2DA0"/>
    <w:rsid w:val="009E3694"/>
    <w:rsid w:val="009E405C"/>
    <w:rsid w:val="009E4232"/>
    <w:rsid w:val="009E5F50"/>
    <w:rsid w:val="009F20F9"/>
    <w:rsid w:val="009F72DA"/>
    <w:rsid w:val="009F7A7F"/>
    <w:rsid w:val="009F7B99"/>
    <w:rsid w:val="00A00F02"/>
    <w:rsid w:val="00A03946"/>
    <w:rsid w:val="00A03966"/>
    <w:rsid w:val="00A04145"/>
    <w:rsid w:val="00A07368"/>
    <w:rsid w:val="00A077E9"/>
    <w:rsid w:val="00A10305"/>
    <w:rsid w:val="00A13D3E"/>
    <w:rsid w:val="00A13D46"/>
    <w:rsid w:val="00A14545"/>
    <w:rsid w:val="00A16CEE"/>
    <w:rsid w:val="00A17EA4"/>
    <w:rsid w:val="00A20D8F"/>
    <w:rsid w:val="00A224EA"/>
    <w:rsid w:val="00A232BE"/>
    <w:rsid w:val="00A24475"/>
    <w:rsid w:val="00A26277"/>
    <w:rsid w:val="00A27197"/>
    <w:rsid w:val="00A340C0"/>
    <w:rsid w:val="00A36356"/>
    <w:rsid w:val="00A401E6"/>
    <w:rsid w:val="00A43CDA"/>
    <w:rsid w:val="00A44790"/>
    <w:rsid w:val="00A44A24"/>
    <w:rsid w:val="00A45F4A"/>
    <w:rsid w:val="00A47E0E"/>
    <w:rsid w:val="00A51151"/>
    <w:rsid w:val="00A53D37"/>
    <w:rsid w:val="00A56B81"/>
    <w:rsid w:val="00A57196"/>
    <w:rsid w:val="00A64366"/>
    <w:rsid w:val="00A653E8"/>
    <w:rsid w:val="00A66077"/>
    <w:rsid w:val="00A70DB3"/>
    <w:rsid w:val="00A7240D"/>
    <w:rsid w:val="00A72BC3"/>
    <w:rsid w:val="00A74776"/>
    <w:rsid w:val="00A74F81"/>
    <w:rsid w:val="00A75696"/>
    <w:rsid w:val="00A75AC0"/>
    <w:rsid w:val="00A76894"/>
    <w:rsid w:val="00A76A3A"/>
    <w:rsid w:val="00A779A6"/>
    <w:rsid w:val="00A8021D"/>
    <w:rsid w:val="00A80C15"/>
    <w:rsid w:val="00A81CAE"/>
    <w:rsid w:val="00A876BB"/>
    <w:rsid w:val="00A90FB8"/>
    <w:rsid w:val="00A91DDD"/>
    <w:rsid w:val="00A92DCD"/>
    <w:rsid w:val="00A940D5"/>
    <w:rsid w:val="00A94344"/>
    <w:rsid w:val="00A956BF"/>
    <w:rsid w:val="00A96439"/>
    <w:rsid w:val="00A96F3D"/>
    <w:rsid w:val="00A976F0"/>
    <w:rsid w:val="00AA22B7"/>
    <w:rsid w:val="00AA4A13"/>
    <w:rsid w:val="00AA6F3D"/>
    <w:rsid w:val="00AB1B0E"/>
    <w:rsid w:val="00AB28E0"/>
    <w:rsid w:val="00AB5DD3"/>
    <w:rsid w:val="00AB7733"/>
    <w:rsid w:val="00AC170F"/>
    <w:rsid w:val="00AC3248"/>
    <w:rsid w:val="00AD125F"/>
    <w:rsid w:val="00AD2944"/>
    <w:rsid w:val="00AD5A4D"/>
    <w:rsid w:val="00AE1660"/>
    <w:rsid w:val="00AE1F92"/>
    <w:rsid w:val="00AE4F00"/>
    <w:rsid w:val="00AF3A93"/>
    <w:rsid w:val="00AF4A3A"/>
    <w:rsid w:val="00AF510E"/>
    <w:rsid w:val="00AF6308"/>
    <w:rsid w:val="00AF6A6F"/>
    <w:rsid w:val="00AF716E"/>
    <w:rsid w:val="00AF754A"/>
    <w:rsid w:val="00B0151F"/>
    <w:rsid w:val="00B01805"/>
    <w:rsid w:val="00B03967"/>
    <w:rsid w:val="00B049B8"/>
    <w:rsid w:val="00B05A1F"/>
    <w:rsid w:val="00B10EEC"/>
    <w:rsid w:val="00B115F5"/>
    <w:rsid w:val="00B12E35"/>
    <w:rsid w:val="00B14F9E"/>
    <w:rsid w:val="00B15DF4"/>
    <w:rsid w:val="00B171FA"/>
    <w:rsid w:val="00B17C5B"/>
    <w:rsid w:val="00B21DBD"/>
    <w:rsid w:val="00B2309C"/>
    <w:rsid w:val="00B24FA0"/>
    <w:rsid w:val="00B26463"/>
    <w:rsid w:val="00B270C9"/>
    <w:rsid w:val="00B27370"/>
    <w:rsid w:val="00B32520"/>
    <w:rsid w:val="00B32988"/>
    <w:rsid w:val="00B32FE2"/>
    <w:rsid w:val="00B332FA"/>
    <w:rsid w:val="00B333B3"/>
    <w:rsid w:val="00B348B2"/>
    <w:rsid w:val="00B362B5"/>
    <w:rsid w:val="00B4446B"/>
    <w:rsid w:val="00B44F9E"/>
    <w:rsid w:val="00B47503"/>
    <w:rsid w:val="00B51275"/>
    <w:rsid w:val="00B51D52"/>
    <w:rsid w:val="00B52D85"/>
    <w:rsid w:val="00B5442A"/>
    <w:rsid w:val="00B55E22"/>
    <w:rsid w:val="00B5659B"/>
    <w:rsid w:val="00B6076E"/>
    <w:rsid w:val="00B60F2E"/>
    <w:rsid w:val="00B61269"/>
    <w:rsid w:val="00B6235B"/>
    <w:rsid w:val="00B65D05"/>
    <w:rsid w:val="00B70F9F"/>
    <w:rsid w:val="00B717AF"/>
    <w:rsid w:val="00B71E01"/>
    <w:rsid w:val="00B77134"/>
    <w:rsid w:val="00B774C3"/>
    <w:rsid w:val="00B876C4"/>
    <w:rsid w:val="00B87FF1"/>
    <w:rsid w:val="00B90CA8"/>
    <w:rsid w:val="00B95690"/>
    <w:rsid w:val="00B976DC"/>
    <w:rsid w:val="00BA0905"/>
    <w:rsid w:val="00BA7CF0"/>
    <w:rsid w:val="00BB0E47"/>
    <w:rsid w:val="00BB4840"/>
    <w:rsid w:val="00BB7130"/>
    <w:rsid w:val="00BB7456"/>
    <w:rsid w:val="00BB7950"/>
    <w:rsid w:val="00BC772E"/>
    <w:rsid w:val="00BD0A65"/>
    <w:rsid w:val="00BD2506"/>
    <w:rsid w:val="00BD3356"/>
    <w:rsid w:val="00BD3D3F"/>
    <w:rsid w:val="00BE737E"/>
    <w:rsid w:val="00BF07CD"/>
    <w:rsid w:val="00BF0C5B"/>
    <w:rsid w:val="00BF2F9C"/>
    <w:rsid w:val="00BF32EB"/>
    <w:rsid w:val="00BF337C"/>
    <w:rsid w:val="00BF4B46"/>
    <w:rsid w:val="00C06212"/>
    <w:rsid w:val="00C06606"/>
    <w:rsid w:val="00C0742D"/>
    <w:rsid w:val="00C11792"/>
    <w:rsid w:val="00C1593E"/>
    <w:rsid w:val="00C1595A"/>
    <w:rsid w:val="00C15B6E"/>
    <w:rsid w:val="00C16D13"/>
    <w:rsid w:val="00C17C34"/>
    <w:rsid w:val="00C17EF0"/>
    <w:rsid w:val="00C2024D"/>
    <w:rsid w:val="00C21458"/>
    <w:rsid w:val="00C22D4B"/>
    <w:rsid w:val="00C22D94"/>
    <w:rsid w:val="00C247C1"/>
    <w:rsid w:val="00C25426"/>
    <w:rsid w:val="00C2659B"/>
    <w:rsid w:val="00C30AB7"/>
    <w:rsid w:val="00C31DFD"/>
    <w:rsid w:val="00C34D77"/>
    <w:rsid w:val="00C3713F"/>
    <w:rsid w:val="00C406F1"/>
    <w:rsid w:val="00C42C91"/>
    <w:rsid w:val="00C44601"/>
    <w:rsid w:val="00C450BF"/>
    <w:rsid w:val="00C45B11"/>
    <w:rsid w:val="00C47A5C"/>
    <w:rsid w:val="00C47DDD"/>
    <w:rsid w:val="00C50DE8"/>
    <w:rsid w:val="00C51FAB"/>
    <w:rsid w:val="00C52642"/>
    <w:rsid w:val="00C52990"/>
    <w:rsid w:val="00C54BD6"/>
    <w:rsid w:val="00C554F9"/>
    <w:rsid w:val="00C56458"/>
    <w:rsid w:val="00C61D43"/>
    <w:rsid w:val="00C621B3"/>
    <w:rsid w:val="00C63AC1"/>
    <w:rsid w:val="00C65CFF"/>
    <w:rsid w:val="00C711A6"/>
    <w:rsid w:val="00C71C76"/>
    <w:rsid w:val="00C726D8"/>
    <w:rsid w:val="00C72B0B"/>
    <w:rsid w:val="00C747AF"/>
    <w:rsid w:val="00C75103"/>
    <w:rsid w:val="00C764E2"/>
    <w:rsid w:val="00C845FE"/>
    <w:rsid w:val="00C84617"/>
    <w:rsid w:val="00C867F9"/>
    <w:rsid w:val="00C87D82"/>
    <w:rsid w:val="00C9020A"/>
    <w:rsid w:val="00C91256"/>
    <w:rsid w:val="00C91725"/>
    <w:rsid w:val="00C93802"/>
    <w:rsid w:val="00C9783C"/>
    <w:rsid w:val="00C97BCC"/>
    <w:rsid w:val="00CA016D"/>
    <w:rsid w:val="00CA2BF2"/>
    <w:rsid w:val="00CA2C06"/>
    <w:rsid w:val="00CA48E4"/>
    <w:rsid w:val="00CA4A04"/>
    <w:rsid w:val="00CA5321"/>
    <w:rsid w:val="00CA67C9"/>
    <w:rsid w:val="00CB402D"/>
    <w:rsid w:val="00CB42B3"/>
    <w:rsid w:val="00CB554D"/>
    <w:rsid w:val="00CB568B"/>
    <w:rsid w:val="00CB6AD0"/>
    <w:rsid w:val="00CB7261"/>
    <w:rsid w:val="00CC022C"/>
    <w:rsid w:val="00CC08CD"/>
    <w:rsid w:val="00CC4628"/>
    <w:rsid w:val="00CC6270"/>
    <w:rsid w:val="00CC650E"/>
    <w:rsid w:val="00CC6C82"/>
    <w:rsid w:val="00CC7BFF"/>
    <w:rsid w:val="00CD446D"/>
    <w:rsid w:val="00CD458C"/>
    <w:rsid w:val="00CD4BAE"/>
    <w:rsid w:val="00CD5A09"/>
    <w:rsid w:val="00CD75BF"/>
    <w:rsid w:val="00CD7F96"/>
    <w:rsid w:val="00CE2C7C"/>
    <w:rsid w:val="00CE3CF9"/>
    <w:rsid w:val="00CE7F17"/>
    <w:rsid w:val="00CF0A07"/>
    <w:rsid w:val="00CF2CBB"/>
    <w:rsid w:val="00CF7585"/>
    <w:rsid w:val="00D05F2C"/>
    <w:rsid w:val="00D07BE4"/>
    <w:rsid w:val="00D11EB1"/>
    <w:rsid w:val="00D11F7C"/>
    <w:rsid w:val="00D12F87"/>
    <w:rsid w:val="00D142DD"/>
    <w:rsid w:val="00D15156"/>
    <w:rsid w:val="00D162E0"/>
    <w:rsid w:val="00D163B5"/>
    <w:rsid w:val="00D205F7"/>
    <w:rsid w:val="00D21A62"/>
    <w:rsid w:val="00D2331B"/>
    <w:rsid w:val="00D24ABA"/>
    <w:rsid w:val="00D26C1D"/>
    <w:rsid w:val="00D26D83"/>
    <w:rsid w:val="00D31CCC"/>
    <w:rsid w:val="00D359CB"/>
    <w:rsid w:val="00D41849"/>
    <w:rsid w:val="00D43EBF"/>
    <w:rsid w:val="00D43EC4"/>
    <w:rsid w:val="00D461B4"/>
    <w:rsid w:val="00D4626F"/>
    <w:rsid w:val="00D46893"/>
    <w:rsid w:val="00D479CD"/>
    <w:rsid w:val="00D51AFD"/>
    <w:rsid w:val="00D52279"/>
    <w:rsid w:val="00D523FE"/>
    <w:rsid w:val="00D60927"/>
    <w:rsid w:val="00D61925"/>
    <w:rsid w:val="00D636B9"/>
    <w:rsid w:val="00D64D83"/>
    <w:rsid w:val="00D66834"/>
    <w:rsid w:val="00D700EA"/>
    <w:rsid w:val="00D7149D"/>
    <w:rsid w:val="00D73E56"/>
    <w:rsid w:val="00D73EB5"/>
    <w:rsid w:val="00D73FA5"/>
    <w:rsid w:val="00D80805"/>
    <w:rsid w:val="00D829C9"/>
    <w:rsid w:val="00D837A0"/>
    <w:rsid w:val="00D8691F"/>
    <w:rsid w:val="00D86E0A"/>
    <w:rsid w:val="00D91FCF"/>
    <w:rsid w:val="00D938F9"/>
    <w:rsid w:val="00D95BFB"/>
    <w:rsid w:val="00D961F4"/>
    <w:rsid w:val="00D96EA6"/>
    <w:rsid w:val="00DA438A"/>
    <w:rsid w:val="00DA492D"/>
    <w:rsid w:val="00DA66D0"/>
    <w:rsid w:val="00DA7FCA"/>
    <w:rsid w:val="00DB14F0"/>
    <w:rsid w:val="00DB293F"/>
    <w:rsid w:val="00DB3858"/>
    <w:rsid w:val="00DB5518"/>
    <w:rsid w:val="00DB5F29"/>
    <w:rsid w:val="00DB609E"/>
    <w:rsid w:val="00DC13E7"/>
    <w:rsid w:val="00DC3B70"/>
    <w:rsid w:val="00DC4A4D"/>
    <w:rsid w:val="00DC67DD"/>
    <w:rsid w:val="00DD0807"/>
    <w:rsid w:val="00DD164B"/>
    <w:rsid w:val="00DD1923"/>
    <w:rsid w:val="00DD1C5D"/>
    <w:rsid w:val="00DD4EA1"/>
    <w:rsid w:val="00DE0E6C"/>
    <w:rsid w:val="00DE2D25"/>
    <w:rsid w:val="00DE6749"/>
    <w:rsid w:val="00DE7952"/>
    <w:rsid w:val="00DF0835"/>
    <w:rsid w:val="00DF20A3"/>
    <w:rsid w:val="00DF3E2F"/>
    <w:rsid w:val="00DF61F7"/>
    <w:rsid w:val="00E00280"/>
    <w:rsid w:val="00E0079C"/>
    <w:rsid w:val="00E01D79"/>
    <w:rsid w:val="00E04265"/>
    <w:rsid w:val="00E047BF"/>
    <w:rsid w:val="00E066DC"/>
    <w:rsid w:val="00E11CF2"/>
    <w:rsid w:val="00E12403"/>
    <w:rsid w:val="00E16A30"/>
    <w:rsid w:val="00E173F4"/>
    <w:rsid w:val="00E20AF7"/>
    <w:rsid w:val="00E21817"/>
    <w:rsid w:val="00E27CE5"/>
    <w:rsid w:val="00E30CA3"/>
    <w:rsid w:val="00E31D8E"/>
    <w:rsid w:val="00E32FAB"/>
    <w:rsid w:val="00E42C9C"/>
    <w:rsid w:val="00E503B0"/>
    <w:rsid w:val="00E507D6"/>
    <w:rsid w:val="00E51F3E"/>
    <w:rsid w:val="00E535B8"/>
    <w:rsid w:val="00E5625A"/>
    <w:rsid w:val="00E56F6F"/>
    <w:rsid w:val="00E602FE"/>
    <w:rsid w:val="00E60603"/>
    <w:rsid w:val="00E641CE"/>
    <w:rsid w:val="00E64DF8"/>
    <w:rsid w:val="00E70BAB"/>
    <w:rsid w:val="00E74B0A"/>
    <w:rsid w:val="00E770D8"/>
    <w:rsid w:val="00E850F5"/>
    <w:rsid w:val="00E85F84"/>
    <w:rsid w:val="00E8617E"/>
    <w:rsid w:val="00E86987"/>
    <w:rsid w:val="00E87131"/>
    <w:rsid w:val="00E87A3A"/>
    <w:rsid w:val="00E90120"/>
    <w:rsid w:val="00E978A2"/>
    <w:rsid w:val="00EA081A"/>
    <w:rsid w:val="00EA0DE4"/>
    <w:rsid w:val="00EA1919"/>
    <w:rsid w:val="00EA1AEF"/>
    <w:rsid w:val="00EA6825"/>
    <w:rsid w:val="00EA7984"/>
    <w:rsid w:val="00EB201F"/>
    <w:rsid w:val="00EB2572"/>
    <w:rsid w:val="00EB25A5"/>
    <w:rsid w:val="00EC0525"/>
    <w:rsid w:val="00EC06AF"/>
    <w:rsid w:val="00EC089D"/>
    <w:rsid w:val="00EC1847"/>
    <w:rsid w:val="00EC7A81"/>
    <w:rsid w:val="00ED189C"/>
    <w:rsid w:val="00ED2677"/>
    <w:rsid w:val="00ED33CA"/>
    <w:rsid w:val="00ED411F"/>
    <w:rsid w:val="00ED5807"/>
    <w:rsid w:val="00ED5C14"/>
    <w:rsid w:val="00EE054B"/>
    <w:rsid w:val="00EE1952"/>
    <w:rsid w:val="00EE3FA3"/>
    <w:rsid w:val="00EE52B4"/>
    <w:rsid w:val="00EE5534"/>
    <w:rsid w:val="00EF0775"/>
    <w:rsid w:val="00EF1060"/>
    <w:rsid w:val="00EF1B77"/>
    <w:rsid w:val="00EF4350"/>
    <w:rsid w:val="00EF56C8"/>
    <w:rsid w:val="00EF6E98"/>
    <w:rsid w:val="00EF7299"/>
    <w:rsid w:val="00F00864"/>
    <w:rsid w:val="00F028E9"/>
    <w:rsid w:val="00F032C9"/>
    <w:rsid w:val="00F035CF"/>
    <w:rsid w:val="00F05726"/>
    <w:rsid w:val="00F07CDB"/>
    <w:rsid w:val="00F10770"/>
    <w:rsid w:val="00F15937"/>
    <w:rsid w:val="00F16612"/>
    <w:rsid w:val="00F17E95"/>
    <w:rsid w:val="00F205CE"/>
    <w:rsid w:val="00F2285F"/>
    <w:rsid w:val="00F26406"/>
    <w:rsid w:val="00F2711B"/>
    <w:rsid w:val="00F27BFE"/>
    <w:rsid w:val="00F3181B"/>
    <w:rsid w:val="00F3416A"/>
    <w:rsid w:val="00F34373"/>
    <w:rsid w:val="00F3518F"/>
    <w:rsid w:val="00F35BA0"/>
    <w:rsid w:val="00F42678"/>
    <w:rsid w:val="00F42E82"/>
    <w:rsid w:val="00F44438"/>
    <w:rsid w:val="00F467E4"/>
    <w:rsid w:val="00F52A6D"/>
    <w:rsid w:val="00F52D2B"/>
    <w:rsid w:val="00F5380F"/>
    <w:rsid w:val="00F53AAA"/>
    <w:rsid w:val="00F53F0A"/>
    <w:rsid w:val="00F55236"/>
    <w:rsid w:val="00F56772"/>
    <w:rsid w:val="00F60946"/>
    <w:rsid w:val="00F62192"/>
    <w:rsid w:val="00F665C7"/>
    <w:rsid w:val="00F66808"/>
    <w:rsid w:val="00F668CD"/>
    <w:rsid w:val="00F668E3"/>
    <w:rsid w:val="00F67031"/>
    <w:rsid w:val="00F702F5"/>
    <w:rsid w:val="00F73F28"/>
    <w:rsid w:val="00F75645"/>
    <w:rsid w:val="00F756A8"/>
    <w:rsid w:val="00F814A8"/>
    <w:rsid w:val="00F871AC"/>
    <w:rsid w:val="00F907D2"/>
    <w:rsid w:val="00F93AA2"/>
    <w:rsid w:val="00F9414E"/>
    <w:rsid w:val="00F94421"/>
    <w:rsid w:val="00F9538D"/>
    <w:rsid w:val="00F9627A"/>
    <w:rsid w:val="00F9662F"/>
    <w:rsid w:val="00FA4B03"/>
    <w:rsid w:val="00FB0EAB"/>
    <w:rsid w:val="00FB5746"/>
    <w:rsid w:val="00FB7A26"/>
    <w:rsid w:val="00FC69F0"/>
    <w:rsid w:val="00FE0C8A"/>
    <w:rsid w:val="00FE153C"/>
    <w:rsid w:val="00FE32D2"/>
    <w:rsid w:val="00FE5008"/>
    <w:rsid w:val="00FE506C"/>
    <w:rsid w:val="00FE649D"/>
    <w:rsid w:val="00FF019E"/>
    <w:rsid w:val="00FF1B18"/>
    <w:rsid w:val="00FF2592"/>
    <w:rsid w:val="00FF3C9F"/>
    <w:rsid w:val="00FF4B2D"/>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8"/>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jpeg"/><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30" Type="http://schemas.openxmlformats.org/officeDocument/2006/relationships/image" Target="media/image26.wmf"/><Relationship Id="rId31" Type="http://schemas.openxmlformats.org/officeDocument/2006/relationships/oleObject" Target="embeddings/Microsoft_Equation1.bin"/><Relationship Id="rId32" Type="http://schemas.openxmlformats.org/officeDocument/2006/relationships/image" Target="media/image27.wmf"/><Relationship Id="rId9" Type="http://schemas.openxmlformats.org/officeDocument/2006/relationships/image" Target="media/image5.jpeg"/><Relationship Id="rId6" Type="http://schemas.openxmlformats.org/officeDocument/2006/relationships/image" Target="media/image2.wmf"/><Relationship Id="rId7" Type="http://schemas.openxmlformats.org/officeDocument/2006/relationships/image" Target="media/image3.jpeg"/><Relationship Id="rId8" Type="http://schemas.openxmlformats.org/officeDocument/2006/relationships/image" Target="media/image4.jpeg"/><Relationship Id="rId33" Type="http://schemas.openxmlformats.org/officeDocument/2006/relationships/oleObject" Target="embeddings/Microsoft_Equation2.bin"/><Relationship Id="rId34" Type="http://schemas.openxmlformats.org/officeDocument/2006/relationships/image" Target="media/image28.wmf"/><Relationship Id="rId35" Type="http://schemas.openxmlformats.org/officeDocument/2006/relationships/image" Target="media/image29.wmf"/><Relationship Id="rId36" Type="http://schemas.openxmlformats.org/officeDocument/2006/relationships/image" Target="media/image30.wmf"/><Relationship Id="rId10" Type="http://schemas.openxmlformats.org/officeDocument/2006/relationships/image" Target="media/image6.jpeg"/><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21</Pages>
  <Words>6256</Words>
  <Characters>35662</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Jason McNeill</cp:lastModifiedBy>
  <cp:revision>9</cp:revision>
  <dcterms:created xsi:type="dcterms:W3CDTF">2015-04-17T21:34:00Z</dcterms:created>
  <dcterms:modified xsi:type="dcterms:W3CDTF">2015-05-07T04:11:00Z</dcterms:modified>
</cp:coreProperties>
</file>