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9A4F76">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bookmarkStart w:id="0" w:name="_GoBack"/>
      <w:bookmarkEnd w:id="0"/>
    </w:p>
    <w:p w14:paraId="18F77870" w14:textId="77777777" w:rsidR="00FC69F0" w:rsidRPr="00FC69F0" w:rsidRDefault="00FC69F0"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7B0B251" w:rsidR="00A27197" w:rsidRPr="00A27197" w:rsidRDefault="00A27197" w:rsidP="009A4F76">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r w:rsidR="0074159A">
        <w:rPr>
          <w:rFonts w:ascii="Times New Roman" w:hAnsi="Times New Roman" w:cs="Times New Roman"/>
          <w:sz w:val="24"/>
          <w:szCs w:val="24"/>
        </w:rPr>
        <w:t>Exciton Transport</w:t>
      </w:r>
      <w:r w:rsidR="004B7D6E">
        <w:rPr>
          <w:rFonts w:ascii="Times New Roman" w:hAnsi="Times New Roman" w:cs="Times New Roman"/>
          <w:sz w:val="24"/>
          <w:szCs w:val="24"/>
        </w:rPr>
        <w:t>,</w:t>
      </w:r>
      <w:r w:rsidR="00987300">
        <w:rPr>
          <w:rFonts w:ascii="Times New Roman" w:hAnsi="Times New Roman" w:cs="Times New Roman"/>
          <w:sz w:val="24"/>
          <w:szCs w:val="24"/>
        </w:rPr>
        <w:t xml:space="preserve">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(i.e., exciton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5B76EF">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9.9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5B76EF">
        <w:rPr>
          <w:rFonts w:ascii="Times New Roman" w:hAnsi="Times New Roman" w:cs="Times New Roman"/>
          <w:position w:val="-4"/>
          <w:sz w:val="24"/>
          <w:szCs w:val="24"/>
        </w:rPr>
        <w:pict w14:anchorId="7C63AB80">
          <v:shape id="_x0000_i1026" type="#_x0000_t75" style="width:9.95pt;height:9.9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 xml:space="preserve">support quenching by defects or </w:t>
      </w:r>
      <w:proofErr w:type="spellStart"/>
      <w:r w:rsidR="009A0A94">
        <w:rPr>
          <w:rFonts w:ascii="Times New Roman" w:hAnsi="Times New Roman" w:cs="Times New Roman"/>
          <w:sz w:val="24"/>
          <w:szCs w:val="24"/>
        </w:rPr>
        <w:t>polarons</w:t>
      </w:r>
      <w:proofErr w:type="spellEnd"/>
      <w:r w:rsidR="009A0A94">
        <w:rPr>
          <w:rFonts w:ascii="Times New Roman" w:hAnsi="Times New Roman" w:cs="Times New Roman"/>
          <w:sz w:val="24"/>
          <w:szCs w:val="24"/>
        </w:rPr>
        <w:t>,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50E12799" w14:textId="77777777" w:rsidR="00E04265" w:rsidRDefault="00E04265" w:rsidP="004573EE">
      <w:pPr>
        <w:pStyle w:val="NoSpacing"/>
        <w:jc w:val="both"/>
        <w:rPr>
          <w:rFonts w:ascii="Times New Roman" w:hAnsi="Times New Roman" w:cs="Times New Roman"/>
          <w:sz w:val="24"/>
          <w:szCs w:val="24"/>
        </w:rPr>
      </w:pP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542671EB" w:rsidR="009E3694" w:rsidRPr="00AC170F" w:rsidRDefault="00F9414E" w:rsidP="007027AA">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357040">
        <w:rPr>
          <w:rFonts w:ascii="Times New Roman" w:hAnsi="Times New Roman" w:cs="Times New Roman"/>
          <w:sz w:val="24"/>
          <w:szCs w:val="24"/>
        </w:rPr>
        <w:t>{</w:t>
      </w:r>
      <w:proofErr w:type="spellStart"/>
      <w:r w:rsidR="00357040">
        <w:rPr>
          <w:rFonts w:ascii="Times New Roman" w:hAnsi="Times New Roman" w:cs="Times New Roman"/>
          <w:sz w:val="24"/>
          <w:szCs w:val="24"/>
        </w:rPr>
        <w:t>Dennler</w:t>
      </w:r>
      <w:proofErr w:type="spellEnd"/>
      <w:r w:rsidR="00357040">
        <w:rPr>
          <w:rFonts w:ascii="Times New Roman" w:hAnsi="Times New Roman" w:cs="Times New Roman"/>
          <w:sz w:val="24"/>
          <w:szCs w:val="24"/>
        </w:rPr>
        <w:t>, 2005 #10;Yim, 2008 #56}</w:t>
      </w:r>
      <w:r w:rsidR="007F4743">
        <w:rPr>
          <w:rFonts w:ascii="Times New Roman" w:hAnsi="Times New Roman" w:cs="Times New Roman"/>
          <w:sz w:val="24"/>
          <w:szCs w:val="24"/>
        </w:rPr>
        <w:t>{Cao, 1999 #192}</w:t>
      </w:r>
      <w:r w:rsidR="00724A55">
        <w:rPr>
          <w:rFonts w:ascii="Times New Roman" w:hAnsi="Times New Roman" w:cs="Times New Roman"/>
          <w:sz w:val="24"/>
          <w:szCs w:val="24"/>
        </w:rPr>
        <w:t xml:space="preserve"> Conjugated polymer nanoparticles (CPNs) </w:t>
      </w:r>
      <w:r w:rsidR="00DA438A">
        <w:rPr>
          <w:rFonts w:ascii="Times New Roman" w:hAnsi="Times New Roman" w:cs="Times New Roman"/>
          <w:sz w:val="24"/>
          <w:szCs w:val="24"/>
        </w:rPr>
        <w:t>are well-suited to a variety of fluorescence-based imaging and sensing applications, exhibiting</w:t>
      </w:r>
      <w:r w:rsidR="00724A55">
        <w:rPr>
          <w:rFonts w:ascii="Times New Roman" w:hAnsi="Times New Roman" w:cs="Times New Roman"/>
          <w:sz w:val="24"/>
          <w:szCs w:val="24"/>
        </w:rPr>
        <w:t xml:space="preserve"> extraordinary figures of merit, </w:t>
      </w:r>
      <w:r w:rsidR="00DA438A">
        <w:rPr>
          <w:rFonts w:ascii="Times New Roman" w:hAnsi="Times New Roman" w:cs="Times New Roman"/>
          <w:sz w:val="24"/>
          <w:szCs w:val="24"/>
        </w:rPr>
        <w:t xml:space="preserve">including exceptional brightness and </w:t>
      </w:r>
      <w:proofErr w:type="spellStart"/>
      <w:r w:rsidR="00DA438A">
        <w:rPr>
          <w:rFonts w:ascii="Times New Roman" w:hAnsi="Times New Roman" w:cs="Times New Roman"/>
          <w:sz w:val="24"/>
          <w:szCs w:val="24"/>
        </w:rPr>
        <w:t>photostability</w:t>
      </w:r>
      <w:proofErr w:type="spellEnd"/>
      <w:r w:rsidR="00DA438A">
        <w:rPr>
          <w:rFonts w:ascii="Times New Roman" w:hAnsi="Times New Roman" w:cs="Times New Roman"/>
          <w:sz w:val="24"/>
          <w:szCs w:val="24"/>
        </w:rPr>
        <w:t>.</w:t>
      </w:r>
      <w:r w:rsidR="007F4743">
        <w:rPr>
          <w:rFonts w:ascii="Times New Roman" w:hAnsi="Times New Roman" w:cs="Times New Roman"/>
          <w:sz w:val="24"/>
          <w:szCs w:val="24"/>
        </w:rPr>
        <w:t>{Wu, 2008 #51}{Wang, 2013 #61}</w:t>
      </w:r>
      <w:r w:rsidR="00AF6308">
        <w:rPr>
          <w:rFonts w:ascii="Times New Roman" w:hAnsi="Times New Roman" w:cs="Times New Roman"/>
          <w:sz w:val="24"/>
          <w:szCs w:val="24"/>
        </w:rPr>
        <w:t xml:space="preserve"> </w:t>
      </w:r>
      <w:r w:rsidR="00DA438A">
        <w:rPr>
          <w:rFonts w:ascii="Times New Roman" w:hAnsi="Times New Roman" w:cs="Times New Roman"/>
          <w:sz w:val="24"/>
          <w:szCs w:val="24"/>
        </w:rPr>
        <w:t>Furthermore, highly efficient energy transfer</w:t>
      </w:r>
      <w:r w:rsidR="003251F7">
        <w:rPr>
          <w:rFonts w:ascii="Times New Roman" w:hAnsi="Times New Roman" w:cs="Times New Roman"/>
          <w:sz w:val="24"/>
          <w:szCs w:val="24"/>
        </w:rPr>
        <w:t xml:space="preserve"> to dyes or other polymers incorporated in the particle or </w:t>
      </w:r>
      <w:r w:rsidR="00E04265">
        <w:rPr>
          <w:rFonts w:ascii="Times New Roman" w:hAnsi="Times New Roman" w:cs="Times New Roman"/>
          <w:sz w:val="24"/>
          <w:szCs w:val="24"/>
        </w:rPr>
        <w:t>to dyes covalently linked</w:t>
      </w:r>
      <w:r w:rsidR="003251F7">
        <w:rPr>
          <w:rFonts w:ascii="Times New Roman" w:hAnsi="Times New Roman" w:cs="Times New Roman"/>
          <w:sz w:val="24"/>
          <w:szCs w:val="24"/>
        </w:rPr>
        <w:t xml:space="preserve"> to the surface can provide red-shifted emission and sensors</w:t>
      </w:r>
      <w:r w:rsidR="00724A55">
        <w:rPr>
          <w:rFonts w:ascii="Times New Roman" w:hAnsi="Times New Roman" w:cs="Times New Roman"/>
          <w:sz w:val="24"/>
          <w:szCs w:val="24"/>
        </w:rPr>
        <w:t>.</w:t>
      </w:r>
      <w:r w:rsidR="007F4743">
        <w:rPr>
          <w:rFonts w:ascii="Times New Roman" w:hAnsi="Times New Roman" w:cs="Times New Roman"/>
          <w:sz w:val="24"/>
          <w:szCs w:val="24"/>
        </w:rPr>
        <w:t>{Wu, 2006 #48}{Groff, 2013 #60}{Wang, 2013 #61}</w:t>
      </w:r>
      <w:r w:rsidR="00A30841">
        <w:rPr>
          <w:rFonts w:ascii="Times New Roman" w:hAnsi="Times New Roman" w:cs="Times New Roman"/>
          <w:sz w:val="24"/>
          <w:szCs w:val="24"/>
        </w:rPr>
        <w:t>{Chan, 2011 #80}</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7D739C">
        <w:rPr>
          <w:rFonts w:ascii="Times New Roman" w:hAnsi="Times New Roman" w:cs="Times New Roman"/>
          <w:sz w:val="24"/>
          <w:szCs w:val="24"/>
        </w:rPr>
        <w:t>{Schaller, 2002 #98}{</w:t>
      </w:r>
      <w:r w:rsidR="00357040">
        <w:rPr>
          <w:rFonts w:ascii="Times New Roman" w:hAnsi="Times New Roman" w:cs="Times New Roman"/>
          <w:sz w:val="24"/>
          <w:szCs w:val="24"/>
        </w:rPr>
        <w:t>Wu, 2008 #99}</w:t>
      </w:r>
      <w:r w:rsidR="0039451C">
        <w:rPr>
          <w:rFonts w:ascii="Times New Roman" w:hAnsi="Times New Roman" w:cs="Times New Roman"/>
          <w:sz w:val="24"/>
          <w:szCs w:val="24"/>
        </w:rPr>
        <w:t xml:space="preserve"> </w:t>
      </w:r>
      <w:r w:rsidR="003251F7">
        <w:rPr>
          <w:rFonts w:ascii="Times New Roman" w:hAnsi="Times New Roman" w:cs="Times New Roman"/>
          <w:sz w:val="24"/>
          <w:szCs w:val="24"/>
        </w:rPr>
        <w:t xml:space="preserve">The complex, nanoscale, </w:t>
      </w:r>
      <w:proofErr w:type="spellStart"/>
      <w:r w:rsidR="003251F7">
        <w:rPr>
          <w:rFonts w:ascii="Times New Roman" w:hAnsi="Times New Roman" w:cs="Times New Roman"/>
          <w:sz w:val="24"/>
          <w:szCs w:val="24"/>
        </w:rPr>
        <w:t>multichromophoric</w:t>
      </w:r>
      <w:proofErr w:type="spellEnd"/>
      <w:r w:rsidR="003251F7">
        <w:rPr>
          <w:rFonts w:ascii="Times New Roman" w:hAnsi="Times New Roman" w:cs="Times New Roman"/>
          <w:sz w:val="24"/>
          <w:szCs w:val="24"/>
        </w:rPr>
        <w:t xml:space="preserve"> nature of CPNs can give rise to a number of transient and persistent species interacting with the excited state including H- or J-</w:t>
      </w:r>
      <w:r w:rsidR="00161558">
        <w:rPr>
          <w:rFonts w:ascii="Times New Roman" w:hAnsi="Times New Roman" w:cs="Times New Roman"/>
          <w:sz w:val="24"/>
          <w:szCs w:val="24"/>
        </w:rPr>
        <w:t xml:space="preserve">aggregates, </w:t>
      </w:r>
      <w:r w:rsidR="003251F7">
        <w:rPr>
          <w:rFonts w:ascii="Times New Roman" w:hAnsi="Times New Roman" w:cs="Times New Roman"/>
          <w:sz w:val="24"/>
          <w:szCs w:val="24"/>
        </w:rPr>
        <w:t xml:space="preserve">excimers, and </w:t>
      </w:r>
      <w:proofErr w:type="spellStart"/>
      <w:r w:rsidR="003251F7">
        <w:rPr>
          <w:rFonts w:ascii="Times New Roman" w:hAnsi="Times New Roman" w:cs="Times New Roman"/>
          <w:sz w:val="24"/>
          <w:szCs w:val="24"/>
        </w:rPr>
        <w:t>exciplexes</w:t>
      </w:r>
      <w:proofErr w:type="spellEnd"/>
      <w:r w:rsidR="00FC28E5">
        <w:rPr>
          <w:rFonts w:ascii="Times New Roman" w:hAnsi="Times New Roman" w:cs="Times New Roman"/>
          <w:sz w:val="24"/>
          <w:szCs w:val="24"/>
        </w:rPr>
        <w:t>.{Nguyen, 1999 #96}{</w:t>
      </w:r>
      <w:proofErr w:type="spellStart"/>
      <w:r w:rsidR="00FC28E5">
        <w:rPr>
          <w:rFonts w:ascii="Times New Roman" w:hAnsi="Times New Roman" w:cs="Times New Roman"/>
          <w:sz w:val="24"/>
          <w:szCs w:val="24"/>
        </w:rPr>
        <w:t>Jenekhe</w:t>
      </w:r>
      <w:proofErr w:type="spellEnd"/>
      <w:r w:rsidR="00FC28E5">
        <w:rPr>
          <w:rFonts w:ascii="Times New Roman" w:hAnsi="Times New Roman" w:cs="Times New Roman"/>
          <w:sz w:val="24"/>
          <w:szCs w:val="24"/>
        </w:rPr>
        <w:t>, 1994 #183}{</w:t>
      </w:r>
      <w:proofErr w:type="spellStart"/>
      <w:r w:rsidR="00FC28E5">
        <w:rPr>
          <w:rFonts w:ascii="Times New Roman" w:hAnsi="Times New Roman" w:cs="Times New Roman"/>
          <w:sz w:val="24"/>
          <w:szCs w:val="24"/>
        </w:rPr>
        <w:t>Wurthner</w:t>
      </w:r>
      <w:proofErr w:type="spellEnd"/>
      <w:r w:rsidR="00FC28E5">
        <w:rPr>
          <w:rFonts w:ascii="Times New Roman" w:hAnsi="Times New Roman" w:cs="Times New Roman"/>
          <w:sz w:val="24"/>
          <w:szCs w:val="24"/>
        </w:rPr>
        <w:t>, 2011 #140}</w:t>
      </w:r>
      <w:r w:rsidR="003251F7">
        <w:rPr>
          <w:rFonts w:ascii="Times New Roman" w:hAnsi="Times New Roman" w:cs="Times New Roman"/>
          <w:sz w:val="24"/>
          <w:szCs w:val="24"/>
        </w:rPr>
        <w:t xml:space="preserve"> Furthermore,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D96EA6">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r w:rsidR="0039451C">
        <w:rPr>
          <w:rFonts w:ascii="Times New Roman" w:hAnsi="Times New Roman" w:cs="Times New Roman"/>
          <w:sz w:val="24"/>
          <w:szCs w:val="24"/>
        </w:rPr>
        <w:t xml:space="preserve">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D96EA6">
        <w:rPr>
          <w:rFonts w:ascii="Times New Roman" w:hAnsi="Times New Roman" w:cs="Times New Roman"/>
          <w:sz w:val="24"/>
          <w:szCs w:val="24"/>
        </w:rPr>
        <w:t>, and incorporated dyes</w:t>
      </w:r>
      <w:r w:rsidR="007874B2">
        <w:rPr>
          <w:rFonts w:ascii="Times New Roman" w:hAnsi="Times New Roman" w:cs="Times New Roman"/>
          <w:sz w:val="24"/>
          <w:szCs w:val="24"/>
        </w:rPr>
        <w:t xml:space="preserve"> </w:t>
      </w:r>
      <w:r w:rsidR="00D96EA6">
        <w:rPr>
          <w:rFonts w:ascii="Times New Roman" w:hAnsi="Times New Roman" w:cs="Times New Roman"/>
          <w:sz w:val="24"/>
          <w:szCs w:val="24"/>
        </w:rPr>
        <w:t>can have significant effects on fluorescence properties</w:t>
      </w:r>
      <w:r w:rsidR="000B6459">
        <w:rPr>
          <w:rFonts w:ascii="Times New Roman" w:hAnsi="Times New Roman" w:cs="Times New Roman"/>
          <w:sz w:val="24"/>
          <w:szCs w:val="24"/>
        </w:rPr>
        <w:t>.</w:t>
      </w:r>
      <w:r w:rsidR="00FC28E5">
        <w:rPr>
          <w:rFonts w:ascii="Times New Roman" w:hAnsi="Times New Roman" w:cs="Times New Roman"/>
          <w:sz w:val="24"/>
          <w:szCs w:val="24"/>
        </w:rPr>
        <w:t>{</w:t>
      </w:r>
      <w:proofErr w:type="spellStart"/>
      <w:r w:rsidR="00FC28E5">
        <w:rPr>
          <w:rFonts w:ascii="Times New Roman" w:hAnsi="Times New Roman" w:cs="Times New Roman"/>
          <w:sz w:val="24"/>
          <w:szCs w:val="24"/>
        </w:rPr>
        <w:t>Hintschich</w:t>
      </w:r>
      <w:proofErr w:type="spellEnd"/>
      <w:r w:rsidR="00FC28E5">
        <w:rPr>
          <w:rFonts w:ascii="Times New Roman" w:hAnsi="Times New Roman" w:cs="Times New Roman"/>
          <w:sz w:val="24"/>
          <w:szCs w:val="24"/>
        </w:rPr>
        <w:t xml:space="preserve">, 2003 #19}{Yu, 2004 #171}{Lyons, 2005 #28}{Wu, 2008 #49}{Yu, 2012 #58} </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In addition,</w:t>
      </w:r>
      <w:r w:rsidR="000E1712">
        <w:rPr>
          <w:rFonts w:ascii="Times New Roman" w:hAnsi="Times New Roman" w:cs="Times New Roman"/>
          <w:sz w:val="24"/>
          <w:szCs w:val="24"/>
        </w:rPr>
        <w:t xml:space="preserve"> energy transfer</w:t>
      </w:r>
      <w:r w:rsidR="002417FF">
        <w:rPr>
          <w:rFonts w:ascii="Times New Roman" w:hAnsi="Times New Roman" w:cs="Times New Roman"/>
          <w:sz w:val="24"/>
          <w:szCs w:val="24"/>
        </w:rPr>
        <w:t xml:space="preserve"> between </w:t>
      </w:r>
      <w:r w:rsidR="00DB5518">
        <w:rPr>
          <w:rFonts w:ascii="Times New Roman" w:hAnsi="Times New Roman" w:cs="Times New Roman"/>
          <w:sz w:val="24"/>
          <w:szCs w:val="24"/>
        </w:rPr>
        <w:t xml:space="preserve">like </w:t>
      </w:r>
      <w:r w:rsidR="00B95690">
        <w:rPr>
          <w:rFonts w:ascii="Times New Roman" w:hAnsi="Times New Roman" w:cs="Times New Roman"/>
          <w:sz w:val="24"/>
          <w:szCs w:val="24"/>
        </w:rPr>
        <w:t xml:space="preserve">conjugated polymer chromophores (i.e., </w:t>
      </w:r>
      <w:r w:rsidR="003161DC">
        <w:rPr>
          <w:rFonts w:ascii="Times New Roman" w:hAnsi="Times New Roman" w:cs="Times New Roman"/>
          <w:sz w:val="24"/>
          <w:szCs w:val="24"/>
        </w:rPr>
        <w:t xml:space="preserve">exciton diffusion) </w:t>
      </w:r>
      <w:r w:rsidR="00B95690">
        <w:rPr>
          <w:rFonts w:ascii="Times New Roman" w:hAnsi="Times New Roman" w:cs="Times New Roman"/>
          <w:sz w:val="24"/>
          <w:szCs w:val="24"/>
        </w:rPr>
        <w:t xml:space="preserve">can </w:t>
      </w:r>
      <w:r w:rsidR="00D96EA6">
        <w:rPr>
          <w:rFonts w:ascii="Times New Roman" w:hAnsi="Times New Roman" w:cs="Times New Roman"/>
          <w:sz w:val="24"/>
          <w:szCs w:val="24"/>
        </w:rPr>
        <w:t xml:space="preserve">result in a cascade of multiple energy transfer events, </w:t>
      </w:r>
      <w:r w:rsidR="00B95690">
        <w:rPr>
          <w:rFonts w:ascii="Times New Roman" w:hAnsi="Times New Roman" w:cs="Times New Roman"/>
          <w:sz w:val="24"/>
          <w:szCs w:val="24"/>
        </w:rPr>
        <w:t>greatly amplify</w:t>
      </w:r>
      <w:r w:rsidR="00D96EA6">
        <w:rPr>
          <w:rFonts w:ascii="Times New Roman" w:hAnsi="Times New Roman" w:cs="Times New Roman"/>
          <w:sz w:val="24"/>
          <w:szCs w:val="24"/>
        </w:rPr>
        <w:t>ing</w:t>
      </w:r>
      <w:r w:rsidR="00B95690">
        <w:rPr>
          <w:rFonts w:ascii="Times New Roman" w:hAnsi="Times New Roman" w:cs="Times New Roman"/>
          <w:sz w:val="24"/>
          <w:szCs w:val="24"/>
        </w:rPr>
        <w:t xml:space="preserve"> </w:t>
      </w:r>
      <w:r w:rsidR="00D96EA6">
        <w:rPr>
          <w:rFonts w:ascii="Times New Roman" w:hAnsi="Times New Roman" w:cs="Times New Roman"/>
          <w:sz w:val="24"/>
          <w:szCs w:val="24"/>
        </w:rPr>
        <w:t>the</w:t>
      </w:r>
      <w:r w:rsidR="00FC28E5">
        <w:rPr>
          <w:rFonts w:ascii="Times New Roman" w:hAnsi="Times New Roman" w:cs="Times New Roman"/>
          <w:sz w:val="24"/>
          <w:szCs w:val="24"/>
        </w:rPr>
        <w:t xml:space="preserve"> effects of these species.{Scholes, 2006 #36}{Kasha, 1963 #186}{</w:t>
      </w:r>
      <w:proofErr w:type="spellStart"/>
      <w:r w:rsidR="00FC28E5">
        <w:rPr>
          <w:rFonts w:ascii="Times New Roman" w:hAnsi="Times New Roman" w:cs="Times New Roman"/>
          <w:sz w:val="24"/>
          <w:szCs w:val="24"/>
        </w:rPr>
        <w:t>Mikhnenko</w:t>
      </w:r>
      <w:proofErr w:type="spellEnd"/>
      <w:r w:rsidR="00FC28E5">
        <w:rPr>
          <w:rFonts w:ascii="Times New Roman" w:hAnsi="Times New Roman" w:cs="Times New Roman"/>
          <w:sz w:val="24"/>
          <w:szCs w:val="24"/>
        </w:rPr>
        <w:t>, 2015 #195}</w:t>
      </w:r>
      <w:r w:rsidR="00F205C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357040">
        <w:rPr>
          <w:rFonts w:ascii="Times New Roman" w:hAnsi="Times New Roman" w:cs="Times New Roman"/>
          <w:sz w:val="24"/>
          <w:szCs w:val="24"/>
        </w:rPr>
        <w:t>{Groff, 2013 #60}</w:t>
      </w:r>
    </w:p>
    <w:p w14:paraId="4B9083E9" w14:textId="089BADA8" w:rsidR="00B55E22" w:rsidRPr="00773D5A" w:rsidRDefault="00DF3E2F" w:rsidP="007027AA">
      <w:pPr>
        <w:pStyle w:val="NoSpacing"/>
        <w:spacing w:line="480" w:lineRule="auto"/>
        <w:ind w:firstLine="720"/>
        <w:jc w:val="both"/>
        <w:rPr>
          <w:rFonts w:ascii="Times New Roman" w:hAnsi="Times New Roman" w:cs="Times New Roman"/>
          <w:sz w:val="24"/>
          <w:szCs w:val="24"/>
          <w:highlight w:val="yellow"/>
        </w:rPr>
      </w:pPr>
      <w:r>
        <w:rPr>
          <w:rFonts w:ascii="Times New Roman" w:hAnsi="Times New Roman" w:cs="Times New Roman"/>
          <w:sz w:val="24"/>
          <w:szCs w:val="24"/>
        </w:rPr>
        <w:lastRenderedPageBreak/>
        <w:t>Here, we investigate the effects of solvent-in</w:t>
      </w:r>
      <w:r w:rsidR="00DA438A">
        <w:rPr>
          <w:rFonts w:ascii="Times New Roman" w:hAnsi="Times New Roman" w:cs="Times New Roman"/>
          <w:sz w:val="24"/>
          <w:szCs w:val="24"/>
        </w:rPr>
        <w:t>duced swelling on the excited state dynamics</w:t>
      </w:r>
      <w:r w:rsidR="00F205CE">
        <w:rPr>
          <w:rFonts w:ascii="Times New Roman" w:hAnsi="Times New Roman" w:cs="Times New Roman"/>
          <w:sz w:val="24"/>
          <w:szCs w:val="24"/>
        </w:rPr>
        <w:t xml:space="preserve"> in CPNs,</w:t>
      </w:r>
      <w:r w:rsidR="00B47503">
        <w:rPr>
          <w:rFonts w:ascii="Times New Roman" w:hAnsi="Times New Roman" w:cs="Times New Roman"/>
          <w:sz w:val="24"/>
          <w:szCs w:val="24"/>
        </w:rPr>
        <w:t xml:space="preserve"> </w:t>
      </w:r>
      <w:r w:rsidR="00DB5518">
        <w:rPr>
          <w:rFonts w:ascii="Times New Roman" w:hAnsi="Times New Roman" w:cs="Times New Roman"/>
          <w:sz w:val="24"/>
          <w:szCs w:val="24"/>
        </w:rPr>
        <w:t xml:space="preserve">using </w:t>
      </w:r>
      <w:r>
        <w:rPr>
          <w:rFonts w:ascii="Times New Roman" w:hAnsi="Times New Roman" w:cs="Times New Roman"/>
          <w:sz w:val="24"/>
          <w:szCs w:val="24"/>
        </w:rPr>
        <w:t xml:space="preserve">steady-state and time-resolved </w:t>
      </w:r>
      <w:r w:rsidR="005D199F">
        <w:rPr>
          <w:rFonts w:ascii="Times New Roman" w:hAnsi="Times New Roman" w:cs="Times New Roman"/>
          <w:sz w:val="24"/>
          <w:szCs w:val="24"/>
        </w:rPr>
        <w:t>fluorescence spectroscopy</w:t>
      </w:r>
      <w:r w:rsidR="00DB5518">
        <w:rPr>
          <w:rFonts w:ascii="Times New Roman" w:hAnsi="Times New Roman" w:cs="Times New Roman"/>
          <w:sz w:val="24"/>
          <w:szCs w:val="24"/>
        </w:rPr>
        <w:t xml:space="preserve"> to develop and test</w:t>
      </w:r>
      <w:r w:rsidR="00F205CE">
        <w:rPr>
          <w:rFonts w:ascii="Times New Roman" w:hAnsi="Times New Roman" w:cs="Times New Roman"/>
          <w:sz w:val="24"/>
          <w:szCs w:val="24"/>
        </w:rPr>
        <w:t xml:space="preserve"> </w:t>
      </w:r>
      <w:r w:rsidR="00DB5518">
        <w:rPr>
          <w:rFonts w:ascii="Times New Roman" w:hAnsi="Times New Roman" w:cs="Times New Roman"/>
          <w:sz w:val="24"/>
          <w:szCs w:val="24"/>
        </w:rPr>
        <w:t xml:space="preserve">a </w:t>
      </w:r>
      <w:r w:rsidR="00F205CE">
        <w:rPr>
          <w:rFonts w:ascii="Times New Roman" w:hAnsi="Times New Roman" w:cs="Times New Roman"/>
          <w:sz w:val="24"/>
          <w:szCs w:val="24"/>
        </w:rPr>
        <w:t>multiple energy transfer model</w:t>
      </w:r>
      <w:r w:rsidR="00DA438A">
        <w:rPr>
          <w:rFonts w:ascii="Times New Roman" w:hAnsi="Times New Roman" w:cs="Times New Roman"/>
          <w:sz w:val="24"/>
          <w:szCs w:val="24"/>
        </w:rPr>
        <w:t xml:space="preserve"> and thus gain a clearer picture</w:t>
      </w:r>
      <w:r w:rsidR="00DB5518">
        <w:rPr>
          <w:rFonts w:ascii="Times New Roman" w:hAnsi="Times New Roman" w:cs="Times New Roman"/>
          <w:sz w:val="24"/>
          <w:szCs w:val="24"/>
        </w:rPr>
        <w:t xml:space="preserve"> of the interplay of the various </w:t>
      </w:r>
      <w:r w:rsidR="00DA438A">
        <w:rPr>
          <w:rFonts w:ascii="Times New Roman" w:hAnsi="Times New Roman" w:cs="Times New Roman"/>
          <w:sz w:val="24"/>
          <w:szCs w:val="24"/>
        </w:rPr>
        <w:t xml:space="preserve">species and </w:t>
      </w:r>
      <w:r w:rsidR="00DB5518">
        <w:rPr>
          <w:rFonts w:ascii="Times New Roman" w:hAnsi="Times New Roman" w:cs="Times New Roman"/>
          <w:sz w:val="24"/>
          <w:szCs w:val="24"/>
        </w:rPr>
        <w:t xml:space="preserve">processes that determine the optical properties </w:t>
      </w:r>
      <w:r w:rsidR="00D96EA6">
        <w:rPr>
          <w:rFonts w:ascii="Times New Roman" w:hAnsi="Times New Roman" w:cs="Times New Roman"/>
          <w:sz w:val="24"/>
          <w:szCs w:val="24"/>
        </w:rPr>
        <w:t xml:space="preserve">and excited state dynamics </w:t>
      </w:r>
      <w:r w:rsidR="00DB5518">
        <w:rPr>
          <w:rFonts w:ascii="Times New Roman" w:hAnsi="Times New Roman" w:cs="Times New Roman"/>
          <w:sz w:val="24"/>
          <w:szCs w:val="24"/>
        </w:rPr>
        <w:t>of CPNs</w:t>
      </w:r>
      <w:r>
        <w:rPr>
          <w:rFonts w:ascii="Times New Roman" w:hAnsi="Times New Roman" w:cs="Times New Roman"/>
          <w:sz w:val="24"/>
          <w:szCs w:val="24"/>
        </w:rPr>
        <w:t>.</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e length scale of exciton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357040">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 xml:space="preserve">By </w:t>
      </w:r>
      <w:r w:rsidR="00F205CE">
        <w:rPr>
          <w:rFonts w:ascii="Times New Roman" w:hAnsi="Times New Roman" w:cs="Times New Roman"/>
          <w:sz w:val="24"/>
          <w:szCs w:val="24"/>
        </w:rPr>
        <w:t>fitting parameters of a multiple energy transfer model to</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we </w:t>
      </w:r>
      <w:r w:rsidR="00231F52">
        <w:rPr>
          <w:rFonts w:ascii="Times New Roman" w:hAnsi="Times New Roman" w:cs="Times New Roman"/>
          <w:sz w:val="24"/>
          <w:szCs w:val="24"/>
        </w:rPr>
        <w:t>obtain an approximate picture of the characteristic leng</w:t>
      </w:r>
      <w:r w:rsidR="00F205CE">
        <w:rPr>
          <w:rFonts w:ascii="Times New Roman" w:hAnsi="Times New Roman" w:cs="Times New Roman"/>
          <w:sz w:val="24"/>
          <w:szCs w:val="24"/>
        </w:rPr>
        <w:t xml:space="preserve">th scale and time scale of energy </w:t>
      </w:r>
      <w:r w:rsidR="00231F52">
        <w:rPr>
          <w:rFonts w:ascii="Times New Roman" w:hAnsi="Times New Roman" w:cs="Times New Roman"/>
          <w:sz w:val="24"/>
          <w:szCs w:val="24"/>
        </w:rPr>
        <w:t>transfer</w:t>
      </w:r>
      <w:r w:rsidR="00F205CE">
        <w:rPr>
          <w:rFonts w:ascii="Times New Roman" w:hAnsi="Times New Roman" w:cs="Times New Roman"/>
          <w:sz w:val="24"/>
          <w:szCs w:val="24"/>
        </w:rPr>
        <w:t xml:space="preserve"> between pairs of like chromophores (homo-transfer)</w:t>
      </w:r>
      <w:r w:rsidR="00E04265">
        <w:rPr>
          <w:rFonts w:ascii="Times New Roman" w:hAnsi="Times New Roman" w:cs="Times New Roman"/>
          <w:sz w:val="24"/>
          <w:szCs w:val="24"/>
        </w:rPr>
        <w:t xml:space="preserve"> as well as how the </w:t>
      </w:r>
      <w:r w:rsidR="00CA2C06">
        <w:rPr>
          <w:rFonts w:ascii="Times New Roman" w:hAnsi="Times New Roman" w:cs="Times New Roman"/>
          <w:sz w:val="24"/>
          <w:szCs w:val="24"/>
        </w:rPr>
        <w:t>energy transfer cascade is modulated by swelling</w:t>
      </w:r>
      <w:r w:rsidR="00231F52">
        <w:rPr>
          <w:rFonts w:ascii="Times New Roman" w:hAnsi="Times New Roman" w:cs="Times New Roman"/>
          <w:sz w:val="24"/>
          <w:szCs w:val="24"/>
        </w:rPr>
        <w:t>.</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 xml:space="preserve">The </w:t>
      </w:r>
      <w:r w:rsidR="00072D6C">
        <w:rPr>
          <w:rFonts w:ascii="Times New Roman" w:hAnsi="Times New Roman" w:cs="Times New Roman"/>
          <w:sz w:val="24"/>
          <w:szCs w:val="24"/>
        </w:rPr>
        <w:t>agreement with model predictions</w:t>
      </w:r>
      <w:r w:rsidR="00326C94">
        <w:rPr>
          <w:rFonts w:ascii="Times New Roman" w:hAnsi="Times New Roman" w:cs="Times New Roman"/>
          <w:sz w:val="24"/>
          <w:szCs w:val="24"/>
        </w:rPr>
        <w:t xml:space="preserve"> over a broad r</w:t>
      </w:r>
      <w:r w:rsidR="005D7F68">
        <w:rPr>
          <w:rFonts w:ascii="Times New Roman" w:hAnsi="Times New Roman" w:cs="Times New Roman"/>
          <w:sz w:val="24"/>
          <w:szCs w:val="24"/>
        </w:rPr>
        <w:t>ange of swelling supports the proposed multiple energy transfer pict</w:t>
      </w:r>
      <w:r w:rsidR="00CA2C06">
        <w:rPr>
          <w:rFonts w:ascii="Times New Roman" w:hAnsi="Times New Roman" w:cs="Times New Roman"/>
          <w:sz w:val="24"/>
          <w:szCs w:val="24"/>
        </w:rPr>
        <w:t>ure. The comparison of</w:t>
      </w:r>
      <w:r w:rsidR="007A38AC">
        <w:rPr>
          <w:rFonts w:ascii="Times New Roman" w:hAnsi="Times New Roman" w:cs="Times New Roman"/>
          <w:sz w:val="24"/>
          <w:szCs w:val="24"/>
        </w:rPr>
        <w:t xml:space="preserve"> results </w:t>
      </w:r>
      <w:r w:rsidR="00CA2C06">
        <w:rPr>
          <w:rFonts w:ascii="Times New Roman" w:hAnsi="Times New Roman" w:cs="Times New Roman"/>
          <w:sz w:val="24"/>
          <w:szCs w:val="24"/>
        </w:rPr>
        <w:t xml:space="preserve">from two different polymers </w:t>
      </w:r>
      <w:r w:rsidR="007A38AC">
        <w:rPr>
          <w:rFonts w:ascii="Times New Roman" w:hAnsi="Times New Roman" w:cs="Times New Roman"/>
          <w:sz w:val="24"/>
          <w:szCs w:val="24"/>
        </w:rPr>
        <w:t>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exciton </w:t>
      </w:r>
      <w:r w:rsidR="00F871AC">
        <w:rPr>
          <w:rFonts w:ascii="Times New Roman" w:hAnsi="Times New Roman" w:cs="Times New Roman"/>
          <w:sz w:val="24"/>
          <w:szCs w:val="24"/>
        </w:rPr>
        <w:t>transpo</w:t>
      </w:r>
      <w:r w:rsidR="006805BA">
        <w:rPr>
          <w:rFonts w:ascii="Times New Roman" w:hAnsi="Times New Roman" w:cs="Times New Roman"/>
          <w:sz w:val="24"/>
          <w:szCs w:val="24"/>
        </w:rPr>
        <w:t>rt in photovoltaics, or for some sensor schemes</w:t>
      </w:r>
      <w:r w:rsidR="00F871AC">
        <w:rPr>
          <w:rFonts w:ascii="Times New Roman" w:hAnsi="Times New Roman" w:cs="Times New Roman"/>
          <w:sz w:val="24"/>
          <w:szCs w:val="24"/>
        </w:rPr>
        <w:t>)</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6805BA">
        <w:rPr>
          <w:rFonts w:ascii="Times New Roman" w:hAnsi="Times New Roman" w:cs="Times New Roman"/>
          <w:sz w:val="24"/>
          <w:szCs w:val="24"/>
        </w:rPr>
        <w:t xml:space="preserve"> due to increased quenching by </w:t>
      </w:r>
      <w:proofErr w:type="gramStart"/>
      <w:r w:rsidR="006805BA">
        <w:rPr>
          <w:rFonts w:ascii="Times New Roman" w:hAnsi="Times New Roman" w:cs="Times New Roman"/>
          <w:sz w:val="24"/>
          <w:szCs w:val="24"/>
        </w:rPr>
        <w:t>defects</w:t>
      </w:r>
      <w:r w:rsidR="00AD270F" w:rsidRPr="005845F8">
        <w:rPr>
          <w:rFonts w:ascii="Times New Roman" w:hAnsi="Times New Roman" w:cs="Times New Roman"/>
          <w:sz w:val="24"/>
          <w:szCs w:val="24"/>
          <w:highlight w:val="yellow"/>
        </w:rPr>
        <w:t>[</w:t>
      </w:r>
      <w:proofErr w:type="gramEnd"/>
      <w:r w:rsidR="00AD270F" w:rsidRPr="005845F8">
        <w:rPr>
          <w:rFonts w:ascii="Times New Roman" w:hAnsi="Times New Roman" w:cs="Times New Roman"/>
          <w:sz w:val="24"/>
          <w:szCs w:val="24"/>
          <w:highlight w:val="yellow"/>
        </w:rPr>
        <w:t>, either due to the formation of additional aggregat</w:t>
      </w:r>
      <w:r w:rsidR="005845F8" w:rsidRPr="005845F8">
        <w:rPr>
          <w:rFonts w:ascii="Times New Roman" w:hAnsi="Times New Roman" w:cs="Times New Roman"/>
          <w:sz w:val="24"/>
          <w:szCs w:val="24"/>
          <w:highlight w:val="yellow"/>
        </w:rPr>
        <w:t>e species for systems with</w:t>
      </w:r>
      <w:r w:rsidR="00AD270F" w:rsidRPr="005845F8">
        <w:rPr>
          <w:rFonts w:ascii="Times New Roman" w:hAnsi="Times New Roman" w:cs="Times New Roman"/>
          <w:sz w:val="24"/>
          <w:szCs w:val="24"/>
          <w:highlight w:val="yellow"/>
        </w:rPr>
        <w:t xml:space="preserve"> higher </w:t>
      </w:r>
      <w:proofErr w:type="spellStart"/>
      <w:r w:rsidR="00AD270F" w:rsidRPr="005845F8">
        <w:rPr>
          <w:rFonts w:ascii="Times New Roman" w:hAnsi="Times New Roman" w:cs="Times New Roman"/>
          <w:sz w:val="24"/>
          <w:szCs w:val="24"/>
          <w:highlight w:val="yellow"/>
        </w:rPr>
        <w:t>chromophore</w:t>
      </w:r>
      <w:proofErr w:type="spellEnd"/>
      <w:r w:rsidR="00AD270F" w:rsidRPr="005845F8">
        <w:rPr>
          <w:rFonts w:ascii="Times New Roman" w:hAnsi="Times New Roman" w:cs="Times New Roman"/>
          <w:sz w:val="24"/>
          <w:szCs w:val="24"/>
          <w:highlight w:val="yellow"/>
        </w:rPr>
        <w:t xml:space="preserve"> densities, or due to </w:t>
      </w:r>
      <w:r w:rsidR="005845F8">
        <w:rPr>
          <w:rFonts w:ascii="Times New Roman" w:hAnsi="Times New Roman" w:cs="Times New Roman"/>
          <w:sz w:val="24"/>
          <w:szCs w:val="24"/>
          <w:highlight w:val="yellow"/>
        </w:rPr>
        <w:t>an increase in the</w:t>
      </w:r>
      <w:r w:rsidR="00AD270F" w:rsidRPr="005845F8">
        <w:rPr>
          <w:rFonts w:ascii="Times New Roman" w:hAnsi="Times New Roman" w:cs="Times New Roman"/>
          <w:sz w:val="24"/>
          <w:szCs w:val="24"/>
          <w:highlight w:val="yellow"/>
        </w:rPr>
        <w:t xml:space="preserve"> energy transfer </w:t>
      </w:r>
      <w:r w:rsidR="005845F8">
        <w:rPr>
          <w:rFonts w:ascii="Times New Roman" w:hAnsi="Times New Roman" w:cs="Times New Roman"/>
          <w:sz w:val="24"/>
          <w:szCs w:val="24"/>
          <w:highlight w:val="yellow"/>
        </w:rPr>
        <w:t xml:space="preserve">cascade </w:t>
      </w:r>
      <w:r w:rsidR="00AD270F" w:rsidRPr="005845F8">
        <w:rPr>
          <w:rFonts w:ascii="Times New Roman" w:hAnsi="Times New Roman" w:cs="Times New Roman"/>
          <w:sz w:val="24"/>
          <w:szCs w:val="24"/>
          <w:highlight w:val="yellow"/>
        </w:rPr>
        <w:t xml:space="preserve">to </w:t>
      </w:r>
      <w:r w:rsidR="005845F8" w:rsidRPr="005845F8">
        <w:rPr>
          <w:rFonts w:ascii="Times New Roman" w:hAnsi="Times New Roman" w:cs="Times New Roman"/>
          <w:sz w:val="24"/>
          <w:szCs w:val="24"/>
          <w:highlight w:val="yellow"/>
        </w:rPr>
        <w:t>pre-existing defects</w:t>
      </w:r>
      <w:r w:rsidR="00AD270F" w:rsidRPr="005845F8">
        <w:rPr>
          <w:rFonts w:ascii="Times New Roman" w:hAnsi="Times New Roman" w:cs="Times New Roman"/>
          <w:sz w:val="24"/>
          <w:szCs w:val="24"/>
          <w:highlight w:val="yellow"/>
        </w:rPr>
        <w:t>]</w:t>
      </w:r>
      <w:r w:rsidR="00B14F9E">
        <w:rPr>
          <w:rFonts w:ascii="Times New Roman" w:hAnsi="Times New Roman" w:cs="Times New Roman"/>
          <w:sz w:val="24"/>
          <w:szCs w:val="24"/>
        </w:rPr>
        <w:t xml:space="preserve">. </w:t>
      </w:r>
      <w:r w:rsidR="005845F8" w:rsidRPr="005845F8">
        <w:rPr>
          <w:rFonts w:ascii="Times New Roman" w:hAnsi="Times New Roman" w:cs="Times New Roman"/>
          <w:sz w:val="24"/>
          <w:szCs w:val="24"/>
          <w:highlight w:val="yellow"/>
        </w:rPr>
        <w:t>[Our results point to the latter mechanism as the more likely or dominant mechanism</w:t>
      </w:r>
      <w:r w:rsidR="005845F8">
        <w:rPr>
          <w:rFonts w:ascii="Times New Roman" w:hAnsi="Times New Roman" w:cs="Times New Roman"/>
          <w:sz w:val="24"/>
          <w:szCs w:val="24"/>
          <w:highlight w:val="yellow"/>
        </w:rPr>
        <w:t xml:space="preserve"> causing</w:t>
      </w:r>
      <w:r w:rsidR="005845F8" w:rsidRPr="005845F8">
        <w:rPr>
          <w:rFonts w:ascii="Times New Roman" w:hAnsi="Times New Roman" w:cs="Times New Roman"/>
          <w:sz w:val="24"/>
          <w:szCs w:val="24"/>
          <w:highlight w:val="yellow"/>
        </w:rPr>
        <w:t>]</w:t>
      </w:r>
      <w:r w:rsidR="008B5B97">
        <w:rPr>
          <w:rFonts w:ascii="Times New Roman" w:hAnsi="Times New Roman" w:cs="Times New Roman"/>
          <w:sz w:val="24"/>
          <w:szCs w:val="24"/>
        </w:rPr>
        <w:t xml:space="preserve">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w:t>
      </w:r>
      <w:r w:rsidR="006805BA">
        <w:rPr>
          <w:rFonts w:ascii="Times New Roman" w:hAnsi="Times New Roman" w:cs="Times New Roman"/>
          <w:sz w:val="24"/>
          <w:szCs w:val="24"/>
        </w:rPr>
        <w:t xml:space="preserve">often </w:t>
      </w:r>
      <w:r w:rsidR="00B14F9E">
        <w:rPr>
          <w:rFonts w:ascii="Times New Roman" w:hAnsi="Times New Roman" w:cs="Times New Roman"/>
          <w:sz w:val="24"/>
          <w:szCs w:val="24"/>
        </w:rPr>
        <w:t>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6805BA">
        <w:rPr>
          <w:rFonts w:ascii="Times New Roman" w:hAnsi="Times New Roman" w:cs="Times New Roman"/>
          <w:sz w:val="24"/>
          <w:szCs w:val="24"/>
        </w:rPr>
        <w:t xml:space="preserve"> in solution</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r w:rsidR="00D96EA6">
        <w:rPr>
          <w:rFonts w:ascii="Times New Roman" w:hAnsi="Times New Roman" w:cs="Times New Roman"/>
          <w:sz w:val="24"/>
          <w:szCs w:val="24"/>
        </w:rPr>
        <w:t xml:space="preserve">On the basis of this picture, we suggest that in some cases, the optical properties </w:t>
      </w:r>
      <w:r w:rsidR="004D5899">
        <w:rPr>
          <w:rFonts w:ascii="Times New Roman" w:hAnsi="Times New Roman" w:cs="Times New Roman"/>
          <w:sz w:val="24"/>
          <w:szCs w:val="24"/>
        </w:rPr>
        <w:t xml:space="preserve">CP films and particles </w:t>
      </w:r>
      <w:r w:rsidR="00D96EA6">
        <w:rPr>
          <w:rFonts w:ascii="Times New Roman" w:hAnsi="Times New Roman" w:cs="Times New Roman"/>
          <w:sz w:val="24"/>
          <w:szCs w:val="24"/>
        </w:rPr>
        <w:t xml:space="preserve">can be improved by interfering with the </w:t>
      </w:r>
      <w:r w:rsidR="00D96EA6">
        <w:rPr>
          <w:rFonts w:ascii="Times New Roman" w:hAnsi="Times New Roman" w:cs="Times New Roman"/>
          <w:sz w:val="24"/>
          <w:szCs w:val="24"/>
        </w:rPr>
        <w:lastRenderedPageBreak/>
        <w:t xml:space="preserve">multiple energy transfer cascade, either by competitive energy transfer or by </w:t>
      </w:r>
      <w:r w:rsidR="004D5899">
        <w:rPr>
          <w:rFonts w:ascii="Times New Roman" w:hAnsi="Times New Roman" w:cs="Times New Roman"/>
          <w:sz w:val="24"/>
          <w:szCs w:val="24"/>
        </w:rPr>
        <w:t xml:space="preserve">increasing </w:t>
      </w:r>
      <w:proofErr w:type="spellStart"/>
      <w:r w:rsidR="004D5899">
        <w:rPr>
          <w:rFonts w:ascii="Times New Roman" w:hAnsi="Times New Roman" w:cs="Times New Roman"/>
          <w:sz w:val="24"/>
          <w:szCs w:val="24"/>
        </w:rPr>
        <w:t>interchromophore</w:t>
      </w:r>
      <w:proofErr w:type="spellEnd"/>
      <w:r w:rsidR="004D5899">
        <w:rPr>
          <w:rFonts w:ascii="Times New Roman" w:hAnsi="Times New Roman" w:cs="Times New Roman"/>
          <w:sz w:val="24"/>
          <w:szCs w:val="24"/>
        </w:rPr>
        <w:t xml:space="preserve"> spacing.</w:t>
      </w:r>
      <w:r w:rsidR="00D96EA6">
        <w:rPr>
          <w:rFonts w:ascii="Times New Roman" w:hAnsi="Times New Roman" w:cs="Times New Roman"/>
          <w:sz w:val="24"/>
          <w:szCs w:val="24"/>
        </w:rPr>
        <w:t xml:space="preserve"> </w:t>
      </w:r>
    </w:p>
    <w:p w14:paraId="1E12808B" w14:textId="77777777" w:rsidR="004D5899" w:rsidRDefault="004D5899" w:rsidP="00551E65">
      <w:pPr>
        <w:pStyle w:val="NoSpacing"/>
        <w:spacing w:line="480" w:lineRule="auto"/>
        <w:rPr>
          <w:rFonts w:ascii="Times New Roman" w:hAnsi="Times New Roman" w:cs="Times New Roman"/>
          <w:b/>
          <w:sz w:val="24"/>
          <w:szCs w:val="24"/>
        </w:rPr>
      </w:pP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1F6A2331" w:rsidR="00D43EBF" w:rsidRDefault="00551E65" w:rsidP="007027AA">
      <w:pPr>
        <w:pStyle w:val="Default"/>
        <w:spacing w:line="480" w:lineRule="auto"/>
        <w:ind w:firstLine="720"/>
        <w:jc w:val="both"/>
      </w:pPr>
      <w:r w:rsidRPr="000D0E8B">
        <w:rPr>
          <w:b/>
          <w:bCs/>
        </w:rPr>
        <w:t xml:space="preserve">Materials. </w:t>
      </w:r>
      <w:r w:rsidRPr="000D0E8B">
        <w:t>The copolymer poly[(9,9-dioctylfluorenyl-2,7-diyl)-</w:t>
      </w:r>
      <w:r w:rsidRPr="000D0E8B">
        <w:rPr>
          <w:i/>
          <w:iCs/>
        </w:rPr>
        <w:t>co</w:t>
      </w:r>
      <w:r w:rsidRPr="000D0E8B">
        <w:t xml:space="preserve">-(1,4-benzo-{2,1',3}-thiadiazole)] (PFBT, MW 10,000, </w:t>
      </w:r>
      <w:proofErr w:type="spellStart"/>
      <w:r w:rsidRPr="000D0E8B">
        <w:t>polydispersity</w:t>
      </w:r>
      <w:proofErr w:type="spellEnd"/>
      <w:r w:rsidRPr="000D0E8B">
        <w:t xml:space="preserve">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w:t>
      </w:r>
      <w:proofErr w:type="spellStart"/>
      <w:r w:rsidRPr="000D0E8B">
        <w:t>polydispersity</w:t>
      </w:r>
      <w:proofErr w:type="spellEnd"/>
      <w:r w:rsidRPr="000D0E8B">
        <w:t xml:space="preserve">, 4.0) were purchased from ADS Dyes, Inc. </w:t>
      </w:r>
      <w:r w:rsidRPr="000D0E8B">
        <w:rPr>
          <w:color w:val="auto"/>
        </w:rPr>
        <w:t xml:space="preserve">(Quebec, Canada). </w:t>
      </w:r>
      <w:r w:rsidRPr="000D0E8B">
        <w:t xml:space="preserve">The fluorescent dye fluorescein was purchased from Life Technologies (Invitrogen, </w:t>
      </w:r>
      <w:r w:rsidR="008C45F6">
        <w:t>Grand Island, NY</w:t>
      </w:r>
      <w:r w:rsidRPr="000D0E8B">
        <w:t>).</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solvent tetrahydrofuran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433C22EA" w:rsidR="009B6506" w:rsidRDefault="00D43EBF" w:rsidP="007027AA">
      <w:pPr>
        <w:pStyle w:val="Default"/>
        <w:spacing w:line="480" w:lineRule="auto"/>
        <w:ind w:firstLine="720"/>
        <w:jc w:val="both"/>
      </w:pPr>
      <w:r>
        <w:rPr>
          <w:b/>
        </w:rPr>
        <w:t xml:space="preserve">Nanoparticle Preparation.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357040">
        <w:t>{</w:t>
      </w:r>
      <w:proofErr w:type="gramEnd"/>
      <w:r w:rsidR="00357040">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lastRenderedPageBreak/>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w:t>
      </w:r>
      <w:r w:rsidR="00B32988" w:rsidRPr="007D15BE">
        <w:t xml:space="preserve">typically </w:t>
      </w:r>
      <w:r w:rsidR="00961D88" w:rsidRPr="007D15BE">
        <w:t xml:space="preserve">reduced by </w:t>
      </w:r>
      <w:r w:rsidR="007D15BE" w:rsidRPr="007D15BE">
        <w:t>60</w:t>
      </w:r>
      <w:r w:rsidR="00961D88" w:rsidRPr="007D15BE">
        <w:t>% during the vacuum evaporation process</w:t>
      </w:r>
      <w:r w:rsidR="00072D6C">
        <w:t xml:space="preserve">. A </w:t>
      </w:r>
      <w:proofErr w:type="spellStart"/>
      <w:r w:rsidR="00072D6C">
        <w:t>Raoult’s</w:t>
      </w:r>
      <w:proofErr w:type="spellEnd"/>
      <w:r w:rsidR="00072D6C">
        <w:t xml:space="preserve"> Law calculation</w:t>
      </w:r>
      <w:r w:rsidR="007C68EE">
        <w:t xml:space="preserve"> </w:t>
      </w:r>
      <w:r w:rsidR="00072D6C">
        <w:t xml:space="preserve">indicates </w:t>
      </w:r>
      <w:r w:rsidR="007C68EE">
        <w:t>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ence 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w:t>
      </w:r>
      <w:r w:rsidR="00557B7B">
        <w:t>The fraction of polymer lost in the filtration process was typically ~10%</w:t>
      </w:r>
      <w:r w:rsidR="00B23FCD">
        <w:t>, as measured by UV-vis</w:t>
      </w:r>
      <w:r w:rsidR="00557B7B">
        <w:t>.</w:t>
      </w:r>
      <w:r w:rsidR="006805BA">
        <w:t xml:space="preserve"> </w:t>
      </w:r>
      <w:r w:rsidR="00FF1B18">
        <w:t>The resulting suspensions are clear (not turbid) and stable for months with no visible signs of aggregation.</w:t>
      </w:r>
    </w:p>
    <w:p w14:paraId="761C155F" w14:textId="258F08A8" w:rsidR="00B5659B" w:rsidRDefault="00B5659B" w:rsidP="007027AA">
      <w:pPr>
        <w:pStyle w:val="Default"/>
        <w:spacing w:line="480" w:lineRule="auto"/>
        <w:ind w:firstLine="720"/>
        <w:jc w:val="both"/>
      </w:pPr>
      <w:r>
        <w:rPr>
          <w:b/>
        </w:rPr>
        <w:t xml:space="preserve">Swelling Procedure. </w:t>
      </w:r>
      <w:r>
        <w:t xml:space="preserve">In addition to nanoparticles in water and polymer in THF, swelled nanoparticle samples were prepared by diluting an aliquot of concentrated nanoparticle suspension with the appropriate volume of water, followed by slowly adding THF to produce 3 mL </w:t>
      </w:r>
      <w:r w:rsidRPr="000D54B4">
        <w:t>of suspension</w:t>
      </w:r>
      <w:r w:rsidR="0002572A">
        <w:t>s</w:t>
      </w:r>
      <w:r>
        <w:t xml:space="preserve"> with volume ratios of THF/water between 0.2 and 0.95. Each sample was gently agitated to ensure solution homogeneity. The sample absorbance was kept at or under ~0.05 (~0.02 for 95% THF). </w:t>
      </w:r>
      <w:r w:rsidRPr="000D54B4">
        <w:t>Samples were</w:t>
      </w:r>
      <w:r>
        <w:t xml:space="preserve"> capped and the headspace</w:t>
      </w:r>
      <w:r w:rsidRPr="000D54B4">
        <w:t xml:space="preserve"> purged with nitrogen </w:t>
      </w:r>
      <w:r>
        <w:t>in order to limit quenching and photobleaching by O</w:t>
      </w:r>
      <w:r w:rsidRPr="00C84617">
        <w:rPr>
          <w:vertAlign w:val="subscript"/>
        </w:rPr>
        <w:t>2</w:t>
      </w:r>
      <w:r>
        <w:t xml:space="preserve"> (purging was limited to </w:t>
      </w:r>
      <w:r w:rsidRPr="000D54B4">
        <w:t>~2 minute</w:t>
      </w:r>
      <w:r>
        <w:t>s, in order to limit loss of THF).</w:t>
      </w:r>
    </w:p>
    <w:p w14:paraId="569B6731" w14:textId="345D91E3" w:rsidR="000E5025" w:rsidRDefault="000E5025" w:rsidP="007027AA">
      <w:pPr>
        <w:pStyle w:val="Default"/>
        <w:spacing w:line="480" w:lineRule="auto"/>
        <w:ind w:firstLine="720"/>
        <w:jc w:val="both"/>
      </w:pPr>
      <w:r>
        <w:rPr>
          <w:b/>
        </w:rPr>
        <w:lastRenderedPageBreak/>
        <w:t>Characterization Methods.</w:t>
      </w:r>
      <w:r>
        <w:t xml:space="preserve"> UV-Vis absorption spectra were acquired using a Shimadzu UV2101PC scanning spectrophotometer with 1 cm quartz cuvettes. Fluorescence spectra and fluorescence quan</w:t>
      </w:r>
      <w:r w:rsidR="00072E01">
        <w:t xml:space="preserve">tum yield were measured </w:t>
      </w:r>
      <w:r w:rsidR="005E5570">
        <w:t>with a</w:t>
      </w:r>
      <w:r w:rsidR="00072E01">
        <w:t xml:space="preserve"> </w:t>
      </w:r>
      <w:r>
        <w:t>commercial fluorimeter (</w:t>
      </w:r>
      <w:proofErr w:type="spellStart"/>
      <w:r>
        <w:t>Quantamaster</w:t>
      </w:r>
      <w:proofErr w:type="spellEnd"/>
      <w:r>
        <w:t>, Photon Technology International) using 1 cm quartz cuvettes.</w:t>
      </w:r>
      <w:r w:rsidR="00F70660">
        <w:t xml:space="preserve"> </w:t>
      </w:r>
      <w:r w:rsidR="00FC2BF2">
        <w:t>The s</w:t>
      </w:r>
      <w:r w:rsidR="00F70660">
        <w:t>ize distributions</w:t>
      </w:r>
      <w:r w:rsidR="00FC2BF2">
        <w:t xml:space="preserve"> and morphologies</w:t>
      </w:r>
      <w:r w:rsidR="00F70660">
        <w:t xml:space="preserve"> </w:t>
      </w:r>
      <w:r w:rsidR="00FC2BF2">
        <w:t xml:space="preserve">of the aqueous nanoparticle samples </w:t>
      </w:r>
      <w:r w:rsidR="00F70660">
        <w:t xml:space="preserve">were measured using </w:t>
      </w:r>
      <w:r w:rsidR="00FC2BF2">
        <w:t xml:space="preserve">atomic force microscopy (AFM). </w:t>
      </w:r>
      <w:r w:rsidR="00967AB1">
        <w:t>Each sample</w:t>
      </w:r>
      <w:r w:rsidR="008001CD">
        <w:t xml:space="preserve"> w</w:t>
      </w:r>
      <w:r w:rsidR="00FC2BF2">
        <w:t xml:space="preserve">as prepared on a cleaned </w:t>
      </w:r>
      <w:r w:rsidR="00967AB1">
        <w:t>glass coverslip via immersion casting</w:t>
      </w:r>
      <w:r w:rsidR="00F70660">
        <w:t xml:space="preserve"> </w:t>
      </w:r>
      <w:r w:rsidR="00FC2BF2">
        <w:t xml:space="preserve">in a dilute sample of CPNs </w:t>
      </w:r>
      <w:r w:rsidR="005E5570">
        <w:t xml:space="preserve">for 40 minutes </w:t>
      </w:r>
      <w:r w:rsidR="00FC2BF2">
        <w:t xml:space="preserve">followed by drying overnight in an enclosed environment. The surface topography was measured on an </w:t>
      </w:r>
      <w:proofErr w:type="spellStart"/>
      <w:r w:rsidR="00FC2BF2">
        <w:t>Ambios</w:t>
      </w:r>
      <w:proofErr w:type="spellEnd"/>
      <w:r w:rsidR="00FC2BF2">
        <w:t xml:space="preserve"> Q250 multimode AFM in AC mode with a lateral resolution of 10 nm. Particle diameters were measur</w:t>
      </w:r>
      <w:r w:rsidR="00FC5360">
        <w:t>ed via</w:t>
      </w:r>
      <w:r w:rsidR="00FC2BF2">
        <w:t xml:space="preserve"> analysis of particle heights</w:t>
      </w:r>
      <w:r w:rsidR="00FC5360">
        <w:t>.</w:t>
      </w:r>
    </w:p>
    <w:p w14:paraId="22D2ADCD" w14:textId="7D162E01" w:rsidR="000E5025" w:rsidRPr="000E5025" w:rsidRDefault="00715B09" w:rsidP="007027AA">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w:t>
      </w:r>
      <w:r w:rsidR="00072D6C">
        <w:t xml:space="preserve">with respect to </w:t>
      </w:r>
      <w:proofErr w:type="spellStart"/>
      <w:r w:rsidR="00855215">
        <w:t>to</w:t>
      </w:r>
      <w:proofErr w:type="spellEnd"/>
      <w:r w:rsidR="00855215">
        <w:t xml:space="preserve"> the vertic</w:t>
      </w:r>
      <w:r w:rsidR="00072D6C">
        <w:t>ally polarized excitation</w:t>
      </w:r>
      <w:r w:rsidR="00855215">
        <w:t>.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 xml:space="preserve">reverse-mode </w:t>
      </w:r>
      <w:r w:rsidR="00874F7A">
        <w:lastRenderedPageBreak/>
        <w:t>configuration</w:t>
      </w:r>
      <w:r w:rsidR="00B348B2">
        <w:t>.</w:t>
      </w:r>
      <w:r w:rsidR="00357040">
        <w:t>{Schaffer, 1999 #88</w:t>
      </w:r>
      <w:r w:rsidR="0002572A">
        <w:t>}{</w:t>
      </w:r>
      <w:r w:rsidR="00357040">
        <w:t>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52287BA4" w:rsidR="000E5025" w:rsidRDefault="00D21A62" w:rsidP="004573EE">
      <w:pPr>
        <w:pStyle w:val="Default"/>
        <w:spacing w:line="360" w:lineRule="auto"/>
        <w:ind w:firstLine="720"/>
        <w:jc w:val="both"/>
      </w:pPr>
      <w:r>
        <w:t xml:space="preserve"> </w:t>
      </w:r>
    </w:p>
    <w:p w14:paraId="622F5699" w14:textId="77777777" w:rsidR="003F19F8" w:rsidRDefault="003F19F8" w:rsidP="003F19F8">
      <w:pPr>
        <w:pStyle w:val="Default"/>
        <w:spacing w:line="480" w:lineRule="auto"/>
        <w:jc w:val="both"/>
        <w:rPr>
          <w:b/>
        </w:rPr>
      </w:pPr>
      <w:r>
        <w:rPr>
          <w:b/>
        </w:rPr>
        <w:t>RESULTS/DISCUSSION</w:t>
      </w:r>
    </w:p>
    <w:p w14:paraId="559965C0" w14:textId="0621FB4D" w:rsidR="001D6578" w:rsidRDefault="00D66BA3" w:rsidP="001D6578">
      <w:pPr>
        <w:pStyle w:val="Default"/>
        <w:spacing w:line="480" w:lineRule="auto"/>
        <w:jc w:val="center"/>
        <w:rPr>
          <w:b/>
        </w:rPr>
      </w:pPr>
      <w:r>
        <w:rPr>
          <w:b/>
          <w:noProof/>
        </w:rPr>
        <w:drawing>
          <wp:inline distT="0" distB="0" distL="0" distR="0" wp14:anchorId="10A72052" wp14:editId="3CAE4F38">
            <wp:extent cx="2686050" cy="1781175"/>
            <wp:effectExtent l="0" t="0" r="0" b="9525"/>
            <wp:docPr id="10" name="Picture 10" descr="C:\Users\Louis\Desktop\Dissertation\AFM Data\PFBT-MEHPPV-ParticleSiz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ouis\Desktop\Dissertation\AFM Data\PFBT-MEHPPV-ParticleSiz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1781175"/>
                    </a:xfrm>
                    <a:prstGeom prst="rect">
                      <a:avLst/>
                    </a:prstGeom>
                    <a:noFill/>
                    <a:ln>
                      <a:noFill/>
                    </a:ln>
                  </pic:spPr>
                </pic:pic>
              </a:graphicData>
            </a:graphic>
          </wp:inline>
        </w:drawing>
      </w:r>
    </w:p>
    <w:p w14:paraId="76DD98B9" w14:textId="5BBCB883" w:rsidR="00515814" w:rsidRDefault="001D6578" w:rsidP="001D6578">
      <w:pPr>
        <w:pStyle w:val="Default"/>
        <w:spacing w:line="480" w:lineRule="auto"/>
        <w:rPr>
          <w:sz w:val="20"/>
          <w:szCs w:val="20"/>
        </w:rPr>
      </w:pPr>
      <w:r>
        <w:rPr>
          <w:b/>
          <w:sz w:val="20"/>
          <w:szCs w:val="20"/>
        </w:rPr>
        <w:t xml:space="preserve">Fig </w:t>
      </w:r>
      <w:r w:rsidR="00515814">
        <w:rPr>
          <w:b/>
          <w:sz w:val="20"/>
          <w:szCs w:val="20"/>
        </w:rPr>
        <w:t>1</w:t>
      </w:r>
      <w:r>
        <w:rPr>
          <w:b/>
          <w:sz w:val="20"/>
          <w:szCs w:val="20"/>
        </w:rPr>
        <w:t>.</w:t>
      </w:r>
      <w:r>
        <w:rPr>
          <w:sz w:val="20"/>
          <w:szCs w:val="20"/>
        </w:rPr>
        <w:t xml:space="preserve"> (a) Chemical structures of PFBT and MEH-PPV. (</w:t>
      </w:r>
      <w:proofErr w:type="gramStart"/>
      <w:r>
        <w:rPr>
          <w:sz w:val="20"/>
          <w:szCs w:val="20"/>
        </w:rPr>
        <w:t>b</w:t>
      </w:r>
      <w:proofErr w:type="gramEnd"/>
      <w:r>
        <w:rPr>
          <w:sz w:val="20"/>
          <w:szCs w:val="20"/>
        </w:rPr>
        <w:t xml:space="preserve">, c) </w:t>
      </w:r>
      <w:proofErr w:type="gramStart"/>
      <w:r w:rsidR="00515814">
        <w:rPr>
          <w:sz w:val="20"/>
          <w:szCs w:val="20"/>
        </w:rPr>
        <w:t xml:space="preserve">Representative </w:t>
      </w:r>
      <w:r>
        <w:rPr>
          <w:sz w:val="20"/>
          <w:szCs w:val="20"/>
        </w:rPr>
        <w:t>AFM image of PFBT CPNs with particl</w:t>
      </w:r>
      <w:r w:rsidR="007179C4">
        <w:rPr>
          <w:sz w:val="20"/>
          <w:szCs w:val="20"/>
        </w:rPr>
        <w:t>e height</w:t>
      </w:r>
      <w:r>
        <w:rPr>
          <w:sz w:val="20"/>
          <w:szCs w:val="20"/>
        </w:rPr>
        <w:t xml:space="preserve"> histogram.</w:t>
      </w:r>
      <w:proofErr w:type="gramEnd"/>
    </w:p>
    <w:p w14:paraId="76C3EDC9" w14:textId="04B28EE8" w:rsidR="007179C4" w:rsidRPr="007179C4" w:rsidRDefault="007179C4" w:rsidP="00515814">
      <w:pPr>
        <w:pStyle w:val="Default"/>
        <w:spacing w:line="480" w:lineRule="auto"/>
        <w:jc w:val="both"/>
      </w:pPr>
      <w:proofErr w:type="gramStart"/>
      <w:r>
        <w:rPr>
          <w:b/>
        </w:rPr>
        <w:t>Characterization of PFBT and MEH-PPV CPNs.</w:t>
      </w:r>
      <w:proofErr w:type="gramEnd"/>
      <w:r>
        <w:rPr>
          <w:b/>
        </w:rPr>
        <w:t xml:space="preserve"> </w:t>
      </w:r>
      <w:r>
        <w:t xml:space="preserve"> PFBT and MEH-PPV </w:t>
      </w:r>
      <w:r w:rsidR="005E5570">
        <w:t xml:space="preserve">nanoparticles </w:t>
      </w:r>
      <w:r>
        <w:t xml:space="preserve">were prepared via a </w:t>
      </w:r>
      <w:proofErr w:type="spellStart"/>
      <w:r>
        <w:t>nano</w:t>
      </w:r>
      <w:proofErr w:type="spellEnd"/>
      <w:r>
        <w:t>-precipitation method described previously</w:t>
      </w:r>
      <w:proofErr w:type="gramStart"/>
      <w:r>
        <w:t>.{</w:t>
      </w:r>
      <w:proofErr w:type="gramEnd"/>
      <w:r>
        <w:t>Szymanski, 2005 #42} The chemical structures of PFBT</w:t>
      </w:r>
      <w:r w:rsidR="00515814">
        <w:t xml:space="preserve"> and MEH-PPV are given in Fig. 1</w:t>
      </w:r>
      <w:r>
        <w:t xml:space="preserve">. </w:t>
      </w:r>
      <w:r w:rsidR="00515814">
        <w:t>Nanop</w:t>
      </w:r>
      <w:r>
        <w:t>article size distribution</w:t>
      </w:r>
      <w:r w:rsidR="00515814">
        <w:t>s</w:t>
      </w:r>
      <w:r>
        <w:t xml:space="preserve"> w</w:t>
      </w:r>
      <w:r w:rsidR="00515814">
        <w:t>ere</w:t>
      </w:r>
      <w:r>
        <w:t xml:space="preserve"> determined via particle height analysis of several AFM images</w:t>
      </w:r>
      <w:r w:rsidR="00515814">
        <w:t xml:space="preserve">, and each histogram was </w:t>
      </w:r>
      <w:r w:rsidR="00515814">
        <w:lastRenderedPageBreak/>
        <w:t>constructed using &gt;100 particles (c.f. Fig. 1). The mean particle sizes were 14 ± 6 nm for PFBT CPNs and 9 ± 5 nm for MEH-PPV CPNs, which are consistent with previous measurements</w:t>
      </w:r>
      <w:proofErr w:type="gramStart"/>
      <w:r w:rsidR="00515814">
        <w:t>.{</w:t>
      </w:r>
      <w:proofErr w:type="gramEnd"/>
      <w:r w:rsidR="00515814">
        <w:t>Wang, 2013 #61}</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6C89651C" w:rsidR="00996A95" w:rsidRPr="00996A95" w:rsidRDefault="00996A95" w:rsidP="00996A95">
      <w:pPr>
        <w:pStyle w:val="Default"/>
        <w:spacing w:line="480" w:lineRule="auto"/>
        <w:jc w:val="both"/>
        <w:rPr>
          <w:sz w:val="20"/>
          <w:szCs w:val="20"/>
        </w:rPr>
      </w:pPr>
      <w:r>
        <w:rPr>
          <w:b/>
          <w:sz w:val="20"/>
          <w:szCs w:val="20"/>
        </w:rPr>
        <w:t xml:space="preserve">Fig. </w:t>
      </w:r>
      <w:r w:rsidR="00515814">
        <w:rPr>
          <w:b/>
          <w:sz w:val="20"/>
          <w:szCs w:val="20"/>
        </w:rPr>
        <w:t>2</w:t>
      </w:r>
      <w:r>
        <w:rPr>
          <w:b/>
          <w:sz w:val="20"/>
          <w:szCs w:val="20"/>
        </w:rPr>
        <w:t>.</w:t>
      </w:r>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00C76529" w:rsidR="001410E0" w:rsidRDefault="001410E0" w:rsidP="001410E0">
      <w:pPr>
        <w:pStyle w:val="Default"/>
        <w:spacing w:line="480" w:lineRule="auto"/>
        <w:jc w:val="both"/>
        <w:rPr>
          <w:sz w:val="20"/>
          <w:szCs w:val="20"/>
        </w:rPr>
      </w:pPr>
      <w:r>
        <w:rPr>
          <w:b/>
          <w:sz w:val="20"/>
          <w:szCs w:val="20"/>
        </w:rPr>
        <w:t xml:space="preserve">Fig. </w:t>
      </w:r>
      <w:r w:rsidR="00515814">
        <w:rPr>
          <w:b/>
          <w:sz w:val="20"/>
          <w:szCs w:val="20"/>
        </w:rPr>
        <w:t>3</w:t>
      </w:r>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0EA1D9DC"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515814">
        <w:t>2</w:t>
      </w:r>
      <w:r w:rsidR="003D7E27">
        <w:t xml:space="preserve"> and </w:t>
      </w:r>
      <w:r w:rsidR="00515814">
        <w:t>3</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w:t>
      </w:r>
      <w:r w:rsidR="003D7E27">
        <w:lastRenderedPageBreak/>
        <w:t xml:space="preserve">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73E56">
        <w:t>, which correspond to isolated polymer chains and aggregate species, respectively</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69C9A067" w:rsidR="00FF5B3F" w:rsidRDefault="005C36E5" w:rsidP="00FF5B3F">
      <w:pPr>
        <w:pStyle w:val="Default"/>
        <w:spacing w:line="480" w:lineRule="auto"/>
        <w:jc w:val="center"/>
      </w:pPr>
      <w:r>
        <w:rPr>
          <w:noProof/>
        </w:rPr>
        <w:drawing>
          <wp:inline distT="0" distB="0" distL="0" distR="0" wp14:anchorId="1B2C0EF5" wp14:editId="73BE622F">
            <wp:extent cx="2705100" cy="1095375"/>
            <wp:effectExtent l="0" t="0" r="0" b="9525"/>
            <wp:docPr id="1" name="Picture 1" descr="C:\Users\Louis\Desktop\Spectra\Flu\2014\PFBT-PLQY-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ouis\Desktop\Spectra\Flu\2014\PFBT-PLQY-SolventDepend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095375"/>
                    </a:xfrm>
                    <a:prstGeom prst="rect">
                      <a:avLst/>
                    </a:prstGeom>
                    <a:noFill/>
                    <a:ln>
                      <a:noFill/>
                    </a:ln>
                  </pic:spPr>
                </pic:pic>
              </a:graphicData>
            </a:graphic>
          </wp:inline>
        </w:drawing>
      </w:r>
    </w:p>
    <w:p w14:paraId="0CEC69E7" w14:textId="46A51CA2" w:rsidR="00FF5B3F" w:rsidRPr="00FF5B3F" w:rsidRDefault="00FF5B3F" w:rsidP="00FF5B3F">
      <w:pPr>
        <w:pStyle w:val="Default"/>
        <w:spacing w:line="480" w:lineRule="auto"/>
        <w:jc w:val="both"/>
        <w:rPr>
          <w:sz w:val="20"/>
          <w:szCs w:val="20"/>
        </w:rPr>
      </w:pPr>
      <w:r>
        <w:rPr>
          <w:b/>
          <w:sz w:val="20"/>
          <w:szCs w:val="20"/>
        </w:rPr>
        <w:t xml:space="preserve">Fig. </w:t>
      </w:r>
      <w:r w:rsidR="00515814">
        <w:rPr>
          <w:b/>
          <w:sz w:val="20"/>
          <w:szCs w:val="20"/>
        </w:rPr>
        <w:t>4</w:t>
      </w:r>
      <w:r>
        <w:rPr>
          <w:b/>
          <w:sz w:val="20"/>
          <w:szCs w:val="20"/>
        </w:rPr>
        <w:t>.</w:t>
      </w:r>
      <w:r>
        <w:rPr>
          <w:sz w:val="20"/>
          <w:szCs w:val="20"/>
        </w:rPr>
        <w:t xml:space="preserve"> </w:t>
      </w:r>
      <w:proofErr w:type="gramStart"/>
      <w:r>
        <w:rPr>
          <w:sz w:val="20"/>
          <w:szCs w:val="20"/>
        </w:rPr>
        <w:t>Fluorescence quantu</w:t>
      </w:r>
      <w:r w:rsidR="005C36E5">
        <w:rPr>
          <w:sz w:val="20"/>
          <w:szCs w:val="20"/>
        </w:rPr>
        <w:t>m yield</w:t>
      </w:r>
      <w:r>
        <w:rPr>
          <w:sz w:val="20"/>
          <w:szCs w:val="20"/>
        </w:rPr>
        <w:t xml:space="preserve"> vs. THF volume </w:t>
      </w:r>
      <w:r w:rsidR="005C36E5">
        <w:rPr>
          <w:sz w:val="20"/>
          <w:szCs w:val="20"/>
        </w:rPr>
        <w:t>fraction for (a) MEH-PPV</w:t>
      </w:r>
      <w:r>
        <w:rPr>
          <w:sz w:val="20"/>
          <w:szCs w:val="20"/>
        </w:rPr>
        <w:t xml:space="preserve"> and </w:t>
      </w:r>
      <w:r w:rsidR="005C36E5">
        <w:rPr>
          <w:sz w:val="20"/>
          <w:szCs w:val="20"/>
        </w:rPr>
        <w:t xml:space="preserve">(b) </w:t>
      </w:r>
      <w:r>
        <w:rPr>
          <w:sz w:val="20"/>
          <w:szCs w:val="20"/>
        </w:rPr>
        <w:t>PFBT.</w:t>
      </w:r>
      <w:proofErr w:type="gramEnd"/>
    </w:p>
    <w:p w14:paraId="2FB14FE7" w14:textId="25F87CBA"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rsidR="005C36E5">
        <w:rPr>
          <w:rFonts w:ascii="Symbol" w:hAnsi="Symbol"/>
        </w:rPr>
        <w:t></w:t>
      </w:r>
      <w:r>
        <w:t xml:space="preserve">are given in Fig. </w:t>
      </w:r>
      <w:r w:rsidR="00515814">
        <w:t>4</w:t>
      </w:r>
      <w:r>
        <w:t>.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w:t>
      </w:r>
      <w:r w:rsidR="0002572A">
        <w:t xml:space="preserve"> </w:t>
      </w:r>
      <w:r>
        <w:t xml:space="preserve">THF. The </w:t>
      </w:r>
      <w:r w:rsidR="00DD0807">
        <w:t>~12% difference in</w:t>
      </w:r>
      <w:r>
        <w:t xml:space="preserve"> quantum yield </w:t>
      </w:r>
      <w:r w:rsidR="00DD0807">
        <w:t>between</w:t>
      </w:r>
      <w:r>
        <w:t xml:space="preserve"> the </w:t>
      </w:r>
      <w:r w:rsidR="00DD0807">
        <w:t xml:space="preserve">CPN </w:t>
      </w:r>
      <w:r>
        <w:t>sample</w:t>
      </w:r>
      <w:r w:rsidR="00DD0807">
        <w:t>s in 95% THF</w:t>
      </w:r>
      <w:r>
        <w:t xml:space="preserve"> </w:t>
      </w:r>
      <w:r w:rsidR="0095218A">
        <w:t>and</w:t>
      </w:r>
      <w:r>
        <w:t xml:space="preserve"> the </w:t>
      </w:r>
      <w:r w:rsidR="0095218A">
        <w:t xml:space="preserve">dissolved </w:t>
      </w:r>
      <w:r w:rsidR="001B716E">
        <w:t>polymers in THF is likely a statistical anomaly</w:t>
      </w:r>
      <w:r w:rsidR="009472F9">
        <w:t xml:space="preserve"> due</w:t>
      </w:r>
      <w:r>
        <w:t xml:space="preserve"> to the uncertainty in the absorbance</w:t>
      </w:r>
      <w:r w:rsidR="0073270E">
        <w:t>.</w:t>
      </w:r>
      <w:r>
        <w:t xml:space="preserve"> </w:t>
      </w:r>
      <w:r w:rsidR="001B716E">
        <w:t>While the</w:t>
      </w:r>
      <w:r w:rsidRPr="00E90120">
        <w:t xml:space="preserve"> </w:t>
      </w:r>
      <w:r w:rsidR="00CC6270" w:rsidRPr="00E90120">
        <w:t xml:space="preserve">fluorescence </w:t>
      </w:r>
      <w:r w:rsidR="00361DB4" w:rsidRPr="00E90120">
        <w:t>quantum yield remains relatively constant</w:t>
      </w:r>
      <w:r w:rsidR="00CC6270" w:rsidRPr="00E90120">
        <w:t xml:space="preserve"> for MEH-PPV from 20% to 80% THF</w:t>
      </w:r>
      <w:r w:rsidR="001B716E">
        <w:t>, the relative contribution of the ~600 nm shoulder decreases steadily with increasing THF concentration, likely indicating that this feature is associated with aggregate species</w:t>
      </w:r>
      <w:r w:rsidR="00CC6270" w:rsidRPr="00E90120">
        <w:t xml:space="preserve">. </w:t>
      </w:r>
    </w:p>
    <w:p w14:paraId="64A78BBF" w14:textId="6FA9E5EE" w:rsidR="00FF5B3F" w:rsidRDefault="0078350D" w:rsidP="003D7E27">
      <w:pPr>
        <w:pStyle w:val="Default"/>
        <w:spacing w:line="480" w:lineRule="auto"/>
        <w:ind w:firstLine="720"/>
        <w:jc w:val="both"/>
      </w:pPr>
      <w:r>
        <w:t>One possible interpretation of the</w:t>
      </w:r>
      <w:r w:rsidR="00E51F3E" w:rsidRPr="008A243A">
        <w:t xml:space="preserve"> results outline</w:t>
      </w:r>
      <w:r w:rsidR="0031617D">
        <w:t>d</w:t>
      </w:r>
      <w:r w:rsidR="00E51F3E" w:rsidRPr="008A243A">
        <w:t xml:space="preserve"> in Fig</w:t>
      </w:r>
      <w:r w:rsidR="008A243A" w:rsidRPr="008A243A">
        <w:t>s</w:t>
      </w:r>
      <w:r w:rsidR="00E51F3E" w:rsidRPr="008A243A">
        <w:t>.</w:t>
      </w:r>
      <w:r w:rsidR="008A243A" w:rsidRPr="008A243A">
        <w:t xml:space="preserve"> </w:t>
      </w:r>
      <w:r w:rsidR="00515814">
        <w:t>3</w:t>
      </w:r>
      <w:r w:rsidR="008A243A" w:rsidRPr="008A243A">
        <w:t xml:space="preserve"> and</w:t>
      </w:r>
      <w:r>
        <w:t xml:space="preserve"> </w:t>
      </w:r>
      <w:r w:rsidR="00515814">
        <w:t>4</w:t>
      </w:r>
      <w:r>
        <w:t xml:space="preserve"> is</w:t>
      </w:r>
      <w:r w:rsidR="00E51F3E" w:rsidRPr="008A243A">
        <w:t xml:space="preserve"> that </w:t>
      </w:r>
      <w:r w:rsidR="001F736E">
        <w:t xml:space="preserve">the coupling between </w:t>
      </w:r>
      <w:r w:rsidR="00FF5B3F" w:rsidRPr="008A243A">
        <w:t>transition dipole</w:t>
      </w:r>
      <w:r w:rsidR="001F736E">
        <w:t>s</w:t>
      </w:r>
      <w:r w:rsidR="00FF5B3F" w:rsidRPr="008A243A">
        <w:t xml:space="preserve"> is somewhat stronger for MEH-PPV</w:t>
      </w:r>
      <w:r w:rsidR="00E51F3E" w:rsidRPr="008A243A">
        <w:t xml:space="preserve"> </w:t>
      </w:r>
      <w:r>
        <w:t xml:space="preserve">as </w:t>
      </w:r>
      <w:r w:rsidR="00E51F3E" w:rsidRPr="008A243A">
        <w:t>compa</w:t>
      </w:r>
      <w:r w:rsidR="001F736E">
        <w:t>red to PFBT. This is supported by the steady-state</w:t>
      </w:r>
      <w:r w:rsidR="00E51F3E" w:rsidRPr="008A243A">
        <w:t xml:space="preserve"> spectra</w:t>
      </w:r>
      <w:r w:rsidR="0089390E">
        <w:t xml:space="preserve">, which exhibit a pronounced red-shift (in both absorption </w:t>
      </w:r>
      <w:r w:rsidR="0089390E">
        <w:lastRenderedPageBreak/>
        <w:t>and emission) for MEH-PPV, while PFBT exhibits much smaller shifts</w:t>
      </w:r>
      <w:r w:rsidR="00E51F3E" w:rsidRPr="008A243A">
        <w:t xml:space="preserve">. </w:t>
      </w:r>
      <w:r w:rsidR="00CA2C06">
        <w:t>T</w:t>
      </w:r>
      <w:r w:rsidR="008A243A">
        <w:t xml:space="preserve">he lesser red shift in the absorption spectra of MEH-PPV </w:t>
      </w:r>
      <w:r w:rsidR="00CA2C06">
        <w:t xml:space="preserve">as compared to the emission can be explained by a </w:t>
      </w:r>
      <w:proofErr w:type="gramStart"/>
      <w:r w:rsidR="00CA2C06">
        <w:t>small</w:t>
      </w:r>
      <w:r w:rsidR="008A243A">
        <w:t xml:space="preserve"> </w:t>
      </w:r>
      <w:r w:rsidR="005C025E">
        <w:t xml:space="preserve"> fraction</w:t>
      </w:r>
      <w:proofErr w:type="gramEnd"/>
      <w:r w:rsidR="005C025E">
        <w:t xml:space="preserve"> of </w:t>
      </w:r>
      <w:r>
        <w:t xml:space="preserve">highly red-shifted </w:t>
      </w:r>
      <w:r w:rsidR="005C025E">
        <w:t>J-aggregate species</w:t>
      </w:r>
      <w:r w:rsidR="008A243A">
        <w:t>.</w:t>
      </w:r>
      <w:r w:rsidR="004E7F56">
        <w:t xml:space="preserve"> </w:t>
      </w:r>
      <w:r w:rsidR="005C025E">
        <w:t>This is consistent with the two-state picture of</w:t>
      </w:r>
      <w:r w:rsidR="004E7F56">
        <w:t xml:space="preserve"> Barbara, et al., used to discuss the bimodal emission properties in </w:t>
      </w:r>
      <w:r w:rsidR="00050749" w:rsidRPr="002628A8">
        <w:t>single molecule spectra</w:t>
      </w:r>
      <w:r w:rsidR="002628A8" w:rsidRPr="002628A8">
        <w:t xml:space="preserve"> of</w:t>
      </w:r>
      <w:r w:rsidR="003A50F7">
        <w:t xml:space="preserve"> </w:t>
      </w:r>
      <w:r w:rsidR="004E7F56">
        <w:t>both PFBT and MEH-PPV. In this picture, there is a minority aggregate state that exhibits weak, red-shifted emission, and ac</w:t>
      </w:r>
      <w:r w:rsidR="00B52D85">
        <w:t>ts a</w:t>
      </w:r>
      <w:r>
        <w:t>s an ene</w:t>
      </w:r>
      <w:r w:rsidR="0083628E">
        <w:t>rgy acceptor to the other (</w:t>
      </w:r>
      <w:proofErr w:type="spellStart"/>
      <w:r w:rsidR="0083628E">
        <w:t>unaggregated</w:t>
      </w:r>
      <w:proofErr w:type="spellEnd"/>
      <w:r w:rsidR="0083628E">
        <w:t>)</w:t>
      </w:r>
      <w:r>
        <w:t xml:space="preserve"> chromophores</w:t>
      </w:r>
      <w:proofErr w:type="gramStart"/>
      <w:r w:rsidR="00B52D85">
        <w:t>.</w:t>
      </w:r>
      <w:r w:rsidR="00357040">
        <w:t>{</w:t>
      </w:r>
      <w:proofErr w:type="gramEnd"/>
      <w:r w:rsidR="00357040">
        <w:t>Yu, 2000 #113</w:t>
      </w:r>
      <w:r w:rsidR="0002572A">
        <w:t>}{</w:t>
      </w:r>
      <w:r w:rsidR="00357040">
        <w:t>Yip, 1998 #110</w:t>
      </w:r>
      <w:r w:rsidR="0002572A">
        <w:t>}{</w:t>
      </w:r>
      <w:r w:rsidR="00357040">
        <w:t>Grey, 2006 #102</w:t>
      </w:r>
      <w:r w:rsidR="0002572A">
        <w:t>}{</w:t>
      </w:r>
      <w:r w:rsidR="00357040">
        <w:t>Lee, 2006 #105</w:t>
      </w:r>
      <w:r w:rsidR="0002572A">
        <w:t>}{</w:t>
      </w:r>
      <w:r w:rsidR="00357040">
        <w:t>Kim, 2006 #108}</w:t>
      </w:r>
      <w:hyperlink w:anchor="_ENREF_18" w:tooltip="Yip, 1998 #110" w:history="1"/>
      <w:hyperlink w:anchor="_ENREF_18" w:tooltip="Grey, 2006 #102" w:history="1"/>
      <w:r w:rsidR="004E7F56">
        <w:t xml:space="preserve"> </w:t>
      </w:r>
      <w:r w:rsidR="00272217">
        <w:t>In the c</w:t>
      </w:r>
      <w:r w:rsidR="00CA2C06">
        <w:t>ase of swelling, it is likely that swelling either</w:t>
      </w:r>
      <w:r w:rsidR="00272217">
        <w:t xml:space="preserve">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299FE4DA" w:rsidR="00CD5A09" w:rsidRDefault="00CD5A09" w:rsidP="00CD5A09">
      <w:pPr>
        <w:pStyle w:val="Default"/>
        <w:spacing w:line="480" w:lineRule="auto"/>
        <w:jc w:val="both"/>
        <w:rPr>
          <w:sz w:val="20"/>
          <w:szCs w:val="20"/>
        </w:rPr>
      </w:pPr>
      <w:r w:rsidRPr="003F3436">
        <w:rPr>
          <w:b/>
          <w:sz w:val="20"/>
          <w:szCs w:val="20"/>
        </w:rPr>
        <w:t xml:space="preserve">Fig. </w:t>
      </w:r>
      <w:r w:rsidR="00515814">
        <w:rPr>
          <w:b/>
          <w:sz w:val="20"/>
          <w:szCs w:val="20"/>
        </w:rPr>
        <w:t>5</w:t>
      </w:r>
      <w:r>
        <w:rPr>
          <w:b/>
          <w:sz w:val="20"/>
          <w:szCs w:val="20"/>
        </w:rPr>
        <w:t>.</w:t>
      </w:r>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w:t>
      </w:r>
      <w:proofErr w:type="gramStart"/>
      <w:r>
        <w:rPr>
          <w:sz w:val="20"/>
          <w:szCs w:val="20"/>
        </w:rPr>
        <w:t>,d</w:t>
      </w:r>
      <w:proofErr w:type="spellEnd"/>
      <w:proofErr w:type="gram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r>
        <w:rPr>
          <w:b/>
          <w:sz w:val="20"/>
          <w:szCs w:val="20"/>
        </w:rPr>
        <w:t>Table 1.</w:t>
      </w:r>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w:t>
            </w:r>
            <w:proofErr w:type="spellStart"/>
            <w:r w:rsidRPr="002D4038">
              <w:rPr>
                <w:b/>
                <w:sz w:val="20"/>
                <w:szCs w:val="20"/>
              </w:rPr>
              <w:t>ps</w:t>
            </w:r>
            <w:proofErr w:type="spellEnd"/>
            <w:r w:rsidRPr="002D4038">
              <w:rPr>
                <w:b/>
                <w:sz w:val="20"/>
                <w:szCs w:val="20"/>
              </w:rPr>
              <w:t>)</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lastRenderedPageBreak/>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0BCB8A17"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given by</w:t>
      </w:r>
      <w:r w:rsidR="006A103C">
        <w:t xml:space="preserve"> </w:t>
      </w:r>
      <w:r w:rsidR="005B76EF">
        <w:rPr>
          <w:position w:val="-10"/>
        </w:rPr>
        <w:pict w14:anchorId="386ADF0B">
          <v:shape id="_x0000_i1027" type="#_x0000_t75" style="width:108.55pt;height:18.3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357040">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83628E">
        <w:t>,</w:t>
      </w:r>
      <w:r w:rsidR="00EA0DE4">
        <w:t xml:space="preserve"> which was fit best by a single exponential, the remaining intensity decays fit </w:t>
      </w:r>
      <w:r w:rsidR="009B704F">
        <w:t>poorly to a single exponential</w:t>
      </w:r>
      <w:r w:rsidR="00CB42B3" w:rsidRPr="004F2A79">
        <w:t>,</w:t>
      </w:r>
      <w:r w:rsidR="009B704F">
        <w:t xml:space="preserve"> </w:t>
      </w:r>
      <w:r w:rsidR="004706D2">
        <w:t xml:space="preserve">with the residuals </w:t>
      </w:r>
      <w:r w:rsidR="009B704F">
        <w:t>showing systematic deviation consistent with bi-exponential or multi-exponential</w:t>
      </w:r>
      <w:r w:rsidR="00CB42B3" w:rsidRPr="004F2A79">
        <w:t xml:space="preserve"> </w:t>
      </w:r>
      <w:r w:rsidR="009B704F">
        <w:t>dynamics</w:t>
      </w:r>
      <w:r w:rsidR="00A75696">
        <w:t>.</w:t>
      </w:r>
      <w:r w:rsidR="009B704F">
        <w:t xml:space="preserve"> </w:t>
      </w:r>
      <w:r w:rsidR="00A75696">
        <w:t xml:space="preserve">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515814">
        <w:t>5</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w:t>
      </w:r>
      <w:r w:rsidR="00A653E8">
        <w:t>0</w:t>
      </w:r>
      <w:r w:rsidR="00232459">
        <w:t xml:space="preserve"> </w:t>
      </w:r>
      <w:proofErr w:type="spellStart"/>
      <w:r w:rsidR="00232459">
        <w:t>ps</w:t>
      </w:r>
      <w:proofErr w:type="spellEnd"/>
      <w:r w:rsidR="00232459">
        <w:t xml:space="preserve"> versus ~</w:t>
      </w:r>
      <w:r w:rsidR="00D4626F">
        <w:t>700</w:t>
      </w:r>
      <w:r w:rsidR="003B7D17">
        <w:t xml:space="preserve"> </w:t>
      </w:r>
      <w:proofErr w:type="spellStart"/>
      <w:r w:rsidR="003B7D17">
        <w:t>ps</w:t>
      </w:r>
      <w:proofErr w:type="spellEnd"/>
      <w:r w:rsidR="003B7D17">
        <w:t xml:space="preserve"> previously for PFBT)</w:t>
      </w:r>
      <w:r w:rsidR="00CA2C06">
        <w:t>, which</w:t>
      </w:r>
      <w:r w:rsidR="00232459">
        <w:t xml:space="preserve"> can be ascribed to a mor</w:t>
      </w:r>
      <w:r w:rsidR="004706D2">
        <w:t>e complete THF removal</w:t>
      </w:r>
      <w:r w:rsidR="008A7CAE">
        <w:t xml:space="preserve">. </w:t>
      </w:r>
      <w:r w:rsidR="008A7CAE" w:rsidRPr="008A7CAE">
        <w:t>T</w:t>
      </w:r>
      <w:r w:rsidR="00196B76" w:rsidRPr="008A7CAE">
        <w:t>his expla</w:t>
      </w:r>
      <w:r w:rsidR="008A7CAE" w:rsidRPr="008A7CAE">
        <w:t>nation is also consistent with</w:t>
      </w:r>
      <w:r w:rsidR="008A7CAE">
        <w:t xml:space="preserve"> the</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w:t>
      </w:r>
      <w:r w:rsidR="00721C88">
        <w:lastRenderedPageBreak/>
        <w:t>CPNs</w:t>
      </w:r>
      <w:r w:rsidR="00D4626F">
        <w:t>)</w:t>
      </w:r>
      <w:proofErr w:type="gramStart"/>
      <w:r w:rsidR="00D4626F">
        <w:t>.</w:t>
      </w:r>
      <w:r w:rsidR="00D43EC4">
        <w:t>{</w:t>
      </w:r>
      <w:proofErr w:type="gramEnd"/>
      <w:r w:rsidR="00D43EC4">
        <w:t>Groff, 2013 #60}</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8A7CAE">
        <w:t xml:space="preserve">an overall decrease in lifetime heterogeneity, </w:t>
      </w:r>
      <w:r w:rsidR="00964CC9" w:rsidRPr="008A7CAE">
        <w:t>though</w:t>
      </w:r>
      <w:r w:rsidR="003709AB" w:rsidRPr="008A7CAE">
        <w:t xml:space="preserve"> even in good solvent there is some heterogeneity</w:t>
      </w:r>
      <w:r w:rsidR="00420C3A" w:rsidRPr="008A7CAE">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w:t>
      </w:r>
      <w:r w:rsidR="00615BA8" w:rsidRPr="00615BA8">
        <w:rPr>
          <w:highlight w:val="yellow"/>
        </w:rPr>
        <w:t>[width of the? or spread of the?]</w:t>
      </w:r>
      <w:r w:rsidR="00615BA8">
        <w:t xml:space="preserve"> </w:t>
      </w:r>
      <w:r w:rsidR="00C0742D">
        <w:t>distribution of exciton lifetimes.</w:t>
      </w:r>
      <w:r w:rsidR="00421553">
        <w:t xml:space="preserve"> This</w:t>
      </w:r>
      <w:r w:rsidR="0041049A">
        <w:t xml:space="preserve"> deviation from the trend of increasing </w:t>
      </w:r>
      <w:r w:rsidR="0041049A" w:rsidRPr="0041049A">
        <w:rPr>
          <w:rFonts w:ascii="Symbol" w:hAnsi="Symbol"/>
          <w:i/>
        </w:rPr>
        <w:t></w:t>
      </w:r>
      <w:r w:rsidR="0041049A">
        <w:t xml:space="preserve"> as % THF increases</w:t>
      </w:r>
      <w:r w:rsidR="00421553">
        <w:t xml:space="preserve"> </w:t>
      </w:r>
      <w:r w:rsidR="0041049A">
        <w:t>is hypothesized to be due to the presence of two distinct emitting populations with substantially different lifetimes at moderately high % THF, discussed further below.</w:t>
      </w:r>
      <w:r w:rsidR="006A6F96">
        <w:t xml:space="preserve"> </w:t>
      </w:r>
      <w:r w:rsidR="00A45F4A" w:rsidRPr="00925CC9">
        <w:t xml:space="preserve">The </w:t>
      </w:r>
      <w:r w:rsidR="0041049A" w:rsidRPr="0041049A">
        <w:t>overall trend of increasing</w:t>
      </w:r>
      <w:r w:rsidR="003D1B10" w:rsidRPr="0041049A">
        <w:t xml:space="preserve"> </w:t>
      </w:r>
      <w:r w:rsidR="00A45F4A" w:rsidRPr="0041049A">
        <w:rPr>
          <w:rFonts w:ascii="Symbol" w:hAnsi="Symbol"/>
          <w:i/>
        </w:rPr>
        <w:t></w:t>
      </w:r>
      <w:r w:rsidR="00A45F4A" w:rsidRPr="00925CC9">
        <w:t xml:space="preserve"> </w:t>
      </w:r>
      <w:r w:rsidR="0041049A">
        <w:t>for both polymers</w:t>
      </w:r>
      <w:r w:rsidR="00885BC3">
        <w:t xml:space="preserve"> </w:t>
      </w:r>
      <w:r w:rsidR="0041049A">
        <w:t>is</w:t>
      </w:r>
      <w:r w:rsidR="00A45F4A" w:rsidRPr="00925CC9">
        <w:t xml:space="preserve"> </w:t>
      </w:r>
      <w:r w:rsidR="0041049A">
        <w:t xml:space="preserve">assumed to result from </w:t>
      </w:r>
      <w:r w:rsidR="009F20F9">
        <w:t xml:space="preserve">increases in equilibrium chromophore spacing as THF concentration increases, leading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quenchers</w:t>
      </w:r>
      <w:r w:rsidR="006E4258">
        <w:t xml:space="preserve">. </w:t>
      </w:r>
      <w:r w:rsidR="00837782" w:rsidRPr="00837782">
        <w:t>This picture</w:t>
      </w:r>
      <w:r w:rsidR="0030527F" w:rsidRPr="00837782">
        <w:t xml:space="preserve"> is supported by prior results of dye-doped CPNs, wh</w:t>
      </w:r>
      <w:r w:rsidR="00421553">
        <w:t>ere</w:t>
      </w:r>
      <w:r w:rsidR="0030527F" w:rsidRPr="00837782">
        <w:t xml:space="preserve"> a reduction in </w:t>
      </w:r>
      <w:r w:rsidR="00885BC3" w:rsidRPr="00925CC9">
        <w:rPr>
          <w:rFonts w:ascii="Symbol" w:hAnsi="Symbol"/>
          <w:i/>
        </w:rPr>
        <w:t></w:t>
      </w:r>
      <w:r w:rsidR="0030527F" w:rsidRPr="00837782">
        <w:t xml:space="preserve"> </w:t>
      </w:r>
      <w:r w:rsidR="00421553">
        <w:t xml:space="preserve">was observed </w:t>
      </w:r>
      <w:r w:rsidR="0030527F" w:rsidRPr="00837782">
        <w:t>as additional quenchers (dyes) were introduced.</w:t>
      </w:r>
      <w:r w:rsidR="00357040">
        <w:t>{Groff, 2013 #60}</w:t>
      </w:r>
      <w:r w:rsidR="0030527F">
        <w:t xml:space="preserve"> </w:t>
      </w:r>
      <w:r w:rsidR="00506326">
        <w:t xml:space="preserve">The </w:t>
      </w:r>
      <w:r w:rsidR="00506326" w:rsidRPr="00685858">
        <w:t xml:space="preserve">results of the </w:t>
      </w:r>
      <w:r w:rsidR="00685858" w:rsidRPr="00685858">
        <w:t>bi-exponential least-squares fitting analysis</w:t>
      </w:r>
      <w:r w:rsidR="00455B55">
        <w:t xml:space="preserve"> </w:t>
      </w:r>
      <w:r w:rsidR="00506326">
        <w:t xml:space="preserve">are discussed </w:t>
      </w:r>
      <w:r w:rsidR="0001039F">
        <w:t xml:space="preserve">in greater detail </w:t>
      </w:r>
      <w:r w:rsidR="00506326">
        <w:t>below.</w:t>
      </w:r>
    </w:p>
    <w:p w14:paraId="5D482CA8" w14:textId="6A90BEC7"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4706D2">
        <w:t>larger</w:t>
      </w:r>
      <w:r w:rsidR="00EF1060">
        <w:t xml:space="preserve"> time constant increase</w:t>
      </w:r>
      <w:r w:rsidR="00AE1660">
        <w:t>s</w:t>
      </w:r>
      <w:r w:rsidR="00EF1060">
        <w:t xml:space="preserve"> </w:t>
      </w:r>
      <w:r w:rsidR="003C5A7B">
        <w:t xml:space="preserve">monotonically with increasing THF </w:t>
      </w:r>
      <w:r w:rsidR="0056517B">
        <w:t>fraction,</w:t>
      </w:r>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685858" w:rsidRPr="00685858">
        <w:t xml:space="preserve">where </w:t>
      </w:r>
      <w:r w:rsidR="00685858">
        <w:t>lifetime i</w:t>
      </w:r>
      <w:r w:rsidR="004706D2">
        <w:t>s characterized almost entire</w:t>
      </w:r>
      <w:r w:rsidR="00685858">
        <w:t>ly by the short time constant</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w:t>
      </w:r>
      <w:proofErr w:type="gramStart"/>
      <w:r w:rsidR="004E5516" w:rsidRPr="007D538C">
        <w:rPr>
          <w:strike/>
          <w:highlight w:val="yellow"/>
        </w:rPr>
        <w:t>lifetime</w:t>
      </w:r>
      <w:r w:rsidR="007D538C" w:rsidRPr="007D538C">
        <w:rPr>
          <w:highlight w:val="yellow"/>
        </w:rPr>
        <w:t>[</w:t>
      </w:r>
      <w:proofErr w:type="gramEnd"/>
      <w:r w:rsidR="007D538C" w:rsidRPr="007D538C">
        <w:rPr>
          <w:highlight w:val="yellow"/>
        </w:rPr>
        <w:t>picosecond kinetics]</w:t>
      </w:r>
      <w:r w:rsidR="004E5516">
        <w:t xml:space="preserv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4706D2">
        <w:t>two state-like equilibrium</w:t>
      </w:r>
      <w:r w:rsidR="00F16612">
        <w:t xml:space="preserve">, in which </w:t>
      </w:r>
      <w:r w:rsidR="00F2711B">
        <w:t xml:space="preserve">swelled </w:t>
      </w:r>
      <w:r w:rsidR="001D617C">
        <w:t>nanoparticles</w:t>
      </w:r>
      <w:r w:rsidR="00DA66D0">
        <w:t xml:space="preserve"> and </w:t>
      </w:r>
      <w:r w:rsidR="00DA66D0" w:rsidRPr="00DA66D0">
        <w:t>isolated polymer chains</w:t>
      </w:r>
      <w:r w:rsidR="00E70BAB">
        <w:t xml:space="preserve"> </w:t>
      </w:r>
      <w:r w:rsidR="00EF1060">
        <w:t xml:space="preserve">coexist in </w:t>
      </w:r>
      <w:r w:rsidR="00EF1060" w:rsidRPr="007D538C">
        <w:rPr>
          <w:strike/>
          <w:highlight w:val="yellow"/>
        </w:rPr>
        <w:t>equilibrium</w:t>
      </w:r>
      <w:r w:rsidR="007D538C" w:rsidRPr="007D538C">
        <w:rPr>
          <w:highlight w:val="yellow"/>
        </w:rPr>
        <w:t>[</w:t>
      </w:r>
      <w:r w:rsidR="007D538C">
        <w:rPr>
          <w:highlight w:val="yellow"/>
        </w:rPr>
        <w:t>in varying ratios</w:t>
      </w:r>
      <w:r w:rsidR="007D538C" w:rsidRPr="007D538C">
        <w:rPr>
          <w:highlight w:val="yellow"/>
        </w:rPr>
        <w:t>]</w:t>
      </w:r>
      <w:r w:rsidR="00EF1060">
        <w:t xml:space="preserve">, </w:t>
      </w:r>
      <w:r w:rsidR="00EF1060" w:rsidRPr="007D538C">
        <w:rPr>
          <w:strike/>
          <w:highlight w:val="yellow"/>
        </w:rPr>
        <w:lastRenderedPageBreak/>
        <w:t>within</w:t>
      </w:r>
      <w:r w:rsidR="007D538C" w:rsidRPr="007D538C">
        <w:rPr>
          <w:highlight w:val="yellow"/>
        </w:rPr>
        <w:t>[over</w:t>
      </w:r>
      <w:r w:rsidR="007D538C">
        <w:rPr>
          <w:highlight w:val="yellow"/>
        </w:rPr>
        <w:t>? or maybe within is better. I’m tired.</w:t>
      </w:r>
      <w:r w:rsidR="007D538C" w:rsidRPr="007D538C">
        <w:rPr>
          <w:highlight w:val="yellow"/>
        </w:rPr>
        <w:t>]</w:t>
      </w:r>
      <w:r w:rsidR="00EF1060">
        <w:t xml:space="preserve"> </w:t>
      </w:r>
      <w:proofErr w:type="gramStart"/>
      <w:r w:rsidR="00EF1060">
        <w:t>a</w:t>
      </w:r>
      <w:proofErr w:type="gramEnd"/>
      <w:r w:rsidR="00EF1060">
        <w:t xml:space="preserve"> </w:t>
      </w:r>
      <w:r w:rsidR="00EF1060" w:rsidRPr="005B76EF">
        <w:rPr>
          <w:strike/>
          <w:highlight w:val="yellow"/>
        </w:rPr>
        <w:t>narrow</w:t>
      </w:r>
      <w:r w:rsidR="00EF1060" w:rsidRPr="005B76EF">
        <w:rPr>
          <w:highlight w:val="yellow"/>
        </w:rPr>
        <w:t xml:space="preserve"> </w:t>
      </w:r>
      <w:r w:rsidR="005B76EF" w:rsidRPr="005B76EF">
        <w:rPr>
          <w:highlight w:val="yellow"/>
        </w:rPr>
        <w:t>[limited]</w:t>
      </w:r>
      <w:r w:rsidR="005B76EF">
        <w:t xml:space="preserve"> </w:t>
      </w:r>
      <w:r w:rsidR="00EF1060">
        <w:t>range of THF concentration</w:t>
      </w:r>
      <w:r w:rsidR="003A3F56">
        <w:t>s</w:t>
      </w:r>
      <w:r w:rsidR="00EF1060">
        <w:t>.</w:t>
      </w:r>
      <w:r w:rsidR="001D617C">
        <w:t xml:space="preserve"> This hypothesis is further supported by the anomalously low </w:t>
      </w:r>
      <w:r w:rsidR="001D617C" w:rsidRPr="001D617C">
        <w:rPr>
          <w:rFonts w:ascii="Symbol" w:hAnsi="Symbol"/>
          <w:i/>
        </w:rPr>
        <w:t></w:t>
      </w:r>
      <w:r w:rsidR="005370C5">
        <w:t xml:space="preserve"> </w:t>
      </w:r>
      <w:r w:rsidR="001D617C">
        <w:t>observed for PFBT in 80% THF</w:t>
      </w:r>
      <w:r w:rsidR="00A20D8F">
        <w:t xml:space="preserve"> and is discussed in more detail below</w:t>
      </w:r>
      <w:r w:rsidR="0066135B" w:rsidRPr="000F43CF">
        <w:t>.</w:t>
      </w:r>
    </w:p>
    <w:p w14:paraId="34E60D49" w14:textId="58676B77" w:rsidR="00A45F4A" w:rsidRPr="00C91256" w:rsidRDefault="00357040" w:rsidP="00C91256">
      <w:pPr>
        <w:pStyle w:val="Default"/>
        <w:spacing w:line="480" w:lineRule="auto"/>
        <w:ind w:firstLine="720"/>
        <w:jc w:val="both"/>
      </w:pPr>
      <w:r>
        <w:t xml:space="preserve">Given the red-shifting of fluorescence emission in CPNs, it is assumed that chain collapse into nanoparticles </w:t>
      </w:r>
      <w:proofErr w:type="gramStart"/>
      <w:r w:rsidRPr="007D538C">
        <w:rPr>
          <w:highlight w:val="yellow"/>
        </w:rPr>
        <w:t>introduces</w:t>
      </w:r>
      <w:r w:rsidR="007D538C" w:rsidRPr="007D538C">
        <w:rPr>
          <w:highlight w:val="yellow"/>
        </w:rPr>
        <w:t>[</w:t>
      </w:r>
      <w:proofErr w:type="gramEnd"/>
      <w:r w:rsidR="007D538C" w:rsidRPr="007D538C">
        <w:rPr>
          <w:highlight w:val="yellow"/>
        </w:rPr>
        <w:t>leads to the formation of?]</w:t>
      </w:r>
      <w:r>
        <w:t xml:space="preserve"> J-aggregate </w:t>
      </w:r>
      <w:r w:rsidR="00A20D8F">
        <w:t>species</w:t>
      </w:r>
      <w:r w:rsidR="000D3473">
        <w:t xml:space="preserve">. J-aggregation is typically accompanied by an increase in radiative rate due to an increase in </w:t>
      </w:r>
      <w:r w:rsidR="00E86987">
        <w:t>the net transition dipole</w:t>
      </w:r>
      <w:r w:rsidR="00A20D8F">
        <w:t xml:space="preserve"> moment</w:t>
      </w:r>
      <w:r w:rsidR="000D3473">
        <w:t>.</w:t>
      </w:r>
      <w:r w:rsidR="00A75AC0">
        <w:t>{Jelly, 1936 #21</w:t>
      </w:r>
      <w:r w:rsidR="0056517B">
        <w:t>}{</w:t>
      </w:r>
      <w:proofErr w:type="spellStart"/>
      <w:r w:rsidR="000D3473">
        <w:t>Wurthner</w:t>
      </w:r>
      <w:proofErr w:type="spellEnd"/>
      <w:r w:rsidR="000D3473">
        <w:t>, 2011 #140} With this in mind, the</w:t>
      </w:r>
      <w:r w:rsidR="005C36E5">
        <w:t xml:space="preserve"> radiative rate </w:t>
      </w:r>
      <w:r w:rsidR="000D3473">
        <w:t>of a given polymer or CPN sample</w:t>
      </w:r>
      <w:r w:rsidR="005C36E5">
        <w:t xml:space="preserve"> </w:t>
      </w:r>
      <w:r w:rsidR="00D43EC4">
        <w:t>wa</w:t>
      </w:r>
      <w:r w:rsidR="00C91256">
        <w:t>s</w:t>
      </w:r>
      <w:r w:rsidR="005C36E5">
        <w:t xml:space="preserve"> calculated using the fluorescence quantum yield and </w:t>
      </w:r>
      <w:r w:rsidR="00C91256">
        <w:t xml:space="preserve">fluorescence lifetime </w:t>
      </w:r>
      <w:r w:rsidR="005C36E5">
        <w:t xml:space="preserve">by </w:t>
      </w:r>
      <w:r w:rsidR="005C36E5">
        <w:rPr>
          <w:noProof/>
          <w:position w:val="-14"/>
        </w:rPr>
        <w:drawing>
          <wp:inline distT="0" distB="0" distL="0" distR="0" wp14:anchorId="567A7276" wp14:editId="088E655E">
            <wp:extent cx="74295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238125"/>
                    </a:xfrm>
                    <a:prstGeom prst="rect">
                      <a:avLst/>
                    </a:prstGeom>
                    <a:noFill/>
                    <a:ln>
                      <a:noFill/>
                    </a:ln>
                  </pic:spPr>
                </pic:pic>
              </a:graphicData>
            </a:graphic>
          </wp:inline>
        </w:drawing>
      </w:r>
      <w:r w:rsidR="00C91256">
        <w:t xml:space="preserve">. While the uncertainty was too high to observe a </w:t>
      </w:r>
      <w:r w:rsidR="00A20D8F">
        <w:t>clear trend</w:t>
      </w:r>
      <w:r w:rsidR="00C91256">
        <w:t xml:space="preserve">, </w:t>
      </w:r>
      <w:r w:rsidR="00C91256" w:rsidRPr="00C91256">
        <w:t>the radiative rate varied over a factor of ~2 for PFBT (~1.2×10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2.5×10</w:t>
      </w:r>
      <w:r w:rsidR="00C91256" w:rsidRPr="00C91256">
        <w:rPr>
          <w:vertAlign w:val="superscript"/>
        </w:rPr>
        <w:t>8</w:t>
      </w:r>
      <w:r w:rsidR="00C91256" w:rsidRPr="00C91256">
        <w:t xml:space="preserve"> s</w:t>
      </w:r>
      <w:r w:rsidR="00C91256" w:rsidRPr="00C91256">
        <w:rPr>
          <w:vertAlign w:val="superscript"/>
        </w:rPr>
        <w:t>-1</w:t>
      </w:r>
      <w:r w:rsidR="00C91256" w:rsidRPr="00C91256">
        <w:t>) and a factor of ~4 (~3.0×10</w:t>
      </w:r>
      <w:r w:rsidR="00C91256" w:rsidRPr="00C91256">
        <w:rPr>
          <w:vertAlign w:val="superscript"/>
        </w:rPr>
        <w:t>8</w:t>
      </w:r>
      <w:r w:rsidR="00C91256" w:rsidRPr="00C91256">
        <w:t xml:space="preserve"> s</w:t>
      </w:r>
      <w:r w:rsidR="00C91256" w:rsidRPr="00C91256">
        <w:rPr>
          <w:vertAlign w:val="superscript"/>
        </w:rPr>
        <w:t>-1</w:t>
      </w:r>
      <w:r w:rsidR="00C91256" w:rsidRPr="00C91256">
        <w:t xml:space="preserve"> to 1.2×10</w:t>
      </w:r>
      <w:r w:rsidR="00C91256" w:rsidRPr="00C91256">
        <w:rPr>
          <w:vertAlign w:val="superscript"/>
        </w:rPr>
        <w:t>9</w:t>
      </w:r>
      <w:r w:rsidR="00C91256" w:rsidRPr="00C91256">
        <w:t xml:space="preserve"> s</w:t>
      </w:r>
      <w:r w:rsidR="00C91256" w:rsidRPr="00C91256">
        <w:rPr>
          <w:vertAlign w:val="superscript"/>
        </w:rPr>
        <w:t>-1</w:t>
      </w:r>
      <w:r w:rsidR="00C91256" w:rsidRPr="00C91256">
        <w:t>) for MEH-PPV over the range of THF concentration</w:t>
      </w:r>
      <w:r w:rsidR="00C91256">
        <w:t xml:space="preserve">, indicating that transition dipole coupling between like chromophores </w:t>
      </w:r>
      <w:r w:rsidR="007D538C" w:rsidRPr="007D538C">
        <w:rPr>
          <w:highlight w:val="yellow"/>
        </w:rPr>
        <w:t>[in the nanoparticle phase]</w:t>
      </w:r>
      <w:r w:rsidR="007D538C">
        <w:t xml:space="preserve"> </w:t>
      </w:r>
      <w:r w:rsidR="00C91256">
        <w:t xml:space="preserve">is </w:t>
      </w:r>
      <w:r w:rsidR="00D43EC4">
        <w:t xml:space="preserve">possibly </w:t>
      </w:r>
      <w:r w:rsidR="00C91256">
        <w:t>stronger in MEH-PPV as compared to PFBT.</w:t>
      </w: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41A0F81D" w:rsidR="00363B83" w:rsidRDefault="00363B83" w:rsidP="00784FB9">
      <w:pPr>
        <w:pStyle w:val="Default"/>
        <w:spacing w:line="480" w:lineRule="auto"/>
        <w:jc w:val="both"/>
        <w:rPr>
          <w:sz w:val="20"/>
          <w:szCs w:val="20"/>
        </w:rPr>
      </w:pPr>
      <w:r>
        <w:rPr>
          <w:b/>
          <w:sz w:val="20"/>
          <w:szCs w:val="20"/>
        </w:rPr>
        <w:t xml:space="preserve">Fig. </w:t>
      </w:r>
      <w:r w:rsidR="00515814">
        <w:rPr>
          <w:b/>
          <w:sz w:val="20"/>
          <w:szCs w:val="20"/>
        </w:rPr>
        <w:t>6</w:t>
      </w:r>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6224AEDC" w:rsidR="00C9020A" w:rsidRDefault="00C9020A" w:rsidP="00C9020A">
      <w:pPr>
        <w:pStyle w:val="Default"/>
        <w:spacing w:line="480" w:lineRule="auto"/>
        <w:jc w:val="both"/>
        <w:rPr>
          <w:sz w:val="20"/>
          <w:szCs w:val="20"/>
        </w:rPr>
      </w:pPr>
      <w:r>
        <w:rPr>
          <w:b/>
          <w:sz w:val="20"/>
          <w:szCs w:val="20"/>
        </w:rPr>
        <w:t xml:space="preserve">Fig. </w:t>
      </w:r>
      <w:r w:rsidR="00515814">
        <w:rPr>
          <w:b/>
          <w:sz w:val="20"/>
          <w:szCs w:val="20"/>
        </w:rPr>
        <w:t>7</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34C495C5"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r w:rsidR="002721D7">
        <w:t>I</w:t>
      </w:r>
      <w:r w:rsidR="00FF4B2D" w:rsidRPr="002721D7">
        <w:t xml:space="preserve">n a dense, </w:t>
      </w:r>
      <w:proofErr w:type="spellStart"/>
      <w:r w:rsidR="00FF4B2D" w:rsidRPr="002721D7">
        <w:t>multichromophoric</w:t>
      </w:r>
      <w:proofErr w:type="spellEnd"/>
      <w:r w:rsidR="00FF4B2D" w:rsidRPr="002721D7">
        <w:t xml:space="preserve"> system, </w:t>
      </w:r>
      <w:r w:rsidR="006615F9" w:rsidRPr="002721D7">
        <w:t xml:space="preserve">(incoherent) </w:t>
      </w:r>
      <w:r w:rsidR="00456954" w:rsidRPr="002721D7">
        <w:t xml:space="preserve">exciton transport </w:t>
      </w:r>
      <w:r w:rsidR="00FF4B2D" w:rsidRPr="002721D7">
        <w:t xml:space="preserve">can be described as </w:t>
      </w:r>
      <w:r w:rsidR="006615F9" w:rsidRPr="002721D7">
        <w:t xml:space="preserve">a series of energy transfer </w:t>
      </w:r>
      <w:r w:rsidR="0002168C" w:rsidRPr="002721D7">
        <w:t>steps to</w:t>
      </w:r>
      <w:r w:rsidR="006542BA" w:rsidRPr="002721D7">
        <w:t xml:space="preserve"> roughly equivalent </w:t>
      </w:r>
      <w:r w:rsidR="0002168C" w:rsidRPr="002721D7">
        <w:t xml:space="preserve">neighboring </w:t>
      </w:r>
      <w:r w:rsidR="006542BA" w:rsidRPr="002721D7">
        <w:t xml:space="preserve">chromophores, terminated by </w:t>
      </w:r>
      <w:r w:rsidR="007D734A" w:rsidRPr="002721D7">
        <w:t>a quencher</w:t>
      </w:r>
      <w:r w:rsidR="002721D7">
        <w:t xml:space="preserve"> </w:t>
      </w:r>
      <w:r w:rsidR="002721D7" w:rsidRPr="000D597B">
        <w:t>(e.g.</w:t>
      </w:r>
      <w:r w:rsidR="002721D7">
        <w:t xml:space="preserve"> </w:t>
      </w:r>
      <w:r w:rsidR="00283706">
        <w:t xml:space="preserve">a </w:t>
      </w:r>
      <w:proofErr w:type="spellStart"/>
      <w:r w:rsidR="002721D7">
        <w:t>nonfluorescent</w:t>
      </w:r>
      <w:proofErr w:type="spellEnd"/>
      <w:r w:rsidR="002721D7">
        <w:t xml:space="preserve"> chemical defect</w:t>
      </w:r>
      <w:r w:rsidR="002721D7" w:rsidRPr="000D597B">
        <w:t xml:space="preserve"> or red</w:t>
      </w:r>
      <w:r w:rsidR="002721D7">
        <w:t>-</w:t>
      </w:r>
      <w:r w:rsidR="002721D7" w:rsidRPr="000D597B">
        <w:t>shifte</w:t>
      </w:r>
      <w:r w:rsidR="002721D7">
        <w:t>d, weakly fluorescent aggregate</w:t>
      </w:r>
      <w:r w:rsidR="002721D7" w:rsidRPr="000D597B">
        <w:t>)</w:t>
      </w:r>
      <w:r w:rsidR="007D734A" w:rsidRPr="002721D7">
        <w:t>, or radiative or non-radiative relaxation t</w:t>
      </w:r>
      <w:r w:rsidR="002721D7" w:rsidRPr="002721D7">
        <w:t>o the ground electronic state</w:t>
      </w:r>
      <w:r w:rsidR="002721D7">
        <w:t>.</w:t>
      </w:r>
      <w:r w:rsidR="000D597B" w:rsidRPr="000D597B">
        <w:t xml:space="preserve"> </w:t>
      </w:r>
      <w:r w:rsidR="002721D7">
        <w:t>T</w:t>
      </w:r>
      <w:r w:rsidR="000D597B" w:rsidRPr="000D597B">
        <w:t xml:space="preserve">he rate of </w:t>
      </w:r>
      <w:r w:rsidR="002721D7">
        <w:t>multiple energy transfer</w:t>
      </w:r>
      <w:r w:rsidR="000D597B" w:rsidRPr="000D597B">
        <w:t xml:space="preserve"> depends on the </w:t>
      </w:r>
      <w:proofErr w:type="spellStart"/>
      <w:r w:rsidR="000D597B" w:rsidRPr="000D597B">
        <w:t>interchromophore</w:t>
      </w:r>
      <w:proofErr w:type="spellEnd"/>
      <w:r w:rsidR="000D597B" w:rsidRPr="000D597B">
        <w:t xml:space="preserve"> spacing, which</w:t>
      </w:r>
      <w:r w:rsidR="00921F99">
        <w:t xml:space="preserve"> </w:t>
      </w:r>
      <w:r w:rsidR="00921F99" w:rsidRPr="00921F99">
        <w:rPr>
          <w:highlight w:val="yellow"/>
        </w:rPr>
        <w:t>[in the present case]</w:t>
      </w:r>
      <w:r w:rsidR="000D597B" w:rsidRPr="000D597B">
        <w:t xml:space="preserve"> is determined by the amount of swelling in the CPN</w:t>
      </w:r>
      <w:r w:rsidR="00192C0A">
        <w:t>s (i.e. by the solvent composition</w:t>
      </w:r>
      <w:r w:rsidR="000D597B" w:rsidRPr="000D597B">
        <w:t xml:space="preserve">). </w:t>
      </w:r>
      <w:r w:rsidR="000D597B" w:rsidRPr="00921F99">
        <w:rPr>
          <w:strike/>
        </w:rPr>
        <w:t xml:space="preserve">We </w:t>
      </w:r>
      <w:proofErr w:type="gramStart"/>
      <w:r w:rsidR="000D597B" w:rsidRPr="00921F99">
        <w:rPr>
          <w:strike/>
        </w:rPr>
        <w:t>hypothesize</w:t>
      </w:r>
      <w:r w:rsidR="00921F99" w:rsidRPr="00921F99">
        <w:rPr>
          <w:highlight w:val="yellow"/>
        </w:rPr>
        <w:t>[</w:t>
      </w:r>
      <w:proofErr w:type="gramEnd"/>
      <w:r w:rsidR="00921F99" w:rsidRPr="00921F99">
        <w:rPr>
          <w:highlight w:val="yellow"/>
        </w:rPr>
        <w:t>Forster’s model for exciton diffusion[ref] predicts]</w:t>
      </w:r>
      <w:r w:rsidR="000D597B" w:rsidRPr="000D597B">
        <w:t xml:space="preserve"> that the </w:t>
      </w:r>
      <w:r w:rsidR="00921F99" w:rsidRPr="00921F99">
        <w:rPr>
          <w:highlight w:val="yellow"/>
        </w:rPr>
        <w:t xml:space="preserve">[exciton diffusion (i.e., </w:t>
      </w:r>
      <w:r w:rsidR="000D597B" w:rsidRPr="00921F99">
        <w:rPr>
          <w:highlight w:val="yellow"/>
        </w:rPr>
        <w:t>multiple energy transfer</w:t>
      </w:r>
      <w:r w:rsidR="00921F99" w:rsidRPr="00921F99">
        <w:rPr>
          <w:highlight w:val="yellow"/>
        </w:rPr>
        <w:t>)]</w:t>
      </w:r>
      <w:r w:rsidR="00921F99">
        <w:t xml:space="preserve"> </w:t>
      </w:r>
      <w:r w:rsidR="000D597B" w:rsidRPr="000D597B">
        <w:t xml:space="preserve"> rate is </w:t>
      </w:r>
      <w:r w:rsidR="00FE32D2">
        <w:t>increased</w:t>
      </w:r>
      <w:r w:rsidR="008D01E0">
        <w:t xml:space="preserve"> </w:t>
      </w:r>
      <w:r w:rsidR="000D597B" w:rsidRPr="000D597B">
        <w:t xml:space="preserve">at </w:t>
      </w:r>
      <w:r w:rsidR="00921F99" w:rsidRPr="00B35AFC">
        <w:rPr>
          <w:highlight w:val="yellow"/>
        </w:rPr>
        <w:t xml:space="preserve">[high </w:t>
      </w:r>
      <w:proofErr w:type="spellStart"/>
      <w:r w:rsidR="00921F99" w:rsidRPr="00B35AFC">
        <w:rPr>
          <w:highlight w:val="yellow"/>
        </w:rPr>
        <w:t>chromophore</w:t>
      </w:r>
      <w:proofErr w:type="spellEnd"/>
      <w:r w:rsidR="00921F99" w:rsidRPr="00B35AFC">
        <w:rPr>
          <w:highlight w:val="yellow"/>
        </w:rPr>
        <w:t xml:space="preserve"> densities, which in the present case corresponds to low </w:t>
      </w:r>
      <w:r w:rsidR="00B35AFC">
        <w:rPr>
          <w:highlight w:val="yellow"/>
        </w:rPr>
        <w:t>concentrations of the swelling s</w:t>
      </w:r>
      <w:r w:rsidR="00921F99" w:rsidRPr="00B35AFC">
        <w:rPr>
          <w:highlight w:val="yellow"/>
        </w:rPr>
        <w:t>olvent</w:t>
      </w:r>
      <w:r w:rsidR="00B35AFC">
        <w:rPr>
          <w:highlight w:val="yellow"/>
        </w:rPr>
        <w:t>.</w:t>
      </w:r>
      <w:r w:rsidR="00921F99" w:rsidRPr="00B35AFC">
        <w:rPr>
          <w:highlight w:val="yellow"/>
        </w:rPr>
        <w:t>]</w:t>
      </w:r>
      <w:r w:rsidR="00921F99">
        <w:t xml:space="preserve"> </w:t>
      </w:r>
      <w:r w:rsidR="000D597B" w:rsidRPr="00B35AFC">
        <w:rPr>
          <w:strike/>
          <w:highlight w:val="yellow"/>
        </w:rPr>
        <w:t>lo</w:t>
      </w:r>
      <w:r w:rsidR="00192C0A" w:rsidRPr="00B35AFC">
        <w:rPr>
          <w:strike/>
          <w:highlight w:val="yellow"/>
        </w:rPr>
        <w:t>w THF co</w:t>
      </w:r>
      <w:r w:rsidR="00401FD0" w:rsidRPr="00B35AFC">
        <w:rPr>
          <w:strike/>
          <w:highlight w:val="yellow"/>
        </w:rPr>
        <w:t xml:space="preserve">ncentrations due </w:t>
      </w:r>
      <w:r w:rsidR="002721D7" w:rsidRPr="00B35AFC">
        <w:rPr>
          <w:strike/>
          <w:highlight w:val="yellow"/>
        </w:rPr>
        <w:t>to</w:t>
      </w:r>
      <w:r w:rsidR="003F4006" w:rsidRPr="00B35AFC">
        <w:rPr>
          <w:strike/>
          <w:highlight w:val="yellow"/>
        </w:rPr>
        <w:t xml:space="preserve"> </w:t>
      </w:r>
      <w:r w:rsidR="00401FD0" w:rsidRPr="00B35AFC">
        <w:rPr>
          <w:strike/>
          <w:highlight w:val="yellow"/>
        </w:rPr>
        <w:t>increased chromophore density</w:t>
      </w:r>
      <w:r w:rsidR="00D163B5" w:rsidRPr="00B35AFC">
        <w:rPr>
          <w:strike/>
          <w:highlight w:val="yellow"/>
        </w:rPr>
        <w:t>.</w:t>
      </w:r>
      <w:r w:rsidR="00192C0A">
        <w:t xml:space="preserve"> </w:t>
      </w:r>
      <w:r w:rsidR="00B35AFC" w:rsidRPr="003C67FB">
        <w:rPr>
          <w:highlight w:val="yellow"/>
        </w:rPr>
        <w:t xml:space="preserve">[Furthermore, in the presence of quencher species, increased exciton mobility should result </w:t>
      </w:r>
      <w:r w:rsidR="006A0545" w:rsidRPr="003C67FB">
        <w:rPr>
          <w:highlight w:val="yellow"/>
        </w:rPr>
        <w:t xml:space="preserve">in a higher quenching rate, and increased </w:t>
      </w:r>
      <w:proofErr w:type="spellStart"/>
      <w:r w:rsidR="006A0545" w:rsidRPr="003C67FB">
        <w:rPr>
          <w:highlight w:val="yellow"/>
        </w:rPr>
        <w:t>chromophore</w:t>
      </w:r>
      <w:proofErr w:type="spellEnd"/>
      <w:r w:rsidR="006A0545" w:rsidRPr="003C67FB">
        <w:rPr>
          <w:highlight w:val="yellow"/>
        </w:rPr>
        <w:t xml:space="preserve"> density often leads to </w:t>
      </w:r>
      <w:proofErr w:type="spellStart"/>
      <w:r w:rsidR="006A0545" w:rsidRPr="003C67FB">
        <w:rPr>
          <w:highlight w:val="yellow"/>
        </w:rPr>
        <w:t>interchain</w:t>
      </w:r>
      <w:proofErr w:type="spellEnd"/>
      <w:r w:rsidR="006A0545" w:rsidRPr="003C67FB">
        <w:rPr>
          <w:highlight w:val="yellow"/>
        </w:rPr>
        <w:t xml:space="preserve"> interactions that give rise to the aforementioned aggregate species.</w:t>
      </w:r>
      <w:r w:rsidR="00B35AFC" w:rsidRPr="003C67FB">
        <w:rPr>
          <w:highlight w:val="yellow"/>
        </w:rPr>
        <w:t>]</w:t>
      </w:r>
      <w:r w:rsidR="00B35AFC">
        <w:t xml:space="preserve"> </w:t>
      </w:r>
      <w:r w:rsidR="003C67FB" w:rsidRPr="005B76EF">
        <w:rPr>
          <w:highlight w:val="yellow"/>
        </w:rPr>
        <w:t>[Taken together, these phenomena]</w:t>
      </w:r>
      <w:r w:rsidR="000D597B" w:rsidRPr="00AF716E">
        <w:t xml:space="preserve"> </w:t>
      </w:r>
      <w:r w:rsidR="003C67FB">
        <w:t>result</w:t>
      </w:r>
      <w:r w:rsidR="00AF716E">
        <w:t xml:space="preserve"> in</w:t>
      </w:r>
      <w:r w:rsidR="000D597B" w:rsidRPr="000D597B">
        <w:t xml:space="preserv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E86987">
        <w:t xml:space="preserve"> To test this picture</w:t>
      </w:r>
      <w:r w:rsidR="00401FD0">
        <w:t>, we have employed a</w:t>
      </w:r>
      <w:r w:rsidR="00940633">
        <w:t xml:space="preserve"> </w:t>
      </w:r>
      <w:r w:rsidR="004901BE">
        <w:t>discrete lattice</w:t>
      </w:r>
      <w:r w:rsidR="00940633">
        <w:t xml:space="preserve"> </w:t>
      </w:r>
      <w:r w:rsidR="00FE32D2" w:rsidRPr="00FE32D2">
        <w:t>approach</w:t>
      </w:r>
      <w:r w:rsidR="00197195">
        <w:t xml:space="preserve"> </w:t>
      </w:r>
      <w:r w:rsidR="00A66077">
        <w:t xml:space="preserve">using a </w:t>
      </w:r>
      <w:r w:rsidR="00CD4BAE">
        <w:t>numerical random walk algorithm</w:t>
      </w:r>
      <w:r w:rsidR="00401FD0">
        <w:t xml:space="preserve"> </w:t>
      </w:r>
      <w:r w:rsidR="004901BE">
        <w:t xml:space="preserve">in order to </w:t>
      </w:r>
      <w:r w:rsidR="00FE32D2" w:rsidRPr="00FE32D2">
        <w:t>model</w:t>
      </w:r>
      <w:r w:rsidR="00AD5A4D">
        <w:t xml:space="preserve"> </w:t>
      </w:r>
      <w:r w:rsidR="00AD5A4D" w:rsidRPr="004901BE">
        <w:t>the effect</w:t>
      </w:r>
      <w:r w:rsidR="00940633" w:rsidRPr="004901BE">
        <w:t xml:space="preserve"> of solvent-induced swelling</w:t>
      </w:r>
      <w:r w:rsidR="00AD5A4D" w:rsidRPr="004901BE">
        <w:t xml:space="preserve"> on </w:t>
      </w:r>
      <w:r w:rsidR="004901BE">
        <w:t>excit</w:t>
      </w:r>
      <w:r w:rsidR="004901BE" w:rsidRPr="004901BE">
        <w:t>on quenching and decay kinetics</w:t>
      </w:r>
      <w:r w:rsidR="00A66077">
        <w:t>.</w:t>
      </w:r>
      <w:r w:rsidR="0035258B">
        <w:t xml:space="preserve"> </w:t>
      </w:r>
      <w:r w:rsidR="00AF716E">
        <w:t>Similar</w:t>
      </w:r>
      <w:r w:rsidR="0035258B">
        <w:t xml:space="preserve"> approach</w:t>
      </w:r>
      <w:r w:rsidR="00AF716E">
        <w:t>es</w:t>
      </w:r>
      <w:r w:rsidR="0035258B">
        <w:t xml:space="preserve"> w</w:t>
      </w:r>
      <w:r w:rsidR="00AF716E">
        <w:t>ere</w:t>
      </w:r>
      <w:r w:rsidR="0035258B">
        <w:t xml:space="preserve"> previously utilized to model exciton diffusion and energy transfer in </w:t>
      </w:r>
      <w:r w:rsidR="00E8617E">
        <w:t>dye-doped nanopartic</w:t>
      </w:r>
      <w:r w:rsidR="00AF716E">
        <w:t>les on a discrete cubic lattice,</w:t>
      </w:r>
      <w:r w:rsidR="00753E1E">
        <w:t xml:space="preserve"> </w:t>
      </w:r>
      <w:r w:rsidR="00AF716E">
        <w:t>and</w:t>
      </w:r>
      <w:r w:rsidR="00EB201F">
        <w:t xml:space="preserve"> to model fluorescence centroid fluctuations due to polaron motion on single CPNs.</w:t>
      </w:r>
      <w:r w:rsidR="00AF716E" w:rsidRPr="00AF716E">
        <w:t xml:space="preserve"> </w:t>
      </w:r>
      <w:r w:rsidR="00357040">
        <w:t>{Wu, 2008 #49</w:t>
      </w:r>
      <w:r w:rsidR="002F15A9">
        <w:t>}{</w:t>
      </w:r>
      <w:r w:rsidR="00357040">
        <w:t>Yu, 2012 #58}</w:t>
      </w:r>
      <w:hyperlink w:anchor="_ENREF_22" w:tooltip="Yu, 2012 #58" w:history="1"/>
      <w:r w:rsidR="00F9662F">
        <w:t xml:space="preserve"> </w:t>
      </w:r>
      <w:proofErr w:type="gramStart"/>
      <w:r w:rsidR="002630D0" w:rsidRPr="00CC022C">
        <w:t>Here</w:t>
      </w:r>
      <w:proofErr w:type="gramEnd"/>
      <w:r w:rsidR="002630D0" w:rsidRPr="00CC022C">
        <w:t>, we represent t</w:t>
      </w:r>
      <w:r w:rsidR="00CC022C" w:rsidRPr="00CC022C">
        <w:t>he particle as a cubic lattice.</w:t>
      </w:r>
      <w:r w:rsidR="002630D0">
        <w:t xml:space="preserve"> </w:t>
      </w:r>
      <w:r w:rsidR="003902F9">
        <w:t xml:space="preserve">Each lattice point represents one chromophore, </w:t>
      </w:r>
      <w:r w:rsidR="000072A1">
        <w:t>with lattice spacing</w:t>
      </w:r>
      <w:r w:rsidR="004A7A83">
        <w:t xml:space="preserve"> </w:t>
      </w:r>
      <w:r w:rsidR="00E90985">
        <w:t>(</w:t>
      </w:r>
      <w:r w:rsidR="00E90985" w:rsidRPr="00E90985">
        <w:rPr>
          <w:rFonts w:ascii="Symbol" w:hAnsi="Symbol"/>
        </w:rPr>
        <w:t></w:t>
      </w:r>
      <w:r w:rsidR="00E90985" w:rsidRPr="00E90985">
        <w:rPr>
          <w:i/>
        </w:rPr>
        <w:t>x</w:t>
      </w:r>
      <w:r w:rsidR="00E90985">
        <w:t xml:space="preserve">) </w:t>
      </w:r>
      <w:r w:rsidR="0066135B">
        <w:t xml:space="preserve">determined by </w:t>
      </w:r>
      <w:r w:rsidR="0066135B" w:rsidRPr="005B76EF">
        <w:rPr>
          <w:highlight w:val="yellow"/>
        </w:rPr>
        <w:t xml:space="preserve">the </w:t>
      </w:r>
      <w:r w:rsidR="0032663E" w:rsidRPr="005B76EF">
        <w:rPr>
          <w:highlight w:val="yellow"/>
        </w:rPr>
        <w:t xml:space="preserve">approximate </w:t>
      </w:r>
      <w:r w:rsidR="0066135B" w:rsidRPr="005B76EF">
        <w:rPr>
          <w:highlight w:val="yellow"/>
        </w:rPr>
        <w:t>volume of one chromophore</w:t>
      </w:r>
      <w:r w:rsidR="002F15A9" w:rsidRPr="005B76EF">
        <w:rPr>
          <w:highlight w:val="yellow"/>
        </w:rPr>
        <w:t xml:space="preserve"> by</w:t>
      </w:r>
      <w:r w:rsidR="00266BC0" w:rsidRPr="005B76EF">
        <w:rPr>
          <w:highlight w:val="yellow"/>
        </w:rPr>
        <w:t xml:space="preserve"> </w:t>
      </w:r>
      <w:r w:rsidR="005B76EF" w:rsidRPr="005B76EF">
        <w:rPr>
          <w:position w:val="-12"/>
          <w:highlight w:val="yellow"/>
        </w:rPr>
        <w:pict w14:anchorId="27DDC1F5">
          <v:shape id="_x0000_i1028" type="#_x0000_t75" style="width:45.95pt;height:17.7pt">
            <v:imagedata r:id="rId16" o:title=""/>
          </v:shape>
        </w:pict>
      </w:r>
      <w:proofErr w:type="gramStart"/>
      <w:r w:rsidR="0066135B" w:rsidRPr="005B76EF">
        <w:rPr>
          <w:highlight w:val="yellow"/>
        </w:rPr>
        <w:t>.</w:t>
      </w:r>
      <w:r w:rsidR="005B76EF" w:rsidRPr="005B76EF">
        <w:rPr>
          <w:highlight w:val="yellow"/>
        </w:rPr>
        <w:t>[</w:t>
      </w:r>
      <w:proofErr w:type="gramEnd"/>
      <w:r w:rsidR="005B76EF" w:rsidRPr="005B76EF">
        <w:rPr>
          <w:highlight w:val="yellow"/>
        </w:rPr>
        <w:t>maybe better to use the “</w:t>
      </w:r>
      <w:proofErr w:type="spellStart"/>
      <w:r w:rsidR="005B76EF" w:rsidRPr="005B76EF">
        <w:rPr>
          <w:highlight w:val="yellow"/>
        </w:rPr>
        <w:t>chromophore</w:t>
      </w:r>
      <w:proofErr w:type="spellEnd"/>
      <w:r w:rsidR="005B76EF" w:rsidRPr="005B76EF">
        <w:rPr>
          <w:highlight w:val="yellow"/>
        </w:rPr>
        <w:t xml:space="preserve"> density” rho or C (in </w:t>
      </w:r>
      <w:r w:rsidR="005B76EF" w:rsidRPr="005B76EF">
        <w:rPr>
          <w:highlight w:val="yellow"/>
        </w:rPr>
        <w:lastRenderedPageBreak/>
        <w:t>Forster’s notation)]</w:t>
      </w:r>
      <w:r w:rsidR="00E90985">
        <w:t xml:space="preserve"> Each chromophore is assumed to consist of two monomer units, resulting in </w:t>
      </w:r>
      <w:r w:rsidR="00B66DBA" w:rsidRPr="005B76EF">
        <w:rPr>
          <w:highlight w:val="yellow"/>
        </w:rPr>
        <w:t>chromophore sizes</w:t>
      </w:r>
      <w:r w:rsidR="00E90985" w:rsidRPr="005B76EF">
        <w:rPr>
          <w:highlight w:val="yellow"/>
        </w:rPr>
        <w:t xml:space="preserve"> of 0.9 nm</w:t>
      </w:r>
      <w:r w:rsidR="00E90985">
        <w:t xml:space="preserve"> </w:t>
      </w:r>
      <w:r w:rsidR="005B76EF" w:rsidRPr="005B76EF">
        <w:rPr>
          <w:highlight w:val="yellow"/>
        </w:rPr>
        <w:t>[better to use “</w:t>
      </w:r>
      <w:proofErr w:type="spellStart"/>
      <w:r w:rsidR="005B76EF" w:rsidRPr="005B76EF">
        <w:rPr>
          <w:highlight w:val="yellow"/>
        </w:rPr>
        <w:t>chromophore</w:t>
      </w:r>
      <w:proofErr w:type="spellEnd"/>
      <w:r w:rsidR="005B76EF" w:rsidRPr="005B76EF">
        <w:rPr>
          <w:highlight w:val="yellow"/>
        </w:rPr>
        <w:t xml:space="preserve"> spacing” in nm, or </w:t>
      </w:r>
      <w:r w:rsidR="005B76EF">
        <w:rPr>
          <w:highlight w:val="yellow"/>
        </w:rPr>
        <w:t xml:space="preserve">maybe </w:t>
      </w:r>
      <w:proofErr w:type="spellStart"/>
      <w:r w:rsidR="005B76EF" w:rsidRPr="005B76EF">
        <w:rPr>
          <w:highlight w:val="yellow"/>
        </w:rPr>
        <w:t>chromophore</w:t>
      </w:r>
      <w:proofErr w:type="spellEnd"/>
      <w:r w:rsidR="005B76EF" w:rsidRPr="005B76EF">
        <w:rPr>
          <w:highlight w:val="yellow"/>
        </w:rPr>
        <w:t xml:space="preserve"> density in chromophores/nm^3</w:t>
      </w:r>
      <w:r w:rsidR="005B76EF">
        <w:rPr>
          <w:highlight w:val="yellow"/>
        </w:rPr>
        <w:t>, or both</w:t>
      </w:r>
      <w:r w:rsidR="005B76EF" w:rsidRPr="005B76EF">
        <w:rPr>
          <w:highlight w:val="yellow"/>
        </w:rPr>
        <w:t>?]</w:t>
      </w:r>
      <w:r w:rsidR="005B76EF">
        <w:t xml:space="preserve"> </w:t>
      </w:r>
      <w:r w:rsidR="00E90985">
        <w:t xml:space="preserve">for MEH-PPV CPNs and </w:t>
      </w:r>
      <w:r w:rsidR="00E90985" w:rsidRPr="005B76EF">
        <w:rPr>
          <w:highlight w:val="yellow"/>
        </w:rPr>
        <w:t>1.2 nm for PFBT CPNs</w:t>
      </w:r>
      <w:r w:rsidR="00E90985">
        <w:t>.</w:t>
      </w:r>
      <w:r w:rsidR="005B76EF">
        <w:t xml:space="preserve"> </w:t>
      </w:r>
      <w:r w:rsidR="005B76EF" w:rsidRPr="005B76EF">
        <w:rPr>
          <w:highlight w:val="yellow"/>
        </w:rPr>
        <w:t>[This is in the range typically employed for modeling exciton diffusion behavior.[ref Bardeen review]]</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w:t>
      </w:r>
      <w:r w:rsidR="005B76EF">
        <w:t xml:space="preserve"> </w:t>
      </w:r>
      <w:r w:rsidR="005B76EF" w:rsidRPr="005B76EF">
        <w:rPr>
          <w:highlight w:val="yellow"/>
        </w:rPr>
        <w:t>[(i.e., neighboring lattice sites)]</w:t>
      </w:r>
      <w:r w:rsidR="002045D1">
        <w:t>, and the energy transfer rate is set to reproduce 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proofErr w:type="gramStart"/>
      <w:r w:rsidR="002045D1">
        <w:t>.</w:t>
      </w:r>
      <w:r w:rsidR="00357040">
        <w:t>{</w:t>
      </w:r>
      <w:proofErr w:type="gramEnd"/>
      <w:r w:rsidR="00357040">
        <w:t>Groff, 2013 #60}</w:t>
      </w:r>
      <w:r w:rsidR="002045D1">
        <w:t xml:space="preserve"> </w:t>
      </w:r>
      <w:r w:rsidR="00604814">
        <w:t xml:space="preserve">The </w:t>
      </w:r>
      <w:r w:rsidR="00F16612">
        <w:t>multiple</w:t>
      </w:r>
      <w:r w:rsidR="00604814">
        <w:t xml:space="preserve"> energy </w:t>
      </w:r>
      <w:r w:rsidR="00E01D79">
        <w:t>transfer</w:t>
      </w:r>
      <w:r w:rsidR="00EC1847">
        <w:t xml:space="preserve"> probability for a random walk in the absence of swelling is given by</w:t>
      </w:r>
      <w:r w:rsidR="005B76EF">
        <w:rPr>
          <w:position w:val="-12"/>
        </w:rPr>
        <w:pict w14:anchorId="214DB2E7">
          <v:shape id="_x0000_i1029" type="#_x0000_t75" style="width:84.2pt;height:18.3pt">
            <v:imagedata r:id="rId17" o:title=""/>
          </v:shape>
        </w:pi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3E37B8">
        <w:rPr>
          <w:i/>
        </w:rPr>
        <w:t>D</w:t>
      </w:r>
      <w:r w:rsidR="00EC1847">
        <w:t xml:space="preserve"> is the exciton diffusion constant given by </w:t>
      </w:r>
      <w:r w:rsidR="005B76EF">
        <w:rPr>
          <w:position w:val="-12"/>
        </w:rPr>
        <w:pict w14:anchorId="45875A00">
          <v:shape id="_x0000_i1030" type="#_x0000_t75" style="width:62.05pt;height:18.3pt">
            <v:imagedata r:id="rId18" o:title=""/>
          </v:shape>
        </w:pict>
      </w:r>
      <w:r w:rsidR="003E37B8">
        <w:t xml:space="preserve">, where </w:t>
      </w:r>
      <w:r w:rsidR="005B76EF">
        <w:rPr>
          <w:position w:val="-12"/>
        </w:rPr>
        <w:pict w14:anchorId="1BDDDE34">
          <v:shape id="_x0000_i1031" type="#_x0000_t75" style="width:14.4pt;height:18.3pt">
            <v:imagedata r:id="rId19" o:title=""/>
          </v:shape>
        </w:pict>
      </w:r>
      <w:r w:rsidR="003E37B8">
        <w:t xml:space="preserve"> </w:t>
      </w:r>
      <w:r w:rsidR="00EC1847">
        <w:t xml:space="preserve">is the lifetime of the polymer in </w:t>
      </w:r>
      <w:r w:rsidR="003E37B8">
        <w:t>the absence of quenchers</w:t>
      </w:r>
      <w:r w:rsidR="00EC1847">
        <w:t>.</w:t>
      </w:r>
      <w:r w:rsidR="005B76EF">
        <w:rPr>
          <w:highlight w:val="yellow"/>
        </w:rPr>
        <w:t>[</w:t>
      </w:r>
      <w:r w:rsidR="003C67FB" w:rsidRPr="003C67FB">
        <w:rPr>
          <w:highlight w:val="yellow"/>
        </w:rPr>
        <w:t xml:space="preserve">Somewhere in this </w:t>
      </w:r>
      <w:r w:rsidR="005B76EF">
        <w:rPr>
          <w:highlight w:val="yellow"/>
        </w:rPr>
        <w:t>paragraph we should state that:</w:t>
      </w:r>
      <w:r w:rsidR="003C67FB" w:rsidRPr="003C67FB">
        <w:rPr>
          <w:highlight w:val="yellow"/>
        </w:rPr>
        <w:t xml:space="preserve"> We assume that the quenchers are of the “defect” variety, and do not arise from </w:t>
      </w:r>
      <w:proofErr w:type="spellStart"/>
      <w:r w:rsidR="003C67FB" w:rsidRPr="003C67FB">
        <w:rPr>
          <w:highlight w:val="yellow"/>
        </w:rPr>
        <w:t>interchain</w:t>
      </w:r>
      <w:proofErr w:type="spellEnd"/>
      <w:r w:rsidR="003C67FB" w:rsidRPr="003C67FB">
        <w:rPr>
          <w:highlight w:val="yellow"/>
        </w:rPr>
        <w:t xml:space="preserve"> interactions, thus the average number of defects per nanoparticle is taken as a constant. In neglecting the formation of </w:t>
      </w:r>
      <w:proofErr w:type="spellStart"/>
      <w:r w:rsidR="00B01B8E">
        <w:rPr>
          <w:highlight w:val="yellow"/>
        </w:rPr>
        <w:t>interchain</w:t>
      </w:r>
      <w:proofErr w:type="spellEnd"/>
      <w:r w:rsidR="00B01B8E">
        <w:rPr>
          <w:highlight w:val="yellow"/>
        </w:rPr>
        <w:t xml:space="preserve"> </w:t>
      </w:r>
      <w:r w:rsidR="003C67FB" w:rsidRPr="003C67FB">
        <w:rPr>
          <w:highlight w:val="yellow"/>
        </w:rPr>
        <w:t>aggregate species</w:t>
      </w:r>
      <w:r w:rsidR="00B01B8E">
        <w:rPr>
          <w:highlight w:val="yellow"/>
        </w:rPr>
        <w:t xml:space="preserve"> as solvent quality decreases</w:t>
      </w:r>
      <w:r w:rsidR="003C67FB" w:rsidRPr="003C67FB">
        <w:rPr>
          <w:highlight w:val="yellow"/>
        </w:rPr>
        <w:t xml:space="preserve">, we both avoid the problems that arise from attempting to model </w:t>
      </w:r>
      <w:proofErr w:type="spellStart"/>
      <w:r w:rsidR="003C67FB" w:rsidRPr="003C67FB">
        <w:rPr>
          <w:highlight w:val="yellow"/>
        </w:rPr>
        <w:t>interchain</w:t>
      </w:r>
      <w:proofErr w:type="spellEnd"/>
      <w:r w:rsidR="003C67FB" w:rsidRPr="003C67FB">
        <w:rPr>
          <w:highlight w:val="yellow"/>
        </w:rPr>
        <w:t xml:space="preserve"> interactions in this rather complex system, and we are to some degree testing whether </w:t>
      </w:r>
      <w:r w:rsidR="00B01B8E">
        <w:rPr>
          <w:highlight w:val="yellow"/>
        </w:rPr>
        <w:t>aggregate formation is</w:t>
      </w:r>
      <w:r w:rsidR="003C67FB" w:rsidRPr="003C67FB">
        <w:rPr>
          <w:highlight w:val="yellow"/>
        </w:rPr>
        <w:t xml:space="preserve"> required </w:t>
      </w:r>
      <w:r w:rsidR="00B01B8E">
        <w:rPr>
          <w:highlight w:val="yellow"/>
        </w:rPr>
        <w:t xml:space="preserve">in order to explain the results or can the results be explained by changes in the rate of </w:t>
      </w:r>
      <w:r w:rsidR="001C1715">
        <w:rPr>
          <w:highlight w:val="yellow"/>
        </w:rPr>
        <w:t xml:space="preserve">energy </w:t>
      </w:r>
      <w:proofErr w:type="spellStart"/>
      <w:r w:rsidR="00B01B8E">
        <w:rPr>
          <w:highlight w:val="yellow"/>
        </w:rPr>
        <w:t>homotransfer</w:t>
      </w:r>
      <w:proofErr w:type="spellEnd"/>
      <w:r w:rsidR="00B01B8E">
        <w:rPr>
          <w:highlight w:val="yellow"/>
        </w:rPr>
        <w:t xml:space="preserve"> due to swelling. [</w:t>
      </w:r>
      <w:proofErr w:type="gramStart"/>
      <w:r w:rsidR="00B01B8E">
        <w:rPr>
          <w:highlight w:val="yellow"/>
        </w:rPr>
        <w:t>something</w:t>
      </w:r>
      <w:proofErr w:type="gramEnd"/>
      <w:r w:rsidR="00B01B8E">
        <w:rPr>
          <w:highlight w:val="yellow"/>
        </w:rPr>
        <w:t xml:space="preserve"> is “off” about my wording there, try to fix when you insert into </w:t>
      </w:r>
      <w:proofErr w:type="spellStart"/>
      <w:r w:rsidR="00B01B8E">
        <w:rPr>
          <w:highlight w:val="yellow"/>
        </w:rPr>
        <w:t>para</w:t>
      </w:r>
      <w:proofErr w:type="spellEnd"/>
      <w:r w:rsidR="00B01B8E">
        <w:rPr>
          <w:highlight w:val="yellow"/>
        </w:rPr>
        <w:t>.]</w:t>
      </w:r>
      <w:r w:rsidR="003C67FB" w:rsidRPr="003C67FB">
        <w:rPr>
          <w:highlight w:val="yellow"/>
        </w:rPr>
        <w:t>]</w:t>
      </w:r>
    </w:p>
    <w:p w14:paraId="74B918AA" w14:textId="1D36E801" w:rsidR="00233D04" w:rsidRDefault="001C1715" w:rsidP="007B1E44">
      <w:pPr>
        <w:pStyle w:val="Default"/>
        <w:spacing w:line="480" w:lineRule="auto"/>
        <w:ind w:firstLine="720"/>
        <w:jc w:val="both"/>
      </w:pPr>
      <w:r w:rsidRPr="00C309EF">
        <w:rPr>
          <w:highlight w:val="yellow"/>
        </w:rPr>
        <w:t>[At the time of this writing, detailed information about conjugated polymer nanoparticle swelling in THF/water mixtures was not available, though results are expected as part of an ongoing collaboration. As a temporary substitute</w:t>
      </w:r>
      <w:r w:rsidR="000072A1" w:rsidRPr="00C309EF">
        <w:rPr>
          <w:highlight w:val="yellow"/>
        </w:rPr>
        <w:t xml:space="preserve">, </w:t>
      </w:r>
      <w:r w:rsidRPr="00C309EF">
        <w:rPr>
          <w:highlight w:val="yellow"/>
        </w:rPr>
        <w:t xml:space="preserve">in order to obtain only a qualitative prediction of the effect of swelling on energy </w:t>
      </w:r>
      <w:proofErr w:type="spellStart"/>
      <w:r w:rsidRPr="00C309EF">
        <w:rPr>
          <w:highlight w:val="yellow"/>
        </w:rPr>
        <w:t>homotransfer</w:t>
      </w:r>
      <w:proofErr w:type="spellEnd"/>
      <w:r w:rsidRPr="00C309EF">
        <w:rPr>
          <w:highlight w:val="yellow"/>
        </w:rPr>
        <w:t xml:space="preserve">, </w:t>
      </w:r>
      <w:r w:rsidR="000072A1" w:rsidRPr="00C309EF">
        <w:rPr>
          <w:highlight w:val="yellow"/>
        </w:rPr>
        <w:t>we assume that</w:t>
      </w:r>
      <w:r w:rsidRPr="00C309EF">
        <w:rPr>
          <w:highlight w:val="yellow"/>
        </w:rPr>
        <w:t xml:space="preserve"> the</w:t>
      </w:r>
      <w:r w:rsidR="00354D89" w:rsidRPr="00C309EF">
        <w:rPr>
          <w:highlight w:val="yellow"/>
        </w:rPr>
        <w:t xml:space="preserve"> swelling </w:t>
      </w:r>
      <w:r w:rsidRPr="00C309EF">
        <w:rPr>
          <w:highlight w:val="yellow"/>
        </w:rPr>
        <w:t>is similar to that of</w:t>
      </w:r>
      <w:r w:rsidR="00354D89" w:rsidRPr="00C309EF">
        <w:rPr>
          <w:highlight w:val="yellow"/>
        </w:rPr>
        <w:t xml:space="preserve"> polystyrene (PS)</w:t>
      </w:r>
      <w:r w:rsidRPr="00C309EF">
        <w:rPr>
          <w:highlight w:val="yellow"/>
        </w:rPr>
        <w:t xml:space="preserve"> particles</w:t>
      </w:r>
      <w:r w:rsidR="00B01B8E" w:rsidRPr="00C309EF">
        <w:rPr>
          <w:highlight w:val="yellow"/>
        </w:rPr>
        <w:t>,</w:t>
      </w:r>
      <w:r w:rsidRPr="00C309EF">
        <w:rPr>
          <w:highlight w:val="yellow"/>
        </w:rPr>
        <w:t xml:space="preserve"> which is soluble in many of the same solvents as PFBT and MEH-</w:t>
      </w:r>
      <w:r w:rsidRPr="00C309EF">
        <w:rPr>
          <w:highlight w:val="yellow"/>
        </w:rPr>
        <w:lastRenderedPageBreak/>
        <w:t>PPV]</w:t>
      </w:r>
      <w:r w:rsidR="000072A1" w:rsidRPr="00C309EF">
        <w:rPr>
          <w:highlight w:val="yellow"/>
        </w:rPr>
        <w:t>.</w:t>
      </w:r>
      <w:r w:rsidR="00354D89">
        <w:t xml:space="preserve"> </w:t>
      </w:r>
      <w:r w:rsidR="000072A1">
        <w:t>As such, i</w:t>
      </w:r>
      <w:r w:rsidR="00354D89">
        <w:t xml:space="preserve">ncreases in the </w:t>
      </w:r>
      <w:r w:rsidR="00F907D2">
        <w:t xml:space="preserve">lattice spacing were </w:t>
      </w:r>
      <w:r w:rsidR="00F907D2" w:rsidRPr="005B76EF">
        <w:rPr>
          <w:strike/>
          <w:highlight w:val="yellow"/>
        </w:rPr>
        <w:t>calculated</w:t>
      </w:r>
      <w:r w:rsidR="005B76EF" w:rsidRPr="005B76EF">
        <w:rPr>
          <w:highlight w:val="yellow"/>
        </w:rPr>
        <w:t xml:space="preserve"> [estimated</w:t>
      </w:r>
      <w:r w:rsidR="005B76EF">
        <w:rPr>
          <w:highlight w:val="yellow"/>
        </w:rPr>
        <w:t xml:space="preserve"> [in general I am leery of using “calculated”</w:t>
      </w:r>
      <w:r w:rsidR="00F33A09">
        <w:rPr>
          <w:highlight w:val="yellow"/>
        </w:rPr>
        <w:t xml:space="preserve"> when there is a different term that more precisely reflects the intent and nature of underlying relationships</w:t>
      </w:r>
      <w:r w:rsidR="005B76EF" w:rsidRPr="005B76EF">
        <w:rPr>
          <w:highlight w:val="yellow"/>
        </w:rPr>
        <w:t>]</w:t>
      </w:r>
      <w:r w:rsidR="00F907D2">
        <w:t xml:space="preserve">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proofErr w:type="gramStart"/>
      <w:r w:rsidR="00354D89">
        <w:t>.</w:t>
      </w:r>
      <w:r w:rsidR="00357040">
        <w:t>{</w:t>
      </w:r>
      <w:proofErr w:type="gramEnd"/>
      <w:r w:rsidR="00357040">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5B76EF">
        <w:rPr>
          <w:position w:val="-12"/>
        </w:rPr>
        <w:pict w14:anchorId="103BEAAB">
          <v:shape id="_x0000_i1032" type="#_x0000_t75" style="width:51.5pt;height:18.3pt">
            <v:imagedata r:id="rId20" o:title=""/>
          </v:shape>
        </w:pict>
      </w:r>
      <w:r w:rsidR="0032663E">
        <w:t xml:space="preserve">, where </w:t>
      </w:r>
      <w:r w:rsidR="0032663E">
        <w:rPr>
          <w:i/>
        </w:rPr>
        <w:t>V</w:t>
      </w:r>
      <w:r w:rsidR="0032663E" w:rsidRPr="0032663E">
        <w:rPr>
          <w:vertAlign w:val="subscript"/>
        </w:rPr>
        <w:t>0</w:t>
      </w:r>
      <w:r w:rsidR="0032663E">
        <w:t xml:space="preserve"> is the nanoparticle volume in water and </w:t>
      </w:r>
      <w:r w:rsidR="0032663E">
        <w:rPr>
          <w:i/>
        </w:rPr>
        <w:t>V</w:t>
      </w:r>
      <w:r w:rsidR="0032663E">
        <w:t xml:space="preserve"> is the swelled nanoparticle volume. This ratio varies between 0 and 1 where </w:t>
      </w:r>
      <w:r w:rsidR="0032663E">
        <w:rPr>
          <w:i/>
        </w:rPr>
        <w:t>f</w:t>
      </w:r>
      <w:r w:rsidR="0032663E">
        <w:t xml:space="preserve"> = 1 corresponds to a close-packed nanoparticle or film, and 0 represents “infinite” swelling.</w:t>
      </w:r>
      <w:r w:rsidR="009417F3">
        <w:t xml:space="preserve"> Assuming spherical particles, </w:t>
      </w:r>
      <w:r w:rsidR="005B76EF">
        <w:rPr>
          <w:position w:val="-14"/>
        </w:rPr>
        <w:pict w14:anchorId="03688074">
          <v:shape id="_x0000_i1033" type="#_x0000_t75" style="width:71.45pt;height:20.5pt">
            <v:imagedata r:id="rId21" o:title=""/>
          </v:shape>
        </w:pict>
      </w:r>
      <w:r w:rsidR="00E66720">
        <w:t>, where the subscripts indicate nanoparticle radius and swelled particle radius, respectively. With the assumption that swelling increases grid spacing,</w:t>
      </w:r>
      <w:r w:rsidR="009417F3">
        <w:t xml:space="preserve"> the swelled lattice spacing becomes </w:t>
      </w:r>
      <w:r w:rsidR="009417F3" w:rsidRPr="009417F3">
        <w:rPr>
          <w:i/>
        </w:rPr>
        <w:t>d</w:t>
      </w:r>
      <w:r w:rsidR="009417F3">
        <w:t xml:space="preserve">, defined as </w:t>
      </w:r>
      <w:r w:rsidR="005B76EF" w:rsidRPr="00F33A09">
        <w:rPr>
          <w:position w:val="-10"/>
          <w:highlight w:val="yellow"/>
        </w:rPr>
        <w:pict w14:anchorId="30CF4F43">
          <v:shape id="_x0000_i1034" type="#_x0000_t75" style="width:68.1pt;height:18.3pt">
            <v:imagedata r:id="rId22" o:title=""/>
          </v:shape>
        </w:pict>
      </w:r>
      <w:proofErr w:type="gramStart"/>
      <w:r w:rsidR="009417F3" w:rsidRPr="00F33A09">
        <w:rPr>
          <w:highlight w:val="yellow"/>
        </w:rPr>
        <w:t>.</w:t>
      </w:r>
      <w:r w:rsidR="00F33A09" w:rsidRPr="00F33A09">
        <w:rPr>
          <w:highlight w:val="yellow"/>
        </w:rPr>
        <w:t>[</w:t>
      </w:r>
      <w:proofErr w:type="gramEnd"/>
      <w:r w:rsidR="00F33A09" w:rsidRPr="00F33A09">
        <w:rPr>
          <w:highlight w:val="yellow"/>
        </w:rPr>
        <w:t xml:space="preserve">maybe delta </w:t>
      </w:r>
      <w:proofErr w:type="spellStart"/>
      <w:r w:rsidR="00F33A09" w:rsidRPr="00F33A09">
        <w:rPr>
          <w:highlight w:val="yellow"/>
        </w:rPr>
        <w:t>x_s</w:t>
      </w:r>
      <w:proofErr w:type="spellEnd"/>
      <w:r w:rsidR="00F33A09" w:rsidRPr="00F33A09">
        <w:rPr>
          <w:highlight w:val="yellow"/>
        </w:rPr>
        <w:t xml:space="preserve"> and delta x_0</w:t>
      </w:r>
      <w:r w:rsidR="00F33A09">
        <w:rPr>
          <w:highlight w:val="yellow"/>
        </w:rPr>
        <w:t>?</w:t>
      </w:r>
      <w:r w:rsidR="00F33A09" w:rsidRPr="00F33A09">
        <w:rPr>
          <w:highlight w:val="yellow"/>
        </w:rPr>
        <w:t>]</w:t>
      </w:r>
      <w:r w:rsidR="00233D04" w:rsidRPr="00233D04">
        <w:t xml:space="preserve"> </w:t>
      </w:r>
      <w:r w:rsidR="00233D04" w:rsidRPr="00F33A09">
        <w:rPr>
          <w:highlight w:val="yellow"/>
        </w:rPr>
        <w:t xml:space="preserve">The increase in the </w:t>
      </w:r>
      <w:proofErr w:type="spellStart"/>
      <w:r w:rsidR="00233D04" w:rsidRPr="00F33A09">
        <w:rPr>
          <w:highlight w:val="yellow"/>
        </w:rPr>
        <w:t>interchromophore</w:t>
      </w:r>
      <w:proofErr w:type="spellEnd"/>
      <w:r w:rsidR="00233D04" w:rsidRPr="00F33A09">
        <w:rPr>
          <w:highlight w:val="yellow"/>
        </w:rPr>
        <w:t xml:space="preserve"> distance due to swelling is calculated by scaling the </w:t>
      </w:r>
      <w:proofErr w:type="spellStart"/>
      <w:r w:rsidR="00233D04" w:rsidRPr="00F33A09">
        <w:rPr>
          <w:highlight w:val="yellow"/>
        </w:rPr>
        <w:t>interchromophore</w:t>
      </w:r>
      <w:proofErr w:type="spellEnd"/>
      <w:r w:rsidR="00233D04" w:rsidRPr="00F33A09">
        <w:rPr>
          <w:highlight w:val="yellow"/>
        </w:rPr>
        <w:t xml:space="preserve"> spacing to match the PS/THF swelling results</w:t>
      </w:r>
      <w:proofErr w:type="gramStart"/>
      <w:r w:rsidR="00233D04" w:rsidRPr="00F33A09">
        <w:rPr>
          <w:highlight w:val="yellow"/>
        </w:rPr>
        <w:t>.</w:t>
      </w:r>
      <w:r w:rsidR="00F33A09" w:rsidRPr="00F33A09">
        <w:rPr>
          <w:highlight w:val="yellow"/>
        </w:rPr>
        <w:t>[</w:t>
      </w:r>
      <w:proofErr w:type="gramEnd"/>
      <w:r w:rsidR="00F33A09" w:rsidRPr="00F33A09">
        <w:rPr>
          <w:highlight w:val="yellow"/>
        </w:rPr>
        <w:t>redundant?]</w:t>
      </w:r>
      <w:r w:rsidR="002C26E4" w:rsidRPr="002C26E4">
        <w:t xml:space="preserve"> </w:t>
      </w:r>
      <w:r w:rsidR="00DA7FCA">
        <w:t xml:space="preserve">The model </w:t>
      </w:r>
      <w:r w:rsidR="00B0151F">
        <w:t xml:space="preserve">quenching efficiency and </w:t>
      </w:r>
      <w:r w:rsidR="00B0151F" w:rsidRPr="00B0151F">
        <w:rPr>
          <w:rFonts w:ascii="Symbol" w:hAnsi="Symbol"/>
          <w:i/>
        </w:rPr>
        <w:t></w:t>
      </w:r>
      <w:r w:rsidR="00DA7FCA">
        <w:t xml:space="preserve"> are relatively insensitive to the initial chromophore s</w:t>
      </w:r>
      <w:r w:rsidR="00266BC0">
        <w:t>pacing</w:t>
      </w:r>
      <w:r w:rsidR="00B0151F">
        <w:t xml:space="preserve"> (</w:t>
      </w:r>
      <w:r w:rsidR="00233D04">
        <w:t xml:space="preserve">tested using </w:t>
      </w:r>
      <w:r w:rsidR="00B0151F">
        <w:t>0.8</w:t>
      </w:r>
      <w:r w:rsidR="00233D04">
        <w:t xml:space="preserve"> nm and</w:t>
      </w:r>
      <w:r w:rsidR="00B0151F">
        <w:t xml:space="preserve"> 1.5 nm</w:t>
      </w:r>
      <w:r w:rsidR="00233D04">
        <w:t xml:space="preserve"> lattice spacing</w:t>
      </w:r>
      <w:r w:rsidR="00B0151F">
        <w:t>,</w:t>
      </w:r>
      <w:r w:rsidR="00B0151F" w:rsidRPr="00B0151F">
        <w:t xml:space="preserve"> </w:t>
      </w:r>
      <w:r w:rsidR="00B0151F">
        <w:t>holding all other parameters constant)</w:t>
      </w:r>
      <w:r w:rsidR="00DF13F7" w:rsidRPr="00DF13F7">
        <w:rPr>
          <w:highlight w:val="yellow"/>
        </w:rPr>
        <w:t xml:space="preserve">[provided the </w:t>
      </w:r>
      <w:proofErr w:type="spellStart"/>
      <w:r w:rsidR="00DF13F7" w:rsidRPr="00DF13F7">
        <w:rPr>
          <w:highlight w:val="yellow"/>
        </w:rPr>
        <w:t>homotransfer</w:t>
      </w:r>
      <w:proofErr w:type="spellEnd"/>
      <w:r w:rsidR="00DF13F7" w:rsidRPr="00DF13F7">
        <w:rPr>
          <w:highlight w:val="yellow"/>
        </w:rPr>
        <w:t xml:space="preserve"> rate is adjusted to give the same exciton diffusion length</w:t>
      </w:r>
      <w:r w:rsidR="00DF13F7">
        <w:rPr>
          <w:highlight w:val="yellow"/>
        </w:rPr>
        <w:t>, in agreement with previous results</w:t>
      </w:r>
      <w:proofErr w:type="gramStart"/>
      <w:r w:rsidR="00DF13F7">
        <w:rPr>
          <w:highlight w:val="yellow"/>
        </w:rPr>
        <w:t>.[</w:t>
      </w:r>
      <w:proofErr w:type="gramEnd"/>
      <w:r w:rsidR="00DF13F7">
        <w:rPr>
          <w:highlight w:val="yellow"/>
        </w:rPr>
        <w:t>ref us]</w:t>
      </w:r>
      <w:r w:rsidR="00DF13F7" w:rsidRPr="00DF13F7">
        <w:rPr>
          <w:highlight w:val="yellow"/>
        </w:rPr>
        <w:t>]</w:t>
      </w:r>
      <w:r w:rsidR="00AF716E">
        <w:t>.</w:t>
      </w:r>
      <w:r w:rsidR="00B0151F">
        <w:t xml:space="preserve"> </w:t>
      </w:r>
      <w:r w:rsidR="00B0151F" w:rsidRPr="00D64139">
        <w:t xml:space="preserve">The </w:t>
      </w:r>
      <w:r w:rsidR="00985048">
        <w:t>model</w:t>
      </w:r>
      <w:r w:rsidR="00E32C35" w:rsidRPr="00D64139">
        <w:t xml:space="preserve"> </w:t>
      </w:r>
      <w:r w:rsidR="00D64139" w:rsidRPr="00D64139">
        <w:t xml:space="preserve">exciton </w:t>
      </w:r>
      <w:r w:rsidR="00B0151F" w:rsidRPr="00D64139">
        <w:t>lifetime</w:t>
      </w:r>
      <w:r w:rsidR="00D64139" w:rsidRPr="00D64139">
        <w:t xml:space="preserve"> is </w:t>
      </w:r>
      <w:r w:rsidR="00D64139" w:rsidRPr="00F33A09">
        <w:rPr>
          <w:highlight w:val="yellow"/>
        </w:rPr>
        <w:t>the most sensitive to</w:t>
      </w:r>
      <w:r w:rsidR="00F33A09">
        <w:t xml:space="preserve"> </w:t>
      </w:r>
      <w:r w:rsidR="00F33A09" w:rsidRPr="00F33A09">
        <w:rPr>
          <w:highlight w:val="yellow"/>
        </w:rPr>
        <w:t>[most? maybe “more”</w:t>
      </w:r>
      <w:r w:rsidR="00F33A09">
        <w:rPr>
          <w:highlight w:val="yellow"/>
        </w:rPr>
        <w:t xml:space="preserve"> </w:t>
      </w:r>
      <w:r w:rsidR="00DF13F7">
        <w:rPr>
          <w:highlight w:val="yellow"/>
        </w:rPr>
        <w:t xml:space="preserve">or “somewhat more” </w:t>
      </w:r>
      <w:r w:rsidR="00F33A09">
        <w:rPr>
          <w:highlight w:val="yellow"/>
        </w:rPr>
        <w:t>is better</w:t>
      </w:r>
      <w:r w:rsidR="00F33A09" w:rsidRPr="00F33A09">
        <w:rPr>
          <w:highlight w:val="yellow"/>
        </w:rPr>
        <w:t>. make sure a</w:t>
      </w:r>
      <w:r w:rsidR="00F33A09">
        <w:rPr>
          <w:highlight w:val="yellow"/>
        </w:rPr>
        <w:t>n</w:t>
      </w:r>
      <w:r w:rsidR="00F33A09" w:rsidRPr="00F33A09">
        <w:rPr>
          <w:highlight w:val="yellow"/>
        </w:rPr>
        <w:t>tecedent is unambig</w:t>
      </w:r>
      <w:r w:rsidR="00F33A09">
        <w:rPr>
          <w:highlight w:val="yellow"/>
        </w:rPr>
        <w:t>uous, and if not, please clarify</w:t>
      </w:r>
      <w:r w:rsidR="00F33A09" w:rsidRPr="00F33A09">
        <w:rPr>
          <w:highlight w:val="yellow"/>
        </w:rPr>
        <w:t>.]</w:t>
      </w:r>
      <w:r w:rsidR="00D64139" w:rsidRPr="00D64139">
        <w:t xml:space="preserve"> changes in lattice spacing, yielding a 20% difference in lifetime for</w:t>
      </w:r>
      <w:r w:rsidR="009417F3">
        <w:t xml:space="preserve"> particles with initial </w:t>
      </w:r>
      <w:r w:rsidR="00266BC0">
        <w:t>lattice spacing</w:t>
      </w:r>
      <w:r w:rsidR="009417F3">
        <w:t xml:space="preserve"> </w:t>
      </w:r>
      <w:r w:rsidR="00D64139" w:rsidRPr="00D64139">
        <w:t>between 0.8–1.5 nm</w:t>
      </w:r>
      <w:proofErr w:type="gramStart"/>
      <w:r w:rsidR="00DA7FCA" w:rsidRPr="00D64139">
        <w:t>.</w:t>
      </w:r>
      <w:r w:rsidR="00DF13F7" w:rsidRPr="00DF13F7">
        <w:rPr>
          <w:highlight w:val="yellow"/>
        </w:rPr>
        <w:t>[</w:t>
      </w:r>
      <w:proofErr w:type="gramEnd"/>
      <w:r w:rsidR="00DF13F7" w:rsidRPr="00DF13F7">
        <w:rPr>
          <w:highlight w:val="yellow"/>
        </w:rPr>
        <w:t>It is unclear what you are saying here--are you saying that if we change delta x but don’t adjust the ET rate?, we get a big change in lifetime? I’m not sure that is important.]</w:t>
      </w:r>
      <w:r w:rsidR="00B0151F">
        <w:t xml:space="preserve"> </w:t>
      </w:r>
      <w:r w:rsidR="00B0151F" w:rsidRPr="00AF716E">
        <w:t xml:space="preserve">These differences are </w:t>
      </w:r>
      <w:r w:rsidR="0002572A">
        <w:t>accounted for</w:t>
      </w:r>
      <w:r w:rsidR="00B0151F" w:rsidRPr="00AF716E">
        <w:t xml:space="preserve"> by scaling the energy </w:t>
      </w:r>
      <w:r w:rsidR="00C309EF" w:rsidRPr="00C309EF">
        <w:rPr>
          <w:highlight w:val="yellow"/>
        </w:rPr>
        <w:t>[</w:t>
      </w:r>
      <w:proofErr w:type="gramStart"/>
      <w:r w:rsidR="00C309EF" w:rsidRPr="00C309EF">
        <w:rPr>
          <w:highlight w:val="yellow"/>
        </w:rPr>
        <w:t>homo]</w:t>
      </w:r>
      <w:r w:rsidR="00B0151F" w:rsidRPr="00AF716E">
        <w:t>transfer</w:t>
      </w:r>
      <w:proofErr w:type="gramEnd"/>
      <w:r w:rsidR="00B0151F" w:rsidRPr="00AF716E">
        <w:t xml:space="preserve"> rate to reproduce </w:t>
      </w:r>
      <w:r w:rsidR="00B0151F" w:rsidRPr="00AF716E">
        <w:rPr>
          <w:i/>
        </w:rPr>
        <w:t>L</w:t>
      </w:r>
      <w:r w:rsidR="00B0151F" w:rsidRPr="00AF716E">
        <w:rPr>
          <w:i/>
          <w:vertAlign w:val="subscript"/>
        </w:rPr>
        <w:t>D</w:t>
      </w:r>
      <w:r w:rsidR="00B0151F" w:rsidRPr="00AF716E">
        <w:t>.</w:t>
      </w:r>
      <w:r w:rsidR="002C26E4" w:rsidRPr="002C26E4">
        <w:t xml:space="preserve"> </w:t>
      </w:r>
    </w:p>
    <w:p w14:paraId="1C1DB2D5" w14:textId="13118D7B" w:rsidR="00FF3C9F" w:rsidRDefault="00C309EF" w:rsidP="00233D04">
      <w:pPr>
        <w:pStyle w:val="Default"/>
        <w:spacing w:line="480" w:lineRule="auto"/>
        <w:ind w:firstLine="720"/>
        <w:jc w:val="both"/>
      </w:pPr>
      <w:r w:rsidRPr="00C309EF">
        <w:rPr>
          <w:highlight w:val="yellow"/>
        </w:rPr>
        <w:lastRenderedPageBreak/>
        <w:t xml:space="preserve">[In this </w:t>
      </w:r>
      <w:proofErr w:type="spellStart"/>
      <w:r w:rsidRPr="00C309EF">
        <w:rPr>
          <w:highlight w:val="yellow"/>
        </w:rPr>
        <w:t>para</w:t>
      </w:r>
      <w:proofErr w:type="spellEnd"/>
      <w:proofErr w:type="gramStart"/>
      <w:r w:rsidRPr="00C309EF">
        <w:rPr>
          <w:highlight w:val="yellow"/>
        </w:rPr>
        <w:t>.,</w:t>
      </w:r>
      <w:proofErr w:type="gramEnd"/>
      <w:r w:rsidRPr="00C309EF">
        <w:rPr>
          <w:highlight w:val="yellow"/>
        </w:rPr>
        <w:t xml:space="preserve"> we might need to change to refer to the Forster exciton diffusion model described in Scholes’ and Bardeen’s review articles. If we are lucky, the exponent we used is the same as </w:t>
      </w:r>
      <w:proofErr w:type="spellStart"/>
      <w:r w:rsidRPr="00C309EF">
        <w:rPr>
          <w:highlight w:val="yellow"/>
        </w:rPr>
        <w:t>Forsters</w:t>
      </w:r>
      <w:proofErr w:type="spellEnd"/>
      <w:r w:rsidRPr="00C309EF">
        <w:rPr>
          <w:highlight w:val="yellow"/>
        </w:rPr>
        <w:t>, otherwise we perhaps need to re-do the calculation.</w:t>
      </w:r>
      <w:r w:rsidR="00BC146A">
        <w:rPr>
          <w:highlight w:val="yellow"/>
        </w:rPr>
        <w:t xml:space="preserve"> Also, we might want to, here and elsewhere if needed, reword some parts to define and use the “</w:t>
      </w:r>
      <w:proofErr w:type="spellStart"/>
      <w:r w:rsidR="00BC146A">
        <w:rPr>
          <w:highlight w:val="yellow"/>
        </w:rPr>
        <w:t>chromophore</w:t>
      </w:r>
      <w:proofErr w:type="spellEnd"/>
      <w:r w:rsidR="00BC146A">
        <w:rPr>
          <w:highlight w:val="yellow"/>
        </w:rPr>
        <w:t xml:space="preserve"> density”, rho, in units of chromophores per nm^3 or per cm^3, instead of </w:t>
      </w:r>
      <w:proofErr w:type="spellStart"/>
      <w:r w:rsidR="00BC146A">
        <w:rPr>
          <w:highlight w:val="yellow"/>
        </w:rPr>
        <w:t>interchromophore</w:t>
      </w:r>
      <w:proofErr w:type="spellEnd"/>
      <w:r w:rsidR="00BC146A">
        <w:rPr>
          <w:highlight w:val="yellow"/>
        </w:rPr>
        <w:t xml:space="preserve"> distance. Note: Forster exciton diffusion theory might not fit as well as whatever exponent we picked, in which case we should include both.</w:t>
      </w:r>
      <w:r w:rsidRPr="00C309EF">
        <w:rPr>
          <w:highlight w:val="yellow"/>
        </w:rPr>
        <w:t>]</w:t>
      </w:r>
      <w:r w:rsidR="00BC146A">
        <w:t xml:space="preserve"> </w:t>
      </w:r>
      <w:r w:rsidR="00493DD3">
        <w:t>B</w:t>
      </w:r>
      <w:r w:rsidR="00493DD3" w:rsidRPr="003E37B8">
        <w:t>ased on</w:t>
      </w:r>
      <w:r w:rsidR="00493DD3">
        <w:t xml:space="preserve"> the well-known result that transition dipole coupling strength in </w:t>
      </w:r>
      <w:proofErr w:type="spellStart"/>
      <w:r w:rsidR="00493DD3">
        <w:t>excitonic</w:t>
      </w:r>
      <w:proofErr w:type="spellEnd"/>
      <w:r w:rsidR="00493DD3">
        <w:t xml:space="preserve"> systems is proportional to the </w:t>
      </w:r>
      <w:proofErr w:type="spellStart"/>
      <w:r w:rsidR="006F7114">
        <w:t>inter</w:t>
      </w:r>
      <w:r w:rsidR="00493DD3" w:rsidRPr="00F42E82">
        <w:t>chromophore</w:t>
      </w:r>
      <w:proofErr w:type="spellEnd"/>
      <w:r w:rsidR="00493DD3" w:rsidRPr="00F42E82">
        <w:t xml:space="preserve"> distance</w:t>
      </w:r>
      <w:r w:rsidR="00493DD3">
        <w:t xml:space="preserve"> raised to a power -</w:t>
      </w:r>
      <w:r w:rsidR="00493DD3">
        <w:rPr>
          <w:i/>
        </w:rPr>
        <w:t>k</w:t>
      </w:r>
      <w:r w:rsidR="00493DD3">
        <w:t xml:space="preserve">, which is a constant typically between 2-4, assumed to be 2 for </w:t>
      </w:r>
      <w:r w:rsidR="00493DD3" w:rsidRPr="000F43CF">
        <w:t>these (or similar) polymers</w:t>
      </w:r>
      <w:proofErr w:type="gramStart"/>
      <w:r w:rsidR="00493DD3">
        <w:t>,</w:t>
      </w:r>
      <w:r w:rsidR="00EA1069" w:rsidRPr="00EA1069">
        <w:t>{</w:t>
      </w:r>
      <w:proofErr w:type="spellStart"/>
      <w:proofErr w:type="gramEnd"/>
      <w:r w:rsidR="00EA1069" w:rsidRPr="00EA1069">
        <w:t>Emelianova</w:t>
      </w:r>
      <w:proofErr w:type="spellEnd"/>
      <w:r w:rsidR="00EA1069" w:rsidRPr="00EA1069">
        <w:t>, 2010 #14}</w:t>
      </w:r>
      <w:r w:rsidR="00BC146A" w:rsidRPr="00BC146A">
        <w:rPr>
          <w:highlight w:val="yellow"/>
        </w:rPr>
        <w:t>[use Forster exciton diffusion theory]</w:t>
      </w:r>
      <w:r w:rsidR="00EA1069">
        <w:t xml:space="preserve"> </w:t>
      </w:r>
      <w:r w:rsidR="00493DD3">
        <w:t>t</w:t>
      </w:r>
      <w:r w:rsidR="00EC1847">
        <w:t>he</w:t>
      </w:r>
      <w:r w:rsidR="000072A1">
        <w:t xml:space="preserve"> </w:t>
      </w:r>
      <w:r w:rsidR="003E37B8">
        <w:t>multiple</w:t>
      </w:r>
      <w:r w:rsidR="00863276">
        <w:t xml:space="preserve"> energy</w:t>
      </w:r>
      <w:r w:rsidR="00BB7950">
        <w:t xml:space="preserve"> transfer</w:t>
      </w:r>
      <w:r w:rsidR="000072A1">
        <w:t xml:space="preserve"> probability</w:t>
      </w:r>
      <w:r w:rsidR="00D64D83">
        <w:t xml:space="preserve"> </w:t>
      </w:r>
      <w:r w:rsidR="000072A1">
        <w:t xml:space="preserve">was reduced by </w:t>
      </w:r>
      <w:r w:rsidR="00493DD3">
        <w:t>an adjusted swelling</w:t>
      </w:r>
      <w:r w:rsidR="000072A1">
        <w:t xml:space="preserve"> factor</w:t>
      </w:r>
      <w:r w:rsidR="005B76EF">
        <w:rPr>
          <w:position w:val="-10"/>
        </w:rPr>
        <w:pict w14:anchorId="17B043FF">
          <v:shape id="_x0000_i1035" type="#_x0000_t75" style="width:135.7pt;height:18.3pt">
            <v:imagedata r:id="rId23" o:title=""/>
          </v:shape>
        </w:pict>
      </w:r>
      <w:r w:rsidR="00233D04">
        <w:t>.</w:t>
      </w:r>
      <w:r w:rsidR="00011DBF">
        <w:t xml:space="preserve"> </w:t>
      </w:r>
      <w:r w:rsidR="00233D04">
        <w:t>Multiplying this factor by the initial energy transfer probability</w:t>
      </w:r>
      <w:r w:rsidR="00E12403">
        <w:t xml:space="preserve"> </w:t>
      </w:r>
      <w:r w:rsidR="00310D82">
        <w:t>gives</w:t>
      </w:r>
      <w:r w:rsidR="00233D04">
        <w:t xml:space="preserve"> </w:t>
      </w:r>
      <w:r w:rsidR="005B76EF">
        <w:rPr>
          <w:position w:val="-12"/>
        </w:rPr>
        <w:pict w14:anchorId="10EF522D">
          <v:shape id="_x0000_i1036" type="#_x0000_t75" style="width:87.5pt;height:18.3pt">
            <v:imagedata r:id="rId24" o:title=""/>
          </v:shape>
        </w:pict>
      </w:r>
      <w:proofErr w:type="gramStart"/>
      <w:r w:rsidR="00D64D83">
        <w:t>.</w:t>
      </w:r>
      <w:r w:rsidR="00BC146A" w:rsidRPr="00BC146A">
        <w:rPr>
          <w:highlight w:val="yellow"/>
        </w:rPr>
        <w:t>[</w:t>
      </w:r>
      <w:proofErr w:type="gramEnd"/>
      <w:r w:rsidR="00BC146A" w:rsidRPr="00BC146A">
        <w:rPr>
          <w:highlight w:val="yellow"/>
        </w:rPr>
        <w:t>again, rework in terms of the Forster theory]</w:t>
      </w:r>
      <w:r w:rsidR="00EA1069">
        <w:t xml:space="preserve"> </w:t>
      </w:r>
      <w:r w:rsidR="000072A1">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DF13F7">
        <w:t xml:space="preserve"> </w:t>
      </w:r>
      <w:r w:rsidR="00DF13F7" w:rsidRPr="00DF13F7">
        <w:rPr>
          <w:highlight w:val="yellow"/>
        </w:rPr>
        <w:t>[per time step]</w:t>
      </w:r>
      <w:r w:rsidR="003A5BEC">
        <w:t>.</w:t>
      </w:r>
      <w:r w:rsidR="00FE506C">
        <w:t xml:space="preserve"> </w:t>
      </w:r>
      <w:r w:rsidR="000072A1">
        <w:t xml:space="preserve">An integer number of quenchers </w:t>
      </w:r>
      <w:r w:rsidR="003A5BEC">
        <w:t>are placed randomly</w:t>
      </w:r>
      <w:r w:rsidR="000072A1">
        <w:t xml:space="preserve"> on the lattice, each with a </w:t>
      </w:r>
      <w:proofErr w:type="spellStart"/>
      <w:r w:rsidR="001501FB">
        <w:t>F</w:t>
      </w:r>
      <w:r w:rsidR="00283706">
        <w:t>örster</w:t>
      </w:r>
      <w:proofErr w:type="spellEnd"/>
      <w:r w:rsidR="00283706">
        <w:t>-type</w:t>
      </w:r>
      <w:r w:rsidR="001501FB">
        <w:t xml:space="preserve"> </w:t>
      </w:r>
      <w:r w:rsidR="000072A1">
        <w:t xml:space="preserve">quenching radius of 4 nm, similar to that of a </w:t>
      </w:r>
      <w:proofErr w:type="spellStart"/>
      <w:r w:rsidR="000072A1">
        <w:t>perylene</w:t>
      </w:r>
      <w:proofErr w:type="spellEnd"/>
      <w:r w:rsidR="000072A1">
        <w:t xml:space="preserve"> red dye molecule</w:t>
      </w:r>
      <w:proofErr w:type="gramStart"/>
      <w:r w:rsidR="000072A1">
        <w:t>.</w:t>
      </w:r>
      <w:r w:rsidR="00357040">
        <w:t>{</w:t>
      </w:r>
      <w:proofErr w:type="gramEnd"/>
      <w:r w:rsidR="00357040">
        <w:t>Groff, 2013 #60}</w:t>
      </w:r>
      <w:r w:rsidR="000072A1">
        <w:t xml:space="preserve"> The mean number of quenchers per nanoparticle </w:t>
      </w:r>
      <w:r w:rsidR="000072A1" w:rsidRPr="00E020BD">
        <w:rPr>
          <w:strike/>
          <w:highlight w:val="yellow"/>
        </w:rPr>
        <w:t>is d</w:t>
      </w:r>
      <w:r w:rsidR="00FE153C" w:rsidRPr="00E020BD">
        <w:rPr>
          <w:strike/>
          <w:highlight w:val="yellow"/>
        </w:rPr>
        <w:t>etermined</w:t>
      </w:r>
      <w:r w:rsidR="00E020BD" w:rsidRPr="00E020BD">
        <w:rPr>
          <w:highlight w:val="yellow"/>
        </w:rPr>
        <w:t xml:space="preserve"> [was treated as a fit parameter]</w:t>
      </w:r>
      <w:r w:rsidR="000072A1">
        <w:t xml:space="preserve"> by adding quenchers until the simulated exciton lifetime approximately reproduces the lifetime of CPNs</w:t>
      </w:r>
      <w:r w:rsidR="00EC1847">
        <w:t xml:space="preserve"> in water</w:t>
      </w:r>
      <w:r w:rsidR="00E020BD" w:rsidRPr="00E020BD">
        <w:rPr>
          <w:highlight w:val="yellow"/>
        </w:rPr>
        <w:t>[, similar to the approach taken previously</w:t>
      </w:r>
      <w:r w:rsidR="00E020BD">
        <w:rPr>
          <w:highlight w:val="yellow"/>
        </w:rPr>
        <w:t xml:space="preserve"> for estimating the effect of quenching defects in dye-doped CPNs</w:t>
      </w:r>
      <w:r w:rsidR="00E020BD" w:rsidRPr="00E020BD">
        <w:rPr>
          <w:highlight w:val="yellow"/>
        </w:rPr>
        <w:t>]</w:t>
      </w:r>
      <w:r w:rsidR="00EC1847" w:rsidRPr="00E020BD">
        <w:rPr>
          <w:highlight w:val="yellow"/>
        </w:rPr>
        <w:t>.</w:t>
      </w:r>
      <w:r w:rsidR="00E020BD" w:rsidRPr="00E020BD">
        <w:rPr>
          <w:highlight w:val="yellow"/>
        </w:rPr>
        <w:t>[ref</w:t>
      </w:r>
      <w:r w:rsidR="00E020BD">
        <w:rPr>
          <w:highlight w:val="yellow"/>
        </w:rPr>
        <w:t xml:space="preserve"> Groff</w:t>
      </w:r>
      <w:r w:rsidR="00E020BD" w:rsidRPr="00E020BD">
        <w:rPr>
          <w:highlight w:val="yellow"/>
        </w:rPr>
        <w:t>]</w:t>
      </w:r>
      <w:r w:rsidR="00EC1847">
        <w:t xml:space="preserve"> </w:t>
      </w:r>
      <w:r w:rsidR="003E5859">
        <w:t xml:space="preserve">The grid spacing of the lattice was </w:t>
      </w:r>
      <w:r w:rsidR="006F7114">
        <w:t>calculated for</w:t>
      </w:r>
      <w:r w:rsidR="00395D53">
        <w:t xml:space="preserve"> a 10x10x10 nm cubic particle,</w:t>
      </w:r>
      <w:r w:rsidR="006F7114">
        <w:t xml:space="preserve"> </w:t>
      </w:r>
      <w:r w:rsidR="00B257B6">
        <w:t>with the number of grid points given</w:t>
      </w:r>
      <w:r w:rsidR="006F7114">
        <w:t xml:space="preserve"> by </w:t>
      </w:r>
      <w:r w:rsidR="005B76EF">
        <w:rPr>
          <w:position w:val="-14"/>
        </w:rPr>
        <w:pict w14:anchorId="7BE0CACA">
          <v:shape id="_x0000_i1037" type="#_x0000_t75" style="width:89.15pt;height:20.5pt">
            <v:imagedata r:id="rId25" o:title=""/>
          </v:shape>
        </w:pict>
      </w:r>
      <w:r w:rsidR="006F7114">
        <w:t>,</w:t>
      </w:r>
      <w:r w:rsidR="00BC146A" w:rsidRPr="00BC146A">
        <w:rPr>
          <w:highlight w:val="yellow"/>
        </w:rPr>
        <w:t>[rework in terms of rho</w:t>
      </w:r>
      <w:r w:rsidR="00E020BD">
        <w:rPr>
          <w:highlight w:val="yellow"/>
        </w:rPr>
        <w:t>?</w:t>
      </w:r>
      <w:r w:rsidR="00BC146A" w:rsidRPr="00BC146A">
        <w:rPr>
          <w:highlight w:val="yellow"/>
        </w:rPr>
        <w:t>]</w:t>
      </w:r>
      <w:r w:rsidR="00B257B6">
        <w:t xml:space="preserve"> where </w:t>
      </w:r>
      <w:proofErr w:type="spellStart"/>
      <w:r w:rsidR="00B257B6" w:rsidRPr="00B257B6">
        <w:rPr>
          <w:i/>
        </w:rPr>
        <w:t>d</w:t>
      </w:r>
      <w:r w:rsidR="00B257B6" w:rsidRPr="00B257B6">
        <w:rPr>
          <w:i/>
          <w:vertAlign w:val="subscript"/>
        </w:rPr>
        <w:t>np</w:t>
      </w:r>
      <w:proofErr w:type="spellEnd"/>
      <w:r w:rsidR="00B257B6">
        <w:t xml:space="preserve"> is the particle diameter,</w:t>
      </w:r>
      <w:r w:rsidR="006F7114">
        <w:t xml:space="preserve"> resulting in </w:t>
      </w:r>
      <w:r w:rsidR="00395D53">
        <w:t xml:space="preserve">1331 </w:t>
      </w:r>
      <w:r w:rsidR="005A219F">
        <w:t xml:space="preserve">grid </w:t>
      </w:r>
      <w:r w:rsidR="00395D53">
        <w:t xml:space="preserve">points for MEH-PPV and 512 </w:t>
      </w:r>
      <w:r w:rsidR="005A219F">
        <w:t xml:space="preserve">grid </w:t>
      </w:r>
      <w:r w:rsidR="006F7114">
        <w:t>points for PFBT, in the absence of swelling</w:t>
      </w:r>
      <w:r w:rsidR="00395D53">
        <w:t xml:space="preserve">. </w:t>
      </w:r>
      <w:r w:rsidR="00505AFD" w:rsidRPr="008E270B">
        <w:rPr>
          <w:highlight w:val="yellow"/>
        </w:rPr>
        <w:t xml:space="preserve">The </w:t>
      </w:r>
      <w:r w:rsidR="005A219F" w:rsidRPr="008E270B">
        <w:rPr>
          <w:highlight w:val="yellow"/>
        </w:rPr>
        <w:t xml:space="preserve">mean </w:t>
      </w:r>
      <w:r w:rsidR="00505AFD" w:rsidRPr="008E270B">
        <w:rPr>
          <w:highlight w:val="yellow"/>
        </w:rPr>
        <w:t>number of quenchers</w:t>
      </w:r>
      <w:r w:rsidR="00CA2BF2" w:rsidRPr="008E270B">
        <w:rPr>
          <w:highlight w:val="yellow"/>
        </w:rPr>
        <w:t xml:space="preserve"> for </w:t>
      </w:r>
      <w:r w:rsidR="00CA2BF2" w:rsidRPr="008E270B">
        <w:rPr>
          <w:highlight w:val="yellow"/>
        </w:rPr>
        <w:lastRenderedPageBreak/>
        <w:t>each polymer was determined to be 9 for PFBT</w:t>
      </w:r>
      <w:r w:rsidR="00505AFD" w:rsidRPr="008E270B">
        <w:rPr>
          <w:highlight w:val="yellow"/>
        </w:rPr>
        <w:t>, and</w:t>
      </w:r>
      <w:r w:rsidR="002A55DF" w:rsidRPr="008E270B">
        <w:rPr>
          <w:highlight w:val="yellow"/>
        </w:rPr>
        <w:t xml:space="preserve"> 10 for</w:t>
      </w:r>
      <w:r w:rsidR="00505AFD" w:rsidRPr="008E270B">
        <w:rPr>
          <w:highlight w:val="yellow"/>
        </w:rPr>
        <w:t xml:space="preserve"> MEH-PP</w:t>
      </w:r>
      <w:r w:rsidR="00395D53" w:rsidRPr="008E270B">
        <w:rPr>
          <w:highlight w:val="yellow"/>
        </w:rPr>
        <w:t>V</w:t>
      </w:r>
      <w:proofErr w:type="gramStart"/>
      <w:r w:rsidR="00395D53" w:rsidRPr="008E270B">
        <w:rPr>
          <w:highlight w:val="yellow"/>
        </w:rPr>
        <w:t>.</w:t>
      </w:r>
      <w:r w:rsidR="008E270B" w:rsidRPr="008E270B">
        <w:rPr>
          <w:highlight w:val="yellow"/>
        </w:rPr>
        <w:t>[</w:t>
      </w:r>
      <w:proofErr w:type="gramEnd"/>
      <w:r w:rsidR="008E270B" w:rsidRPr="008E270B">
        <w:rPr>
          <w:highlight w:val="yellow"/>
        </w:rPr>
        <w:t>This might give the impression that we really think we counted quenchers, whereas what we did was adjust a parameter, corresponding to “dye equivalents”, to roughly represent quenching by defects. Something more like “the fit procedure yielded X quenchers (in terms of dye equivalents) on average per NP…”]</w:t>
      </w:r>
      <w:r w:rsidR="00395D53">
        <w:t xml:space="preserve">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w:t>
      </w:r>
      <w:r w:rsidR="00C17FBA" w:rsidRPr="00C17FBA">
        <w:rPr>
          <w:highlight w:val="yellow"/>
        </w:rPr>
        <w:t>[that]</w:t>
      </w:r>
      <w:r w:rsidR="00C17FBA">
        <w:t xml:space="preserve"> </w:t>
      </w:r>
      <w:r w:rsidR="009030EB">
        <w:t xml:space="preserve">a </w:t>
      </w:r>
      <w:r w:rsidR="00395D53">
        <w:t>larger particle</w:t>
      </w:r>
      <w:r w:rsidR="00721C88">
        <w:t xml:space="preserv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172AA">
        <w:t xml:space="preserve"> </w:t>
      </w:r>
      <w:r w:rsidR="009172AA" w:rsidRPr="009172AA">
        <w:rPr>
          <w:highlight w:val="yellow"/>
        </w:rPr>
        <w:t>[(i.e., less lifetime heterogeneity)]</w:t>
      </w:r>
      <w:r w:rsidR="009172AA">
        <w:t xml:space="preserve"> t</w:t>
      </w:r>
      <w:r w:rsidR="009030EB" w:rsidRPr="009030EB">
        <w:t>han previously reported</w:t>
      </w:r>
      <w:r w:rsidR="00BD3D3F">
        <w:t xml:space="preserve">. </w:t>
      </w:r>
      <w:r w:rsidR="00BD3D3F" w:rsidRPr="009172AA">
        <w:t xml:space="preserve">The </w:t>
      </w:r>
      <w:r w:rsidR="00BD3D3F" w:rsidRPr="009172AA">
        <w:rPr>
          <w:highlight w:val="yellow"/>
        </w:rPr>
        <w:t xml:space="preserve">exclusion </w:t>
      </w:r>
      <w:r w:rsidR="009172AA" w:rsidRPr="009172AA">
        <w:rPr>
          <w:highlight w:val="yellow"/>
        </w:rPr>
        <w:t>[neglect?</w:t>
      </w:r>
      <w:r w:rsidR="009172AA">
        <w:rPr>
          <w:highlight w:val="yellow"/>
        </w:rPr>
        <w:t xml:space="preserve"> maybe “We neglected to include” because passive voice in this case leads to ambiguity</w:t>
      </w:r>
      <w:r w:rsidR="009172AA" w:rsidRPr="009172AA">
        <w:rPr>
          <w:highlight w:val="yellow"/>
        </w:rPr>
        <w:t>]</w:t>
      </w:r>
      <w:r w:rsidR="009172AA" w:rsidRPr="009172AA">
        <w:t xml:space="preserve"> </w:t>
      </w:r>
      <w:r w:rsidR="00BD3D3F" w:rsidRPr="009172AA">
        <w:t>of Poisson statistical effects on the system is due to the quality of fit of the model results to the experimental results in its absence (discussed be</w:t>
      </w:r>
      <w:r w:rsidR="00E86987" w:rsidRPr="009172AA">
        <w:t>low), and was discussed in detail</w:t>
      </w:r>
      <w:r w:rsidR="00BD3D3F" w:rsidRPr="009172AA">
        <w:t xml:space="preserve"> in our previous work on dye-doped PFBT CPNs</w:t>
      </w:r>
      <w:proofErr w:type="gramStart"/>
      <w:r w:rsidR="00BD3D3F">
        <w:t>.</w:t>
      </w:r>
      <w:r w:rsidR="00357040">
        <w:t>{</w:t>
      </w:r>
      <w:proofErr w:type="gramEnd"/>
      <w:r w:rsidR="00357040">
        <w:t>Groff, 2013 #60}</w:t>
      </w:r>
    </w:p>
    <w:p w14:paraId="1AFF4462" w14:textId="384023AF" w:rsidR="001055CA" w:rsidRPr="00E32C35" w:rsidRDefault="001055CA" w:rsidP="00B5442A">
      <w:pPr>
        <w:pStyle w:val="Default"/>
        <w:spacing w:line="480" w:lineRule="auto"/>
        <w:ind w:firstLine="720"/>
        <w:jc w:val="both"/>
      </w:pPr>
      <w:r w:rsidRPr="001055CA">
        <w:t>At low to moderate THF concent</w:t>
      </w:r>
      <w:r w:rsidR="0056765F">
        <w:t xml:space="preserve">rations, the model results </w:t>
      </w:r>
      <w:r w:rsidR="00256131" w:rsidRPr="00256131">
        <w:t>match</w:t>
      </w:r>
      <w:r w:rsidRPr="00256131">
        <w:t xml:space="preserve"> well</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5B76EF">
        <w:rPr>
          <w:position w:val="-14"/>
        </w:rPr>
        <w:pict w14:anchorId="0C92B7AE">
          <v:shape id="_x0000_i1038" type="#_x0000_t75" style="width:103.55pt;height:18.85pt">
            <v:imagedata r:id="rId26"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w:t>
      </w:r>
      <w:r w:rsidR="003B042D">
        <w:t xml:space="preserve"> (c.f. Fig. 6)</w:t>
      </w:r>
      <w:r w:rsidRPr="001055CA">
        <w:t xml:space="preserve">. </w:t>
      </w:r>
      <w:r w:rsidRPr="001501FB">
        <w:t xml:space="preserve">The </w:t>
      </w:r>
      <w:r w:rsidR="001501FB" w:rsidRPr="001501FB">
        <w:t>time constants obtained from</w:t>
      </w:r>
      <w:r w:rsidRPr="001501FB">
        <w:t xml:space="preserve"> the simulated intensity decays</w:t>
      </w:r>
      <w:r w:rsidR="00E535B8">
        <w:t xml:space="preserve"> </w:t>
      </w:r>
      <w:r w:rsidRPr="001055CA">
        <w:t xml:space="preserve">match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r w:rsidR="0056765F" w:rsidRPr="0056765F">
        <w:rPr>
          <w:rFonts w:ascii="Symbol" w:hAnsi="Symbol"/>
          <w:i/>
        </w:rPr>
        <w:t></w:t>
      </w:r>
      <w:proofErr w:type="gramEnd"/>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w:t>
      </w:r>
      <w:r w:rsidR="003B042D">
        <w:t xml:space="preserve"> (c.f. Fig. 7)</w:t>
      </w:r>
      <w:r w:rsidRPr="001055CA">
        <w:t xml:space="preserve">. The observed divergence between simulation and experiment </w:t>
      </w:r>
      <w:r w:rsidRPr="001055CA">
        <w:lastRenderedPageBreak/>
        <w:t xml:space="preserve">outside of the </w:t>
      </w:r>
      <w:r w:rsidR="00F668E3">
        <w:t>afore</w:t>
      </w:r>
      <w:r w:rsidRPr="001055CA">
        <w:t>mentioned solvent compositions corresponds to the regions of moderate THF composition</w:t>
      </w:r>
      <w:r w:rsidR="00CF2CBB">
        <w:t>,</w:t>
      </w:r>
      <w:r w:rsidRPr="001055CA">
        <w:t xml:space="preserve"> where it is speculated that the</w:t>
      </w:r>
      <w:r>
        <w:t xml:space="preserve"> polymer is</w:t>
      </w:r>
      <w:r w:rsidR="00F668E3">
        <w:t xml:space="preserve"> in</w:t>
      </w:r>
      <w:r w:rsidR="00F668E3" w:rsidRPr="00F668E3">
        <w:t xml:space="preserve"> dynamic equilibrium between an aggregate and free polymer state</w:t>
      </w:r>
      <w:r w:rsidRPr="00F668E3">
        <w:t>,</w:t>
      </w:r>
      <w:r w:rsidR="00E641CE">
        <w:t xml:space="preserve"> </w:t>
      </w:r>
      <w:r w:rsidRPr="001055CA">
        <w:t xml:space="preserve">particularly </w:t>
      </w:r>
      <w:r w:rsidR="00F668E3">
        <w:t xml:space="preserve">between </w:t>
      </w:r>
      <w:r w:rsidRPr="001055CA">
        <w:t xml:space="preserve">40%-80% THF for MEH-PPV and 80% THF for PFBT. The poor agreement with experimental </w:t>
      </w:r>
      <w:r w:rsidR="0056765F" w:rsidRPr="0056765F">
        <w:rPr>
          <w:rFonts w:ascii="Symbol" w:hAnsi="Symbol"/>
          <w:i/>
        </w:rPr>
        <w:t></w:t>
      </w:r>
      <w:r w:rsidRPr="001055CA">
        <w:t xml:space="preserve"> values for MEH-PPV </w:t>
      </w:r>
      <w:r w:rsidR="00F668E3" w:rsidRPr="00F668E3">
        <w:t>is hypothesized to be due to</w:t>
      </w:r>
      <w:r w:rsidR="00F668E3">
        <w:t xml:space="preserve"> the exclusion of </w:t>
      </w:r>
      <w:r w:rsidRPr="001055CA">
        <w:t>correla</w:t>
      </w:r>
      <w:r w:rsidR="00E12403">
        <w:t>ted chromophore orientations</w:t>
      </w:r>
      <w:r>
        <w:t xml:space="preserve"> and</w:t>
      </w:r>
      <w:r w:rsidRPr="001055CA">
        <w:t xml:space="preserve"> the Poisson distribution of quenchers in this model</w:t>
      </w:r>
      <w:r w:rsidRPr="00E32C35">
        <w:t>.</w:t>
      </w:r>
      <w:r w:rsidR="00CF2CBB" w:rsidRPr="00E32C35">
        <w:t xml:space="preserve"> Additionally, emission from a </w:t>
      </w:r>
      <w:r w:rsidR="0038302B" w:rsidRPr="00E32C35">
        <w:t xml:space="preserve">longer-lived </w:t>
      </w:r>
      <w:r w:rsidR="009172AA" w:rsidRPr="009172AA">
        <w:rPr>
          <w:highlight w:val="yellow"/>
        </w:rPr>
        <w:t>[aggregate]</w:t>
      </w:r>
      <w:r w:rsidR="009172AA">
        <w:t xml:space="preserve"> </w:t>
      </w:r>
      <w:r w:rsidR="0038302B" w:rsidRPr="00E32C35">
        <w:t>state with charge transfer character or a partially oxidized species could be contributing to the complexity of the fluorescence decay</w:t>
      </w:r>
      <w:proofErr w:type="gramStart"/>
      <w:r w:rsidR="0038302B" w:rsidRPr="00E32C35">
        <w:t>.</w:t>
      </w:r>
      <w:r w:rsidR="00E32C35" w:rsidRPr="00E32C35">
        <w:t>{</w:t>
      </w:r>
      <w:proofErr w:type="spellStart"/>
      <w:proofErr w:type="gramEnd"/>
      <w:r w:rsidR="00E32C35" w:rsidRPr="00E32C35">
        <w:t>Jenekhe</w:t>
      </w:r>
      <w:proofErr w:type="spellEnd"/>
      <w:r w:rsidR="00E32C35" w:rsidRPr="00E32C35">
        <w:t>, 1994 #183}</w:t>
      </w:r>
      <w:r w:rsidR="00BA2992">
        <w:t>{Yan, 1994 #209}</w:t>
      </w:r>
      <w:r w:rsidR="00E32C35" w:rsidRPr="00E32C35">
        <w:t>{Yan, 1995 #208}</w:t>
      </w:r>
      <w:r w:rsidR="0056009D">
        <w:t>{</w:t>
      </w:r>
      <w:proofErr w:type="spellStart"/>
      <w:r w:rsidR="0056009D">
        <w:t>Papadimitrakopoulos</w:t>
      </w:r>
      <w:proofErr w:type="spellEnd"/>
      <w:r w:rsidR="0056009D">
        <w:t>, 1994 #210}</w:t>
      </w:r>
    </w:p>
    <w:p w14:paraId="03347367" w14:textId="4EEF9780" w:rsidR="003C0483" w:rsidRDefault="00747532" w:rsidP="00B5442A">
      <w:pPr>
        <w:pStyle w:val="Default"/>
        <w:spacing w:line="480" w:lineRule="auto"/>
        <w:ind w:firstLine="720"/>
        <w:jc w:val="both"/>
      </w:pPr>
      <w:r w:rsidRPr="00D162E0">
        <w:t xml:space="preserve">In this and previous work, </w:t>
      </w:r>
      <w:r w:rsidR="00F668E3">
        <w:t>i</w:t>
      </w:r>
      <w:r w:rsidR="007425E2">
        <w:t xml:space="preserve">t has been hypothesized </w:t>
      </w:r>
      <w:r w:rsidR="00BA2992">
        <w:t xml:space="preserve">that the </w:t>
      </w:r>
      <w:r w:rsidR="002C2121">
        <w:t>reduced</w:t>
      </w:r>
      <w:r w:rsidR="00BA2992">
        <w:t xml:space="preserve"> </w:t>
      </w:r>
      <w:r w:rsidR="002C2121">
        <w:t xml:space="preserve">quantum yield, reduced </w:t>
      </w:r>
      <w:r w:rsidR="0056009D">
        <w:t xml:space="preserve">fluorescence </w:t>
      </w:r>
      <w:r w:rsidR="00BA2992">
        <w:t>lifetime</w:t>
      </w:r>
      <w:r w:rsidR="002C2121">
        <w:t>, and</w:t>
      </w:r>
      <w:r w:rsidR="00BA2992">
        <w:t xml:space="preserve"> </w:t>
      </w:r>
      <w:r w:rsidR="0056009D">
        <w:t>heterogeneous dynamics of CPNs</w:t>
      </w:r>
      <w:r w:rsidR="00E978A2">
        <w:t xml:space="preserve"> rela</w:t>
      </w:r>
      <w:r w:rsidR="00D86E0A">
        <w:t>tive to polymer in good solvent</w:t>
      </w:r>
      <w:r w:rsidR="00E978A2">
        <w:t xml:space="preserve"> </w:t>
      </w:r>
      <w:r w:rsidR="0056009D">
        <w:t>arises from</w:t>
      </w:r>
      <w:r w:rsidR="007425E2">
        <w:t xml:space="preserve"> quenching by </w:t>
      </w:r>
      <w:r w:rsidR="000F0FF9">
        <w:t>chemical</w:t>
      </w:r>
      <w:r w:rsidR="007425E2">
        <w:t xml:space="preserve"> defects</w:t>
      </w:r>
      <w:r w:rsidR="000F0FF9">
        <w:t xml:space="preserve"> </w:t>
      </w:r>
      <w:r w:rsidR="0056009D">
        <w:t>and/</w:t>
      </w:r>
      <w:r w:rsidR="00A5656C">
        <w:t xml:space="preserve">or </w:t>
      </w:r>
      <w:proofErr w:type="spellStart"/>
      <w:r w:rsidR="000F0FF9" w:rsidRPr="00A5656C">
        <w:rPr>
          <w:strike/>
          <w:highlight w:val="yellow"/>
        </w:rPr>
        <w:t>photogenerated</w:t>
      </w:r>
      <w:proofErr w:type="spellEnd"/>
      <w:r w:rsidR="00E978A2">
        <w:t xml:space="preserve"> hole</w:t>
      </w:r>
      <w:r w:rsidR="000F0FF9">
        <w:t xml:space="preserve"> </w:t>
      </w:r>
      <w:proofErr w:type="spellStart"/>
      <w:r w:rsidR="000F0FF9">
        <w:t>polarons</w:t>
      </w:r>
      <w:proofErr w:type="spellEnd"/>
      <w:r w:rsidR="00A5656C">
        <w:t xml:space="preserve"> </w:t>
      </w:r>
      <w:r w:rsidR="00A5656C" w:rsidRPr="00A5656C">
        <w:rPr>
          <w:highlight w:val="yellow"/>
        </w:rPr>
        <w:t xml:space="preserve">[which may result from oxidation or </w:t>
      </w:r>
      <w:proofErr w:type="spellStart"/>
      <w:r w:rsidR="00A5656C" w:rsidRPr="00A5656C">
        <w:rPr>
          <w:highlight w:val="yellow"/>
        </w:rPr>
        <w:t>photogeneration</w:t>
      </w:r>
      <w:proofErr w:type="spellEnd"/>
      <w:r w:rsidR="00A5656C" w:rsidRPr="00A5656C">
        <w:rPr>
          <w:highlight w:val="yellow"/>
        </w:rPr>
        <w:t>]</w:t>
      </w:r>
      <w:proofErr w:type="gramStart"/>
      <w:r w:rsidR="007425E2">
        <w:t>.</w:t>
      </w:r>
      <w:r w:rsidR="00357040">
        <w:t>{</w:t>
      </w:r>
      <w:proofErr w:type="gramEnd"/>
      <w:r w:rsidR="00357040">
        <w:t>Groff, 2013 #60}</w:t>
      </w:r>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xml:space="preserve">, which is </w:t>
      </w:r>
      <w:r w:rsidR="007733D4">
        <w:t>related</w:t>
      </w:r>
      <w:r w:rsidR="004F0E9B">
        <w:t xml:space="preserve"> to the </w:t>
      </w:r>
      <w:r w:rsidR="00A5656C" w:rsidRPr="00A5656C">
        <w:rPr>
          <w:highlight w:val="yellow"/>
        </w:rPr>
        <w:t>[(effective)]</w:t>
      </w:r>
      <w:r w:rsidR="00A5656C">
        <w:t xml:space="preserve"> </w:t>
      </w:r>
      <w:r w:rsidR="004F0E9B">
        <w:t>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7733D4">
        <w:t>ed (using the PFBT parameters)</w:t>
      </w:r>
      <w:r w:rsidR="00293AC8" w:rsidRPr="00E16A30">
        <w:t xml:space="preserve">, by determining how </w:t>
      </w:r>
      <w:r w:rsidR="00791280">
        <w:t>quenching efficiency differs in</w:t>
      </w:r>
      <w:r w:rsidR="00E16A30" w:rsidRPr="00E16A30">
        <w:t xml:space="preserve"> isolated, one-dimensional</w:t>
      </w:r>
      <w:r w:rsidR="00293AC8" w:rsidRPr="00E16A30">
        <w:t xml:space="preserve"> chain</w:t>
      </w:r>
      <w:r w:rsidR="00E16A30" w:rsidRPr="00E16A30">
        <w:t>s</w:t>
      </w:r>
      <w:r w:rsidR="007733D4">
        <w:t xml:space="preserve"> of chromophores</w:t>
      </w:r>
      <w:r w:rsidR="00293AC8" w:rsidRPr="00E16A30">
        <w:t xml:space="preserve"> versus a 3D spherical particle. </w:t>
      </w:r>
    </w:p>
    <w:p w14:paraId="4070398C" w14:textId="0D04B6E9"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an ensemble of linear chains is assumed,</w:t>
      </w:r>
      <w:r w:rsidR="00B257B6">
        <w:t xml:space="preserve"> and</w:t>
      </w:r>
      <w:r w:rsidR="00D700EA">
        <w:t xml:space="preserve"> the </w:t>
      </w:r>
      <w:r w:rsidR="00EA7984">
        <w:t xml:space="preserve">approximate integer </w:t>
      </w:r>
      <w:r w:rsidR="00EA7984">
        <w:lastRenderedPageBreak/>
        <w:t>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B257B6">
        <w:rPr>
          <w:rFonts w:eastAsiaTheme="minorEastAsia"/>
        </w:rPr>
        <w:t>. T</w:t>
      </w:r>
      <w:r w:rsidR="003B4962">
        <w:rPr>
          <w:rFonts w:eastAsiaTheme="minorEastAsia"/>
        </w:rPr>
        <w:t xml:space="preserve">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by</w:t>
      </w:r>
      <w:r w:rsidR="00EF0775">
        <w:rPr>
          <w:rFonts w:eastAsiaTheme="minorEastAsia"/>
        </w:rPr>
        <w:t xml:space="preserve"> </w:t>
      </w:r>
      <w:r w:rsidR="005B76EF">
        <w:rPr>
          <w:rFonts w:eastAsiaTheme="minorEastAsia"/>
          <w:position w:val="-12"/>
        </w:rPr>
        <w:pict w14:anchorId="323EB150">
          <v:shape id="_x0000_i1039" type="#_x0000_t75" style="width:95.25pt;height:18.3pt">
            <v:imagedata r:id="rId27"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5B76EF" w:rsidP="00D8691F">
      <w:pPr>
        <w:pStyle w:val="Default"/>
        <w:spacing w:line="480" w:lineRule="auto"/>
        <w:jc w:val="right"/>
        <w:rPr>
          <w:rFonts w:eastAsiaTheme="minorEastAsia"/>
        </w:rPr>
      </w:pPr>
      <w:r>
        <w:rPr>
          <w:rFonts w:eastAsiaTheme="minorEastAsia"/>
          <w:position w:val="-28"/>
        </w:rPr>
        <w:pict w14:anchorId="57991C69">
          <v:shape id="_x0000_i1040" type="#_x0000_t75" style="width:86.4pt;height:36pt">
            <v:imagedata r:id="rId28"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5B76EF" w:rsidP="00432A0B">
      <w:pPr>
        <w:pStyle w:val="Default"/>
        <w:spacing w:line="480" w:lineRule="auto"/>
        <w:jc w:val="right"/>
        <w:rPr>
          <w:rFonts w:eastAsiaTheme="minorEastAsia"/>
        </w:rPr>
      </w:pPr>
      <w:r>
        <w:rPr>
          <w:rFonts w:eastAsiaTheme="minorEastAsia"/>
          <w:position w:val="-14"/>
        </w:rPr>
        <w:pict w14:anchorId="74E2514A">
          <v:shape id="_x0000_i1041" type="#_x0000_t75" style="width:92.5pt;height:18.3pt">
            <v:imagedata r:id="rId29"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0E0ABABA" w:rsidR="00B5442A" w:rsidRDefault="00432A0B" w:rsidP="00432A0B">
      <w:pPr>
        <w:pStyle w:val="Default"/>
        <w:spacing w:line="480" w:lineRule="auto"/>
        <w:jc w:val="both"/>
      </w:pPr>
      <w:r>
        <w:rPr>
          <w:rFonts w:eastAsiaTheme="minorEastAsia"/>
        </w:rPr>
        <w:t xml:space="preserve">Equation 2 results in ~11% quenching efficiency for </w:t>
      </w:r>
      <w:r w:rsidR="00FE651F">
        <w:rPr>
          <w:rFonts w:eastAsiaTheme="minorEastAsia"/>
        </w:rPr>
        <w:t>a</w:t>
      </w:r>
      <w:r>
        <w:rPr>
          <w:rFonts w:eastAsiaTheme="minorEastAsia"/>
        </w:rPr>
        <w:t xml:space="preserve"> one dimensional </w:t>
      </w:r>
      <w:r w:rsidR="00FE651F">
        <w:rPr>
          <w:rFonts w:eastAsiaTheme="minorEastAsia"/>
        </w:rPr>
        <w:t>ensemble</w:t>
      </w:r>
      <w:r w:rsidR="00CC6C82">
        <w:rPr>
          <w:rFonts w:eastAsiaTheme="minorEastAsia"/>
        </w:rPr>
        <w:t xml:space="preserve"> </w:t>
      </w:r>
      <w:r w:rsidR="00FE651F">
        <w:rPr>
          <w:rFonts w:eastAsiaTheme="minorEastAsia"/>
        </w:rPr>
        <w:t>of</w:t>
      </w:r>
      <w:r w:rsidR="00CC6C82">
        <w:rPr>
          <w:rFonts w:eastAsiaTheme="minorEastAsia"/>
        </w:rPr>
        <w:t xml:space="preserve"> PFBT</w:t>
      </w:r>
      <w:r w:rsidR="00FE651F">
        <w:rPr>
          <w:rFonts w:eastAsiaTheme="minorEastAsia"/>
        </w:rPr>
        <w:t xml:space="preserve"> chains</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w:t>
      </w:r>
      <w:r w:rsidR="00F2285F">
        <w:t xml:space="preserve">e to a </w:t>
      </w:r>
      <w:r w:rsidR="00A5656C" w:rsidRPr="00A5656C">
        <w:rPr>
          <w:highlight w:val="yellow"/>
        </w:rPr>
        <w:t>[drastic]</w:t>
      </w:r>
      <w:r w:rsidR="00A5656C">
        <w:t xml:space="preserve"> </w:t>
      </w:r>
      <w:r w:rsidR="00F2285F">
        <w:t>reduction in the rate of multiple energy transfer</w:t>
      </w:r>
      <w:r w:rsidR="001363BD">
        <w:t xml:space="preserve">, which stems </w:t>
      </w:r>
      <w:r w:rsidR="00A5656C" w:rsidRPr="00A5656C">
        <w:rPr>
          <w:highlight w:val="yellow"/>
        </w:rPr>
        <w:t>[largely]</w:t>
      </w:r>
      <w:r w:rsidR="00A5656C">
        <w:t xml:space="preserve"> </w:t>
      </w:r>
      <w:r w:rsidR="001363BD">
        <w:t>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r w:rsidR="001A266E">
        <w:t xml:space="preserve"> </w:t>
      </w:r>
      <w:r w:rsidR="002F411A">
        <w:t xml:space="preserve">This is further supported by previous </w:t>
      </w:r>
      <w:r w:rsidR="00A46F99">
        <w:t>modeling</w:t>
      </w:r>
      <w:r w:rsidR="00266DFB">
        <w:t xml:space="preserve"> o</w:t>
      </w:r>
      <w:r w:rsidR="00A46F99">
        <w:t>f</w:t>
      </w:r>
      <w:r w:rsidR="00266DFB">
        <w:t xml:space="preserve"> linear polyenes</w:t>
      </w:r>
      <w:r w:rsidR="002F411A">
        <w:t xml:space="preserve"> by </w:t>
      </w:r>
      <w:proofErr w:type="spellStart"/>
      <w:r w:rsidR="002F411A">
        <w:t>Beljonne</w:t>
      </w:r>
      <w:proofErr w:type="spellEnd"/>
      <w:r w:rsidR="002F411A">
        <w:t xml:space="preserve"> et al.,</w:t>
      </w:r>
      <w:r w:rsidR="0054614B">
        <w:t xml:space="preserve"> which shows that</w:t>
      </w:r>
      <w:r w:rsidR="002F411A">
        <w:t xml:space="preserve"> </w:t>
      </w:r>
      <w:proofErr w:type="spellStart"/>
      <w:r w:rsidR="00A46013">
        <w:t>interchain</w:t>
      </w:r>
      <w:proofErr w:type="spellEnd"/>
      <w:r w:rsidR="00A46013">
        <w:t xml:space="preserve"> exciton coupling</w:t>
      </w:r>
      <w:r w:rsidR="002F411A">
        <w:t xml:space="preserve"> weakens with increasing </w:t>
      </w:r>
      <w:r w:rsidR="00A46013">
        <w:t>inter</w:t>
      </w:r>
      <w:r w:rsidR="002F411A">
        <w:t>molecular separation</w:t>
      </w:r>
      <w:r w:rsidR="00A46013">
        <w:t xml:space="preserve">, and as the chain length becomes larger than the intermolecular separation. In addition, it is shown that the magnitude of the </w:t>
      </w:r>
      <w:proofErr w:type="spellStart"/>
      <w:r w:rsidR="00A46013">
        <w:t>intrachain</w:t>
      </w:r>
      <w:proofErr w:type="spellEnd"/>
      <w:r w:rsidR="00A46013">
        <w:t xml:space="preserve"> transition dipole is increased</w:t>
      </w:r>
      <w:r w:rsidR="0054614B">
        <w:t xml:space="preserve"> </w:t>
      </w:r>
      <w:r w:rsidR="00A46013">
        <w:t>with increasing chain l</w:t>
      </w:r>
      <w:r w:rsidR="00266DFB">
        <w:t>ength</w:t>
      </w:r>
      <w:proofErr w:type="gramStart"/>
      <w:r w:rsidR="00A46013">
        <w:t>.</w:t>
      </w:r>
      <w:r w:rsidR="00266DFB">
        <w:t>{</w:t>
      </w:r>
      <w:proofErr w:type="spellStart"/>
      <w:proofErr w:type="gramEnd"/>
      <w:r w:rsidR="00266DFB">
        <w:t>Beljonne</w:t>
      </w:r>
      <w:proofErr w:type="spellEnd"/>
      <w:r w:rsidR="00266DFB">
        <w:t>, 2000 #211}</w:t>
      </w:r>
      <w:r w:rsidR="00A5656C" w:rsidRPr="00A5656C">
        <w:rPr>
          <w:highlight w:val="yellow"/>
        </w:rPr>
        <w:t xml:space="preserve">[Maybe re-work all of </w:t>
      </w:r>
      <w:r w:rsidR="00A5656C" w:rsidRPr="00A5656C">
        <w:rPr>
          <w:highlight w:val="yellow"/>
        </w:rPr>
        <w:lastRenderedPageBreak/>
        <w:t>this in terms of the Forster exciton diffusion model--we don’t want to give recent theorists too much credit for something that was proposed &gt;50 years ago.]</w:t>
      </w:r>
      <w:r w:rsidR="00A46013">
        <w:t xml:space="preserve"> </w:t>
      </w:r>
      <w:r w:rsidR="0054614B">
        <w:t xml:space="preserve">Thus, as </w:t>
      </w:r>
      <w:r w:rsidR="00266DFB">
        <w:t>a</w:t>
      </w:r>
      <w:r w:rsidR="0054614B">
        <w:t xml:space="preserve"> particle swells</w:t>
      </w:r>
      <w:r w:rsidR="00266DFB">
        <w:t xml:space="preserve"> and collapsed chains unfold</w:t>
      </w:r>
      <w:r w:rsidR="0054614B">
        <w:t xml:space="preserve">, the </w:t>
      </w:r>
      <w:proofErr w:type="spellStart"/>
      <w:r w:rsidR="0054614B">
        <w:t>excitonic</w:t>
      </w:r>
      <w:proofErr w:type="spellEnd"/>
      <w:r w:rsidR="0054614B">
        <w:t xml:space="preserve"> coupling</w:t>
      </w:r>
      <w:r w:rsidR="00A46013">
        <w:t xml:space="preserve"> to </w:t>
      </w:r>
      <w:proofErr w:type="spellStart"/>
      <w:r w:rsidR="00A46013">
        <w:t>interchain</w:t>
      </w:r>
      <w:proofErr w:type="spellEnd"/>
      <w:r w:rsidR="00A46013">
        <w:t xml:space="preserve"> nearest neighbors</w:t>
      </w:r>
      <w:r w:rsidR="0054614B">
        <w:t xml:space="preserve"> </w:t>
      </w:r>
      <w:r w:rsidR="00A46013">
        <w:t>is decreased</w:t>
      </w:r>
      <w:r w:rsidR="00266DFB">
        <w:t xml:space="preserve">, disfavoring 2D or 3D exciton transport, </w:t>
      </w:r>
      <w:r w:rsidR="00A46013">
        <w:t xml:space="preserve">and the coupling to </w:t>
      </w:r>
      <w:proofErr w:type="spellStart"/>
      <w:r w:rsidR="00A46013">
        <w:t>intrachain</w:t>
      </w:r>
      <w:proofErr w:type="spellEnd"/>
      <w:r w:rsidR="00A46013">
        <w:t xml:space="preserve"> nearest neighbors increases</w:t>
      </w:r>
      <w:r w:rsidR="00266DFB">
        <w:t>, which favors 1D exciton transport.</w:t>
      </w:r>
    </w:p>
    <w:p w14:paraId="3702EB40" w14:textId="5D99BC9D" w:rsidR="0047381F" w:rsidRPr="00432A0B" w:rsidRDefault="0047381F" w:rsidP="00432A0B">
      <w:pPr>
        <w:pStyle w:val="Default"/>
        <w:spacing w:line="480" w:lineRule="auto"/>
        <w:jc w:val="both"/>
        <w:rPr>
          <w:rFonts w:eastAsiaTheme="minorEastAsia"/>
        </w:rPr>
      </w:pPr>
      <w:r>
        <w:tab/>
        <w:t xml:space="preserve">Throughout these experiments, there have been </w:t>
      </w:r>
      <w:proofErr w:type="gramStart"/>
      <w:r w:rsidRPr="00941933">
        <w:rPr>
          <w:highlight w:val="yellow"/>
        </w:rPr>
        <w:t>multiple</w:t>
      </w:r>
      <w:r w:rsidR="00941933" w:rsidRPr="00941933">
        <w:rPr>
          <w:highlight w:val="yellow"/>
        </w:rPr>
        <w:t>[</w:t>
      </w:r>
      <w:proofErr w:type="gramEnd"/>
      <w:r w:rsidR="00941933" w:rsidRPr="00941933">
        <w:rPr>
          <w:highlight w:val="yellow"/>
        </w:rPr>
        <w:t>several]</w:t>
      </w:r>
      <w:r>
        <w:t xml:space="preserv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rsidRPr="00A9384F">
        <w:rPr>
          <w:highlight w:val="red"/>
        </w:rPr>
        <w:t>choromophores</w:t>
      </w:r>
      <w:proofErr w:type="spellEnd"/>
      <w:r w:rsidR="00F9627A">
        <w:t xml:space="preserve"> that act as energy acceptors</w:t>
      </w:r>
      <w:r w:rsidR="00D86E0A">
        <w:t xml:space="preserve"> for both PFBT and MEH-PPV</w:t>
      </w:r>
      <w:proofErr w:type="gramStart"/>
      <w:r w:rsidR="00F9627A">
        <w:t>.</w:t>
      </w:r>
      <w:r w:rsidR="00941933" w:rsidRPr="00941933">
        <w:rPr>
          <w:highlight w:val="yellow"/>
        </w:rPr>
        <w:t>[</w:t>
      </w:r>
      <w:proofErr w:type="gramEnd"/>
      <w:r w:rsidR="00941933" w:rsidRPr="00941933">
        <w:rPr>
          <w:highlight w:val="yellow"/>
        </w:rPr>
        <w:t>this sentence feels somewhat disconnected, or the logical flow of the argument doesn’t “flow”</w:t>
      </w:r>
      <w:r w:rsidR="00941933">
        <w:rPr>
          <w:highlight w:val="yellow"/>
        </w:rPr>
        <w:t>, and doesn’t clearly link to the two-state model/picture.</w:t>
      </w:r>
      <w:r w:rsidR="00941933" w:rsidRPr="00941933">
        <w:rPr>
          <w:highlight w:val="yellow"/>
        </w:rPr>
        <w:t>]</w:t>
      </w:r>
      <w:r w:rsidR="00357040">
        <w:t>{Grey, 2006 #102</w:t>
      </w:r>
      <w:r w:rsidR="00912213">
        <w:t>}{</w:t>
      </w:r>
      <w:r w:rsidR="00357040">
        <w:t>Lee, 2006 #105</w:t>
      </w:r>
      <w:r w:rsidR="00912213">
        <w:t>}{</w:t>
      </w:r>
      <w:r w:rsidR="00357040">
        <w:t>Kim, 2006 #108}</w:t>
      </w:r>
      <w:r w:rsidR="00F9627A">
        <w:t xml:space="preserve"> </w:t>
      </w:r>
      <w:r w:rsidR="00F9627A" w:rsidRPr="00941933">
        <w:rPr>
          <w:highlight w:val="yellow"/>
        </w:rPr>
        <w:t xml:space="preserve">Steady-state fluorescence results show </w:t>
      </w:r>
      <w:r w:rsidRPr="00941933">
        <w:rPr>
          <w:highlight w:val="yellow"/>
        </w:rPr>
        <w:t>a significantly blue-shifted shoulder in the emission spectrum of MEH-PP</w:t>
      </w:r>
      <w:r w:rsidR="00A14545" w:rsidRPr="00941933">
        <w:rPr>
          <w:highlight w:val="yellow"/>
        </w:rPr>
        <w:t>V</w:t>
      </w:r>
      <w:r w:rsidR="00F9627A" w:rsidRPr="00941933">
        <w:rPr>
          <w:highlight w:val="yellow"/>
        </w:rPr>
        <w:t xml:space="preserve"> at moderate THF concentrations</w:t>
      </w:r>
      <w:r w:rsidRPr="00941933">
        <w:rPr>
          <w:highlight w:val="yellow"/>
        </w:rPr>
        <w:t>, which approximately matches the spectrum of the sol</w:t>
      </w:r>
      <w:r w:rsidR="00A14545" w:rsidRPr="00941933">
        <w:rPr>
          <w:highlight w:val="yellow"/>
        </w:rPr>
        <w:t>vated polymer</w:t>
      </w:r>
      <w:r w:rsidR="00F9627A" w:rsidRPr="00941933">
        <w:rPr>
          <w:highlight w:val="yellow"/>
        </w:rPr>
        <w:t>, and can be</w:t>
      </w:r>
      <w:r w:rsidR="000539B8" w:rsidRPr="00941933">
        <w:rPr>
          <w:highlight w:val="yellow"/>
        </w:rPr>
        <w:t xml:space="preserve"> ascribed to the separation of</w:t>
      </w:r>
      <w:r w:rsidR="00F9627A" w:rsidRPr="00941933">
        <w:rPr>
          <w:highlight w:val="yellow"/>
        </w:rPr>
        <w:t xml:space="preserve"> aggregate chromophores</w:t>
      </w:r>
      <w:r w:rsidR="000539B8" w:rsidRPr="00941933">
        <w:rPr>
          <w:highlight w:val="yellow"/>
        </w:rPr>
        <w:t xml:space="preserve"> in swelled CPNs</w:t>
      </w:r>
      <w:proofErr w:type="gramStart"/>
      <w:r w:rsidR="00A14545" w:rsidRPr="00941933">
        <w:rPr>
          <w:highlight w:val="yellow"/>
        </w:rPr>
        <w:t>.</w:t>
      </w:r>
      <w:r w:rsidR="00941933" w:rsidRPr="00941933">
        <w:rPr>
          <w:highlight w:val="yellow"/>
        </w:rPr>
        <w:t>[</w:t>
      </w:r>
      <w:proofErr w:type="gramEnd"/>
      <w:r w:rsidR="00941933" w:rsidRPr="00941933">
        <w:rPr>
          <w:highlight w:val="yellow"/>
        </w:rPr>
        <w:t>again, this only seems weakly connected.]</w:t>
      </w:r>
      <w:r w:rsidR="00A14545">
        <w:t xml:space="preserve"> Additionally,</w:t>
      </w:r>
      <w:r>
        <w:t xml:space="preserve"> </w:t>
      </w:r>
      <w:r w:rsidR="00047F79">
        <w:t xml:space="preserve">bi-exponential </w:t>
      </w:r>
      <w:r>
        <w:t>lifetime ana</w:t>
      </w:r>
      <w:r w:rsidR="00047F79">
        <w:t>lysis results</w:t>
      </w:r>
      <w:r w:rsidR="00F2285F">
        <w:t xml:space="preserve"> </w:t>
      </w:r>
      <w:r w:rsidR="00047F79">
        <w:t>for both polymers</w:t>
      </w:r>
      <w:r>
        <w:t xml:space="preserve"> </w:t>
      </w:r>
      <w:r w:rsidR="00F2285F">
        <w:t xml:space="preserve">at moderate THF concentrations </w:t>
      </w:r>
      <w:r>
        <w:t>yield</w:t>
      </w:r>
      <w:r w:rsidR="00F9627A">
        <w:t xml:space="preserve"> </w:t>
      </w:r>
      <w:r w:rsidR="00F2285F">
        <w:t xml:space="preserve">short </w:t>
      </w:r>
      <w:r>
        <w:t>time constants</w:t>
      </w:r>
      <w:r w:rsidR="00047F79">
        <w:t xml:space="preserve"> similar</w:t>
      </w:r>
      <w:r>
        <w:t xml:space="preserve"> </w:t>
      </w:r>
      <w:r w:rsidR="00F9627A">
        <w:t>to</w:t>
      </w:r>
      <w:r w:rsidR="00F2285F">
        <w:t xml:space="preserve"> the CPNs</w:t>
      </w:r>
      <w:r w:rsidR="00A64366">
        <w:t xml:space="preserve"> in water</w:t>
      </w:r>
      <w:r>
        <w:t xml:space="preserve">, and </w:t>
      </w:r>
      <w:r w:rsidR="00F2285F">
        <w:t>long time constants similar to the free polymer</w:t>
      </w:r>
      <w:r w:rsidR="00A64366">
        <w:t xml:space="preserve"> in THF</w:t>
      </w:r>
      <w:proofErr w:type="gramStart"/>
      <w:r w:rsidR="00F9627A">
        <w:t>.</w:t>
      </w:r>
      <w:r w:rsidR="00941933" w:rsidRPr="00941933">
        <w:rPr>
          <w:highlight w:val="yellow"/>
        </w:rPr>
        <w:t>[</w:t>
      </w:r>
      <w:proofErr w:type="gramEnd"/>
      <w:r w:rsidR="00941933" w:rsidRPr="00941933">
        <w:rPr>
          <w:highlight w:val="yellow"/>
        </w:rPr>
        <w:t>this is stronger evidence. maybe start with that.]</w:t>
      </w:r>
      <w:r>
        <w:t xml:space="preserve"> </w:t>
      </w:r>
      <w:r w:rsidR="00F9627A">
        <w:t>These time constants</w:t>
      </w:r>
      <w:r>
        <w:t xml:space="preserve"> hold fixed for PFBT </w:t>
      </w:r>
      <w:r w:rsidR="00F9627A">
        <w:t>from 80% to 95% THF</w:t>
      </w:r>
      <w:r>
        <w:t xml:space="preserve">, only shifting </w:t>
      </w:r>
      <w:r w:rsidRPr="00DD41CF">
        <w:rPr>
          <w:highlight w:val="yellow"/>
        </w:rPr>
        <w:t>in the relative percent of each, as is observed in the weighted amplitudes</w:t>
      </w:r>
      <w:r w:rsidR="00DD41CF">
        <w:t xml:space="preserve"> </w:t>
      </w:r>
      <w:r w:rsidR="00DD41CF" w:rsidRPr="00DD41CF">
        <w:rPr>
          <w:highlight w:val="yellow"/>
        </w:rPr>
        <w:t>[somewhat repetitive, we don’t need to state both relative percent and weighted amplitudes, since they are basically the same thing. rephrase.]</w:t>
      </w:r>
      <w:r w:rsidR="00D86E0A">
        <w:t xml:space="preserve"> (</w:t>
      </w:r>
      <w:proofErr w:type="gramStart"/>
      <w:r w:rsidR="00D86E0A">
        <w:t>c</w:t>
      </w:r>
      <w:proofErr w:type="gramEnd"/>
      <w:r w:rsidR="00D86E0A">
        <w:t>.f. Table 1)</w:t>
      </w:r>
      <w:r>
        <w:t xml:space="preserve">. </w:t>
      </w:r>
      <w:r w:rsidR="00B15DF4">
        <w:t xml:space="preserve">The model results also significantly deviate from what is observed </w:t>
      </w:r>
      <w:r w:rsidR="006920C0">
        <w:t>experimentally</w:t>
      </w:r>
      <w:r w:rsidR="00B15DF4">
        <w:t xml:space="preserve"> in the region of THF concentration where these </w:t>
      </w:r>
      <w:r w:rsidR="00B15DF4">
        <w:lastRenderedPageBreak/>
        <w:t>phenomena are observed</w:t>
      </w:r>
      <w:r w:rsidR="00A14545">
        <w:t>, which suggests that the 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w:t>
      </w:r>
      <w:r w:rsidR="00C25426" w:rsidRPr="00F73194">
        <w:rPr>
          <w:highlight w:val="yellow"/>
        </w:rPr>
        <w:t>two-state</w:t>
      </w:r>
      <w:r w:rsidR="00F73194" w:rsidRPr="00F73194">
        <w:rPr>
          <w:highlight w:val="yellow"/>
        </w:rPr>
        <w:t xml:space="preserve"> [phase?]</w:t>
      </w:r>
      <w:r w:rsidR="00C25426">
        <w:t xml:space="preserve"> system, </w:t>
      </w:r>
      <w:r w:rsidR="00C25426" w:rsidRPr="00F73194">
        <w:rPr>
          <w:highlight w:val="yellow"/>
        </w:rPr>
        <w:t>the possibility should not be ignored</w:t>
      </w:r>
      <w:proofErr w:type="gramStart"/>
      <w:r w:rsidR="00C25426" w:rsidRPr="00F73194">
        <w:rPr>
          <w:highlight w:val="yellow"/>
        </w:rPr>
        <w:t>.</w:t>
      </w:r>
      <w:r w:rsidR="00F73194" w:rsidRPr="00F73194">
        <w:rPr>
          <w:highlight w:val="yellow"/>
        </w:rPr>
        <w:t>[</w:t>
      </w:r>
      <w:proofErr w:type="gramEnd"/>
      <w:r w:rsidR="00F73194" w:rsidRPr="00F73194">
        <w:rPr>
          <w:highlight w:val="yellow"/>
        </w:rPr>
        <w:t>something awkward about this sentence, though perhaps I wrote it. Maybe cut off the last part and somehow join with next sentence?]</w:t>
      </w:r>
      <w:r w:rsidR="00C25426">
        <w:t xml:space="preserve"> </w:t>
      </w:r>
      <w:r w:rsidR="00B15DF4" w:rsidRPr="003B042D">
        <w:t xml:space="preserve">For now, it can only be speculated that perhaps the system exists as both </w:t>
      </w:r>
      <w:r w:rsidR="00F2711B" w:rsidRPr="003B042D">
        <w:t>isolated polymer chains</w:t>
      </w:r>
      <w:r w:rsidR="00B15DF4" w:rsidRPr="003B042D">
        <w:t xml:space="preserve"> and swelled nanoparticles</w:t>
      </w:r>
      <w:r w:rsidR="00C44601" w:rsidRPr="003B042D">
        <w:t xml:space="preserve"> coexisting</w:t>
      </w:r>
      <w:r w:rsidR="00B15DF4" w:rsidRPr="003B042D">
        <w:t xml:space="preserve"> in </w:t>
      </w:r>
      <w:r w:rsidR="00176B0B">
        <w:t>equilibrium</w:t>
      </w:r>
      <w:r w:rsidR="00940781" w:rsidRPr="003B042D">
        <w:t xml:space="preserve">, </w:t>
      </w:r>
      <w:r w:rsidR="001A6DD3" w:rsidRPr="003B042D">
        <w:t>only within a fairly narrow</w:t>
      </w:r>
      <w:r w:rsidR="002F6CAA" w:rsidRPr="003B042D">
        <w:t xml:space="preserve"> range of </w:t>
      </w:r>
      <w:r w:rsidR="00940781" w:rsidRPr="003B042D">
        <w:t>THF concentrations</w:t>
      </w:r>
      <w:r w:rsidR="003B042D">
        <w:t>.</w:t>
      </w:r>
      <w:r w:rsidR="00B15DF4">
        <w:t xml:space="preserve"> </w:t>
      </w:r>
    </w:p>
    <w:p w14:paraId="7A4F29A4" w14:textId="6A0719EC" w:rsidR="00CD5A09" w:rsidRDefault="00267590" w:rsidP="00CD5A09">
      <w:pPr>
        <w:pStyle w:val="Default"/>
        <w:spacing w:line="480" w:lineRule="auto"/>
        <w:jc w:val="center"/>
      </w:pPr>
      <w:r>
        <w:rPr>
          <w:noProof/>
        </w:rPr>
        <w:drawing>
          <wp:inline distT="0" distB="0" distL="0" distR="0" wp14:anchorId="509119BC" wp14:editId="11439DBD">
            <wp:extent cx="2611120" cy="975995"/>
            <wp:effectExtent l="0" t="0" r="0" b="0"/>
            <wp:docPr id="4" name="Picture 4"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FAD\PFBT 40% THF Fit\R_t-40%-PFBT-IntensityDecay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1120" cy="975995"/>
                    </a:xfrm>
                    <a:prstGeom prst="rect">
                      <a:avLst/>
                    </a:prstGeom>
                    <a:noFill/>
                    <a:ln>
                      <a:noFill/>
                    </a:ln>
                  </pic:spPr>
                </pic:pic>
              </a:graphicData>
            </a:graphic>
          </wp:inline>
        </w:drawing>
      </w:r>
    </w:p>
    <w:p w14:paraId="49FD7928" w14:textId="3E25C95B" w:rsidR="003D4EA9" w:rsidRDefault="00CD5A09" w:rsidP="00CD5A09">
      <w:pPr>
        <w:pStyle w:val="Default"/>
        <w:spacing w:line="480" w:lineRule="auto"/>
        <w:jc w:val="both"/>
        <w:rPr>
          <w:sz w:val="20"/>
          <w:szCs w:val="20"/>
        </w:rPr>
      </w:pPr>
      <w:r>
        <w:rPr>
          <w:b/>
          <w:sz w:val="20"/>
          <w:szCs w:val="20"/>
        </w:rPr>
        <w:t xml:space="preserve">Fig. </w:t>
      </w:r>
      <w:r w:rsidR="00515814">
        <w:rPr>
          <w:b/>
          <w:sz w:val="20"/>
          <w:szCs w:val="20"/>
        </w:rPr>
        <w:t>8</w:t>
      </w:r>
      <w:r>
        <w:rPr>
          <w:b/>
          <w:sz w:val="20"/>
          <w:szCs w:val="20"/>
        </w:rPr>
        <w:t>.</w:t>
      </w:r>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D96C0E">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w:t>
      </w:r>
      <w:r w:rsidR="00267590">
        <w:rPr>
          <w:sz w:val="20"/>
          <w:szCs w:val="20"/>
        </w:rPr>
        <w:t>ted from intensity data in (a).</w:t>
      </w:r>
    </w:p>
    <w:p w14:paraId="1C1DCF79" w14:textId="77777777" w:rsidR="00DE2D25" w:rsidRPr="003D4EA9" w:rsidRDefault="00DE2D25" w:rsidP="00CD5A09">
      <w:pPr>
        <w:pStyle w:val="Default"/>
        <w:spacing w:line="480" w:lineRule="auto"/>
        <w:jc w:val="both"/>
        <w:rPr>
          <w:sz w:val="20"/>
          <w:szCs w:val="20"/>
        </w:rPr>
      </w:pPr>
    </w:p>
    <w:p w14:paraId="4B1F72E0" w14:textId="69B75690" w:rsidR="002433CD" w:rsidRDefault="004A41C6" w:rsidP="00C711A6">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C711A6">
        <w:rPr>
          <w:rFonts w:ascii="Times New Roman" w:hAnsi="Times New Roman" w:cs="Times New Roman"/>
          <w:sz w:val="24"/>
          <w:szCs w:val="24"/>
        </w:rPr>
        <w:t xml:space="preserve">Time-resolved anisotropy measurements provide a means to probe energy homo-transfer rates in CPNs, given the assumption that each energy transfer event prior to radiative decay slightly alters the polarization state of the exciton, leading to depolarization of the observed fluorescence photons. </w:t>
      </w:r>
      <w:r w:rsidR="00ED189C" w:rsidRPr="00ED189C">
        <w:rPr>
          <w:rFonts w:ascii="Times New Roman" w:hAnsi="Times New Roman" w:cs="Times New Roman"/>
          <w:sz w:val="24"/>
          <w:szCs w:val="24"/>
        </w:rPr>
        <w:t>Fluorescence</w:t>
      </w:r>
      <w:r w:rsidR="004D5CD0" w:rsidRPr="00ED189C">
        <w:rPr>
          <w:rFonts w:ascii="Times New Roman" w:hAnsi="Times New Roman" w:cs="Times New Roman"/>
          <w:sz w:val="24"/>
          <w:szCs w:val="24"/>
        </w:rPr>
        <w:t xml:space="preserve"> intensity decays collected at 0°, 90°</w:t>
      </w:r>
      <w:r w:rsidR="006920C0" w:rsidRPr="00ED189C">
        <w:rPr>
          <w:rFonts w:ascii="Times New Roman" w:hAnsi="Times New Roman" w:cs="Times New Roman"/>
          <w:sz w:val="24"/>
          <w:szCs w:val="24"/>
        </w:rPr>
        <w:t>,</w:t>
      </w:r>
      <w:r w:rsidR="004D5CD0" w:rsidRPr="00ED189C">
        <w:rPr>
          <w:rFonts w:ascii="Times New Roman" w:hAnsi="Times New Roman" w:cs="Times New Roman"/>
          <w:sz w:val="24"/>
          <w:szCs w:val="24"/>
        </w:rPr>
        <w:t xml:space="preserve"> and 55° </w:t>
      </w:r>
      <w:r w:rsidR="00ED189C" w:rsidRPr="00ED189C">
        <w:rPr>
          <w:rFonts w:ascii="Times New Roman" w:hAnsi="Times New Roman" w:cs="Times New Roman"/>
          <w:sz w:val="24"/>
          <w:szCs w:val="24"/>
        </w:rPr>
        <w:t xml:space="preserve">polarizer orientations </w:t>
      </w:r>
      <w:r w:rsidR="00950EBE" w:rsidRPr="00ED189C">
        <w:rPr>
          <w:rFonts w:ascii="Times New Roman" w:hAnsi="Times New Roman" w:cs="Times New Roman"/>
          <w:sz w:val="24"/>
          <w:szCs w:val="24"/>
        </w:rPr>
        <w:t xml:space="preserve">relative </w:t>
      </w:r>
      <w:r w:rsidR="004D5CD0" w:rsidRPr="00ED189C">
        <w:rPr>
          <w:rFonts w:ascii="Times New Roman" w:hAnsi="Times New Roman" w:cs="Times New Roman"/>
          <w:sz w:val="24"/>
          <w:szCs w:val="24"/>
        </w:rPr>
        <w:t>to the vertically polarized excitation pulse</w:t>
      </w:r>
      <w:r w:rsidR="00791280">
        <w:rPr>
          <w:rFonts w:ascii="Times New Roman" w:hAnsi="Times New Roman" w:cs="Times New Roman"/>
          <w:sz w:val="24"/>
          <w:szCs w:val="24"/>
        </w:rPr>
        <w:t xml:space="preserve"> were obtained via</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w:t>
      </w:r>
      <w:r w:rsidR="003B042D">
        <w:rPr>
          <w:rFonts w:ascii="Times New Roman" w:hAnsi="Times New Roman" w:cs="Times New Roman"/>
          <w:sz w:val="24"/>
          <w:szCs w:val="24"/>
        </w:rPr>
        <w:t>.</w:t>
      </w:r>
      <w:r w:rsidR="00E850F5">
        <w:rPr>
          <w:rFonts w:ascii="Times New Roman" w:hAnsi="Times New Roman" w:cs="Times New Roman"/>
          <w:sz w:val="24"/>
          <w:szCs w:val="24"/>
        </w:rPr>
        <w:t xml:space="preserve"> </w:t>
      </w:r>
      <w:r w:rsidR="00CD20DD">
        <w:rPr>
          <w:rFonts w:ascii="Times New Roman" w:hAnsi="Times New Roman" w:cs="Times New Roman"/>
          <w:sz w:val="24"/>
          <w:szCs w:val="24"/>
        </w:rPr>
        <w:t>8</w:t>
      </w:r>
      <w:r w:rsidR="00E850F5">
        <w:rPr>
          <w:rFonts w:ascii="Times New Roman" w:hAnsi="Times New Roman" w:cs="Times New Roman"/>
          <w:sz w:val="24"/>
          <w:szCs w:val="24"/>
        </w:rPr>
        <w:t>a)</w:t>
      </w:r>
      <w:r w:rsidR="004D5CD0">
        <w:rPr>
          <w:rFonts w:ascii="Times New Roman" w:hAnsi="Times New Roman" w:cs="Times New Roman"/>
          <w:sz w:val="24"/>
          <w:szCs w:val="24"/>
        </w:rPr>
        <w:t xml:space="preserve">. The resulting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relation </w:t>
      </w:r>
      <w:r w:rsidR="005B76EF">
        <w:rPr>
          <w:rFonts w:ascii="Times New Roman" w:hAnsi="Times New Roman" w:cs="Times New Roman"/>
          <w:position w:val="-10"/>
          <w:sz w:val="24"/>
          <w:szCs w:val="24"/>
        </w:rPr>
        <w:pict w14:anchorId="01B46B8C">
          <v:shape id="_x0000_i1042" type="#_x0000_t75" style="width:86.4pt;height:17.15pt">
            <v:imagedata r:id="rId31" o:title=""/>
          </v:shape>
        </w:pict>
      </w:r>
      <w:r w:rsidR="009C4444">
        <w:rPr>
          <w:rFonts w:ascii="Times New Roman" w:hAnsi="Times New Roman" w:cs="Times New Roman"/>
          <w:sz w:val="24"/>
          <w:szCs w:val="24"/>
        </w:rPr>
        <w:t xml:space="preserve">, where </w:t>
      </w:r>
      <w:r w:rsidR="005B76EF">
        <w:rPr>
          <w:rFonts w:ascii="Times New Roman" w:hAnsi="Times New Roman" w:cs="Times New Roman"/>
          <w:position w:val="-12"/>
          <w:sz w:val="24"/>
          <w:szCs w:val="24"/>
        </w:rPr>
        <w:pict w14:anchorId="2921B3B1">
          <v:shape id="_x0000_i1043" type="#_x0000_t75" style="width:106.35pt;height:18.3pt">
            <v:imagedata r:id="rId32" o:title=""/>
          </v:shape>
        </w:pict>
      </w:r>
      <w:r w:rsidR="009C4444">
        <w:rPr>
          <w:rFonts w:ascii="Times New Roman" w:hAnsi="Times New Roman" w:cs="Times New Roman"/>
          <w:sz w:val="24"/>
          <w:szCs w:val="24"/>
        </w:rPr>
        <w:t xml:space="preserve">, </w:t>
      </w:r>
      <w:r w:rsidR="005B76EF">
        <w:rPr>
          <w:rFonts w:ascii="Times New Roman" w:hAnsi="Times New Roman" w:cs="Times New Roman"/>
          <w:position w:val="-12"/>
          <w:sz w:val="24"/>
          <w:szCs w:val="24"/>
        </w:rPr>
        <w:pict w14:anchorId="314A1422">
          <v:shape id="_x0000_i1044" type="#_x0000_t75" style="width:156.2pt;height:18.3pt">
            <v:imagedata r:id="rId33" o:title=""/>
          </v:shape>
        </w:pic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t>
      </w:r>
      <w:r w:rsidR="009C4444">
        <w:rPr>
          <w:rFonts w:ascii="Times New Roman" w:hAnsi="Times New Roman" w:cs="Times New Roman"/>
          <w:sz w:val="24"/>
          <w:szCs w:val="24"/>
        </w:rPr>
        <w:lastRenderedPageBreak/>
        <w:t xml:space="preserve">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proofErr w:type="gramStart"/>
      <w:r w:rsidR="00B61269">
        <w:rPr>
          <w:rFonts w:ascii="Times New Roman" w:hAnsi="Times New Roman" w:cs="Times New Roman"/>
          <w:sz w:val="24"/>
          <w:szCs w:val="24"/>
        </w:rPr>
        <w:t>.</w:t>
      </w:r>
      <w:r w:rsidR="00357040">
        <w:rPr>
          <w:rFonts w:ascii="Times New Roman" w:hAnsi="Times New Roman" w:cs="Times New Roman"/>
          <w:sz w:val="24"/>
          <w:szCs w:val="24"/>
        </w:rPr>
        <w:t>{</w:t>
      </w:r>
      <w:proofErr w:type="gramEnd"/>
      <w:r w:rsidR="00357040">
        <w:rPr>
          <w:rFonts w:ascii="Times New Roman" w:hAnsi="Times New Roman" w:cs="Times New Roman"/>
          <w:sz w:val="24"/>
          <w:szCs w:val="24"/>
        </w:rPr>
        <w:t>Cross, 1984 #87}</w:t>
      </w:r>
      <w:r w:rsidR="00C711A6">
        <w:rPr>
          <w:rFonts w:ascii="Times New Roman" w:hAnsi="Times New Roman" w:cs="Times New Roman"/>
          <w:sz w:val="24"/>
          <w:szCs w:val="24"/>
        </w:rPr>
        <w:t xml:space="preserve"> </w:t>
      </w:r>
      <w:r w:rsidR="0073542E">
        <w:rPr>
          <w:rFonts w:ascii="Times New Roman" w:hAnsi="Times New Roman" w:cs="Times New Roman"/>
          <w:sz w:val="24"/>
          <w:szCs w:val="24"/>
        </w:rPr>
        <w:t>Briefly, after least-squares fitting to each intensity</w:t>
      </w:r>
      <w:r w:rsidR="00F2711B">
        <w:rPr>
          <w:rFonts w:ascii="Times New Roman" w:hAnsi="Times New Roman" w:cs="Times New Roman"/>
          <w:sz w:val="24"/>
          <w:szCs w:val="24"/>
        </w:rPr>
        <w:t xml:space="preserve"> decay, the limiting anisotropy</w:t>
      </w:r>
      <w:r w:rsidR="00D163B5">
        <w:rPr>
          <w:rFonts w:ascii="Times New Roman" w:hAnsi="Times New Roman" w:cs="Times New Roman"/>
          <w:sz w:val="24"/>
          <w:szCs w:val="24"/>
        </w:rPr>
        <w:t xml:space="preserve"> is determined from the</w:t>
      </w:r>
      <w:r w:rsidR="009F72DA">
        <w:rPr>
          <w:rFonts w:ascii="Times New Roman" w:hAnsi="Times New Roman" w:cs="Times New Roman"/>
          <w:sz w:val="24"/>
          <w:szCs w:val="24"/>
        </w:rPr>
        <w:t xml:space="preserve"> </w:t>
      </w:r>
      <w:r w:rsidR="000F6EA0">
        <w:rPr>
          <w:rFonts w:ascii="Times New Roman" w:hAnsi="Times New Roman" w:cs="Times New Roman"/>
          <w:sz w:val="24"/>
          <w:szCs w:val="24"/>
        </w:rPr>
        <w:t xml:space="preserve">corrected </w:t>
      </w:r>
      <w:r w:rsidR="0073542E">
        <w:rPr>
          <w:rFonts w:ascii="Times New Roman" w:hAnsi="Times New Roman" w:cs="Times New Roman"/>
          <w:sz w:val="24"/>
          <w:szCs w:val="24"/>
        </w:rPr>
        <w:t>amplitudes of the intensity decays</w:t>
      </w:r>
      <w:r w:rsidR="000F6EA0">
        <w:rPr>
          <w:rFonts w:ascii="Times New Roman" w:hAnsi="Times New Roman" w:cs="Times New Roman"/>
          <w:sz w:val="24"/>
          <w:szCs w:val="24"/>
        </w:rPr>
        <w:t xml:space="preserve"> (</w:t>
      </w:r>
      <w:r w:rsidR="00BF0C5B">
        <w:rPr>
          <w:rFonts w:ascii="Times New Roman" w:hAnsi="Times New Roman" w:cs="Times New Roman"/>
          <w:sz w:val="24"/>
          <w:szCs w:val="24"/>
        </w:rPr>
        <w:t>correction procedure</w:t>
      </w:r>
      <w:r w:rsidR="000F6EA0">
        <w:rPr>
          <w:rFonts w:ascii="Times New Roman" w:hAnsi="Times New Roman" w:cs="Times New Roman"/>
          <w:sz w:val="24"/>
          <w:szCs w:val="24"/>
        </w:rPr>
        <w:t xml:space="preserve"> detailed in the Supporting Information)</w:t>
      </w:r>
      <w:r w:rsidR="0073542E">
        <w:rPr>
          <w:rFonts w:ascii="Times New Roman" w:hAnsi="Times New Roman" w:cs="Times New Roman"/>
          <w:sz w:val="24"/>
          <w:szCs w:val="24"/>
        </w:rPr>
        <w:t xml:space="preserve"> by </w:t>
      </w:r>
      <w:r w:rsidR="005B76EF">
        <w:rPr>
          <w:rFonts w:ascii="Times New Roman" w:hAnsi="Times New Roman" w:cs="Times New Roman"/>
          <w:position w:val="-14"/>
          <w:sz w:val="24"/>
          <w:szCs w:val="24"/>
        </w:rPr>
        <w:pict w14:anchorId="3442E078">
          <v:shape id="_x0000_i1045" type="#_x0000_t75" style="width:123.5pt;height:20.5pt">
            <v:imagedata r:id="rId34" o:title=""/>
          </v:shape>
        </w:pict>
      </w:r>
      <w:r w:rsidR="002433CD">
        <w:rPr>
          <w:rFonts w:ascii="Times New Roman" w:hAnsi="Times New Roman" w:cs="Times New Roman"/>
          <w:sz w:val="24"/>
          <w:szCs w:val="24"/>
        </w:rPr>
        <w:t xml:space="preserve">, where the </w:t>
      </w:r>
      <w:r w:rsidR="000F6EA0">
        <w:rPr>
          <w:rFonts w:ascii="Times New Roman" w:hAnsi="Times New Roman" w:cs="Times New Roman"/>
          <w:sz w:val="24"/>
          <w:szCs w:val="24"/>
        </w:rPr>
        <w:t xml:space="preserve">numerical </w:t>
      </w:r>
      <w:r w:rsidR="002433CD">
        <w:rPr>
          <w:rFonts w:ascii="Times New Roman" w:hAnsi="Times New Roman" w:cs="Times New Roman"/>
          <w:sz w:val="24"/>
          <w:szCs w:val="24"/>
        </w:rPr>
        <w:t>super</w:t>
      </w:r>
      <w:r w:rsidR="00D26C1D">
        <w:rPr>
          <w:rFonts w:ascii="Times New Roman" w:hAnsi="Times New Roman" w:cs="Times New Roman"/>
          <w:sz w:val="24"/>
          <w:szCs w:val="24"/>
        </w:rPr>
        <w:t>scripts indicate the polarizer orientation</w:t>
      </w:r>
      <w:r w:rsidR="00DC4A4D">
        <w:rPr>
          <w:rFonts w:ascii="Times New Roman" w:hAnsi="Times New Roman" w:cs="Times New Roman"/>
          <w:sz w:val="24"/>
          <w:szCs w:val="24"/>
        </w:rPr>
        <w:t xml:space="preserve"> and the subscripts indicate the trial function used</w:t>
      </w:r>
      <w:r w:rsidR="00D26C1D">
        <w:rPr>
          <w:rFonts w:ascii="Times New Roman" w:hAnsi="Times New Roman" w:cs="Times New Roman"/>
          <w:sz w:val="24"/>
          <w:szCs w:val="24"/>
        </w:rPr>
        <w:t xml:space="preserve">. The correlation time </w:t>
      </w:r>
      <w:r w:rsidR="00D26C1D" w:rsidRPr="00FF1966">
        <w:rPr>
          <w:rFonts w:ascii="Symbol" w:hAnsi="Symbol" w:cs="Times New Roman"/>
          <w:i/>
          <w:sz w:val="24"/>
          <w:szCs w:val="24"/>
        </w:rPr>
        <w:t></w:t>
      </w:r>
      <w:r w:rsidR="00D26C1D" w:rsidRPr="00FF1966">
        <w:rPr>
          <w:rFonts w:ascii="Times New Roman" w:hAnsi="Times New Roman" w:cs="Times New Roman"/>
          <w:i/>
          <w:sz w:val="24"/>
          <w:szCs w:val="24"/>
          <w:vertAlign w:val="subscript"/>
        </w:rPr>
        <w:t>c</w:t>
      </w:r>
      <w:r w:rsidR="00D26C1D">
        <w:rPr>
          <w:rFonts w:ascii="Times New Roman" w:hAnsi="Times New Roman" w:cs="Times New Roman"/>
          <w:sz w:val="24"/>
          <w:szCs w:val="24"/>
        </w:rPr>
        <w:t xml:space="preserve"> is determined from a weighted average of the individual exponential time constants obtained from the corresponding fits to the intensity decays at 0° and 90° polarizer orientations</w:t>
      </w:r>
      <w:r w:rsidR="002433CD">
        <w:rPr>
          <w:rFonts w:ascii="Times New Roman" w:hAnsi="Times New Roman" w:cs="Times New Roman"/>
          <w:sz w:val="24"/>
          <w:szCs w:val="24"/>
        </w:rPr>
        <w:t xml:space="preserve"> by </w:t>
      </w:r>
    </w:p>
    <w:p w14:paraId="5A388CCA" w14:textId="70815E17" w:rsidR="00DC4A4D" w:rsidRPr="00D26C1D" w:rsidRDefault="005B76EF" w:rsidP="00DC4A4D">
      <w:pPr>
        <w:pStyle w:val="NoSpacing"/>
        <w:spacing w:line="480" w:lineRule="auto"/>
        <w:ind w:firstLine="720"/>
        <w:jc w:val="right"/>
        <w:rPr>
          <w:rFonts w:ascii="Times New Roman" w:hAnsi="Times New Roman" w:cs="Times New Roman"/>
          <w:sz w:val="24"/>
          <w:szCs w:val="24"/>
        </w:rPr>
      </w:pPr>
      <w:r>
        <w:rPr>
          <w:rFonts w:ascii="Times New Roman" w:hAnsi="Times New Roman" w:cs="Times New Roman"/>
          <w:position w:val="-34"/>
          <w:sz w:val="24"/>
          <w:szCs w:val="24"/>
        </w:rPr>
        <w:pict w14:anchorId="401A4E14">
          <v:shape id="_x0000_i1046" type="#_x0000_t75" style="width:219.9pt;height:40.45pt">
            <v:imagedata r:id="rId35" o:title=""/>
          </v:shape>
        </w:pict>
      </w:r>
      <w:r w:rsidR="00D26C1D">
        <w:rPr>
          <w:rFonts w:ascii="Times New Roman" w:hAnsi="Times New Roman" w:cs="Times New Roman"/>
          <w:sz w:val="24"/>
          <w:szCs w:val="24"/>
        </w:rPr>
        <w:t>.</w:t>
      </w:r>
      <w:r w:rsidR="00DC4A4D">
        <w:rPr>
          <w:rFonts w:ascii="Times New Roman" w:hAnsi="Times New Roman" w:cs="Times New Roman"/>
          <w:sz w:val="24"/>
          <w:szCs w:val="24"/>
        </w:rPr>
        <w:tab/>
      </w:r>
      <w:r w:rsidR="00DC4A4D">
        <w:rPr>
          <w:rFonts w:ascii="Times New Roman" w:hAnsi="Times New Roman" w:cs="Times New Roman"/>
          <w:sz w:val="24"/>
          <w:szCs w:val="24"/>
        </w:rPr>
        <w:tab/>
        <w:t xml:space="preserve">       (3)</w:t>
      </w:r>
    </w:p>
    <w:p w14:paraId="6E16E633" w14:textId="4B18C9F8" w:rsidR="00BB7130" w:rsidRDefault="00771E20" w:rsidP="00F9538D">
      <w:pPr>
        <w:pStyle w:val="NoSpacing"/>
        <w:spacing w:line="480" w:lineRule="auto"/>
        <w:ind w:firstLine="720"/>
        <w:jc w:val="both"/>
        <w:rPr>
          <w:rFonts w:ascii="Times New Roman" w:hAnsi="Times New Roman" w:cs="Times New Roman"/>
          <w:sz w:val="24"/>
          <w:szCs w:val="24"/>
        </w:rPr>
      </w:pPr>
      <w:r w:rsidRPr="00771E20">
        <w:rPr>
          <w:rFonts w:ascii="Times New Roman" w:hAnsi="Times New Roman" w:cs="Times New Roman"/>
          <w:sz w:val="24"/>
          <w:szCs w:val="24"/>
        </w:rPr>
        <w:t xml:space="preserve">Due to the short lifetime and rapid anisotropy decay for MEH-PPV, only MEH-PPV in solution yielded a complete set of intensity decays usable for fitting analysis </w:t>
      </w:r>
      <w:r w:rsidR="001242BE" w:rsidRPr="00771E20">
        <w:rPr>
          <w:rFonts w:ascii="Times New Roman" w:hAnsi="Times New Roman" w:cs="Times New Roman"/>
          <w:sz w:val="24"/>
          <w:szCs w:val="24"/>
        </w:rPr>
        <w:t>(</w:t>
      </w:r>
      <w:r w:rsidR="001242BE" w:rsidRPr="00771E20">
        <w:rPr>
          <w:rFonts w:ascii="Times New Roman" w:hAnsi="Times New Roman" w:cs="Times New Roman"/>
          <w:i/>
          <w:sz w:val="24"/>
          <w:szCs w:val="24"/>
        </w:rPr>
        <w:t>r</w:t>
      </w:r>
      <w:r w:rsidR="001242BE" w:rsidRPr="00771E20">
        <w:rPr>
          <w:rFonts w:ascii="Times New Roman" w:hAnsi="Times New Roman" w:cs="Times New Roman"/>
          <w:sz w:val="24"/>
          <w:szCs w:val="24"/>
          <w:vertAlign w:val="subscript"/>
        </w:rPr>
        <w:t>0</w:t>
      </w:r>
      <w:r w:rsidR="001242BE" w:rsidRPr="00771E20">
        <w:rPr>
          <w:rFonts w:ascii="Times New Roman" w:hAnsi="Times New Roman" w:cs="Times New Roman"/>
          <w:sz w:val="24"/>
          <w:szCs w:val="24"/>
        </w:rPr>
        <w:t xml:space="preserve"> = 0.07 </w:t>
      </w:r>
      <w:r w:rsidR="001242BE" w:rsidRPr="00771E20">
        <w:rPr>
          <w:rFonts w:ascii="Symbol" w:hAnsi="Symbol" w:cs="Times New Roman"/>
          <w:sz w:val="24"/>
          <w:szCs w:val="24"/>
        </w:rPr>
        <w:t></w:t>
      </w:r>
      <w:r w:rsidR="00F42678" w:rsidRPr="00771E20">
        <w:rPr>
          <w:rFonts w:ascii="Times New Roman" w:hAnsi="Times New Roman" w:cs="Times New Roman"/>
          <w:sz w:val="24"/>
          <w:szCs w:val="24"/>
          <w:vertAlign w:val="subscript"/>
        </w:rPr>
        <w:t>c</w:t>
      </w:r>
      <w:r w:rsidR="00EA7984" w:rsidRPr="00771E20">
        <w:rPr>
          <w:rFonts w:ascii="Times New Roman" w:hAnsi="Times New Roman" w:cs="Times New Roman"/>
          <w:sz w:val="24"/>
          <w:szCs w:val="24"/>
        </w:rPr>
        <w:t xml:space="preserve"> = 290</w:t>
      </w:r>
      <w:r w:rsidR="00F42678" w:rsidRPr="00771E20">
        <w:rPr>
          <w:rFonts w:ascii="Times New Roman" w:hAnsi="Times New Roman" w:cs="Times New Roman"/>
          <w:sz w:val="24"/>
          <w:szCs w:val="24"/>
        </w:rPr>
        <w:t xml:space="preserve"> </w:t>
      </w:r>
      <w:proofErr w:type="spellStart"/>
      <w:r w:rsidR="00F42678" w:rsidRPr="00771E20">
        <w:rPr>
          <w:rFonts w:ascii="Times New Roman" w:hAnsi="Times New Roman" w:cs="Times New Roman"/>
          <w:sz w:val="24"/>
          <w:szCs w:val="24"/>
        </w:rPr>
        <w:t>ps</w:t>
      </w:r>
      <w:proofErr w:type="spellEnd"/>
      <w:r w:rsidR="00F42678" w:rsidRPr="00771E20">
        <w:rPr>
          <w:rFonts w:ascii="Times New Roman" w:hAnsi="Times New Roman" w:cs="Times New Roman"/>
          <w:sz w:val="24"/>
          <w:szCs w:val="24"/>
        </w:rPr>
        <w:t>).</w:t>
      </w:r>
      <w:r w:rsidR="005858F1" w:rsidRPr="00771E20">
        <w:rPr>
          <w:rFonts w:ascii="Times New Roman" w:hAnsi="Times New Roman" w:cs="Times New Roman"/>
          <w:sz w:val="24"/>
          <w:szCs w:val="24"/>
        </w:rPr>
        <w:t xml:space="preserve"> </w:t>
      </w:r>
      <w:r w:rsidR="008455B2">
        <w:rPr>
          <w:rFonts w:ascii="Times New Roman" w:hAnsi="Times New Roman" w:cs="Times New Roman"/>
          <w:sz w:val="24"/>
          <w:szCs w:val="24"/>
        </w:rPr>
        <w:t xml:space="preserve">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BF0C5B">
        <w:rPr>
          <w:rFonts w:ascii="Times New Roman" w:hAnsi="Times New Roman" w:cs="Times New Roman"/>
          <w:sz w:val="24"/>
          <w:szCs w:val="24"/>
        </w:rPr>
        <w:t xml:space="preserve"> in solution</w:t>
      </w:r>
      <w:r w:rsidR="008455B2">
        <w:rPr>
          <w:rFonts w:ascii="Times New Roman" w:hAnsi="Times New Roman" w:cs="Times New Roman"/>
          <w:sz w:val="24"/>
          <w:szCs w:val="24"/>
        </w:rPr>
        <w:t>.</w:t>
      </w:r>
      <w:r w:rsidR="00267590">
        <w:rPr>
          <w:rFonts w:ascii="Times New Roman" w:hAnsi="Times New Roman" w:cs="Times New Roman"/>
          <w:sz w:val="24"/>
          <w:szCs w:val="24"/>
        </w:rPr>
        <w:t>{Nguyen, 1999 #96}{</w:t>
      </w:r>
      <w:proofErr w:type="spellStart"/>
      <w:r w:rsidR="00357040">
        <w:rPr>
          <w:rFonts w:ascii="Times New Roman" w:hAnsi="Times New Roman" w:cs="Times New Roman"/>
          <w:sz w:val="24"/>
          <w:szCs w:val="24"/>
        </w:rPr>
        <w:t>Bjorklund</w:t>
      </w:r>
      <w:proofErr w:type="spellEnd"/>
      <w:r w:rsidR="00357040">
        <w:rPr>
          <w:rFonts w:ascii="Times New Roman" w:hAnsi="Times New Roman" w:cs="Times New Roman"/>
          <w:sz w:val="24"/>
          <w:szCs w:val="24"/>
        </w:rPr>
        <w:t>, 2001 #97}</w:t>
      </w:r>
      <w:r w:rsidR="00F42678">
        <w:rPr>
          <w:rFonts w:ascii="Times New Roman" w:hAnsi="Times New Roman" w:cs="Times New Roman"/>
          <w:sz w:val="24"/>
          <w:szCs w:val="24"/>
        </w:rPr>
        <w:t xml:space="preserve"> </w:t>
      </w:r>
      <w:r w:rsidR="008455B2">
        <w:rPr>
          <w:rFonts w:ascii="Times New Roman" w:hAnsi="Times New Roman" w:cs="Times New Roman"/>
          <w:sz w:val="24"/>
          <w:szCs w:val="24"/>
        </w:rPr>
        <w:t xml:space="preserve">The </w:t>
      </w:r>
      <w:r w:rsidR="00267590">
        <w:rPr>
          <w:rFonts w:ascii="Times New Roman" w:hAnsi="Times New Roman" w:cs="Times New Roman"/>
          <w:sz w:val="24"/>
          <w:szCs w:val="24"/>
        </w:rPr>
        <w:t>representative intensity decays</w:t>
      </w:r>
      <w:r w:rsidR="008455B2">
        <w:rPr>
          <w:rFonts w:ascii="Times New Roman" w:hAnsi="Times New Roman" w:cs="Times New Roman"/>
          <w:sz w:val="24"/>
          <w:szCs w:val="24"/>
        </w:rPr>
        <w:t xml:space="preserve"> and constructed anisotropy decay </w:t>
      </w:r>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r w:rsidR="00C14EE6" w:rsidRPr="00C14EE6">
        <w:rPr>
          <w:rFonts w:ascii="Times New Roman" w:hAnsi="Times New Roman" w:cs="Times New Roman"/>
          <w:i/>
          <w:sz w:val="24"/>
          <w:szCs w:val="24"/>
        </w:rPr>
        <w:t>t</w:t>
      </w:r>
      <w:r w:rsidR="00C14EE6">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w:t>
      </w:r>
      <w:r w:rsidR="00BF0C5B">
        <w:rPr>
          <w:rFonts w:ascii="Times New Roman" w:hAnsi="Times New Roman" w:cs="Times New Roman"/>
          <w:sz w:val="24"/>
          <w:szCs w:val="24"/>
        </w:rPr>
        <w:t xml:space="preserve"> (40% THF)</w:t>
      </w:r>
      <w:r w:rsidR="005858F1">
        <w:rPr>
          <w:rFonts w:ascii="Times New Roman" w:hAnsi="Times New Roman" w:cs="Times New Roman"/>
          <w:sz w:val="24"/>
          <w:szCs w:val="24"/>
        </w:rPr>
        <w:t xml:space="preserve"> are</w:t>
      </w:r>
      <w:r w:rsidR="001242BE" w:rsidRPr="00B30BC6">
        <w:rPr>
          <w:rFonts w:ascii="Times New Roman" w:hAnsi="Times New Roman" w:cs="Times New Roman"/>
          <w:sz w:val="24"/>
          <w:szCs w:val="24"/>
        </w:rPr>
        <w:t xml:space="preserve"> given in Fig. </w:t>
      </w:r>
      <w:r w:rsidR="00CD20DD">
        <w:rPr>
          <w:rFonts w:ascii="Times New Roman" w:hAnsi="Times New Roman" w:cs="Times New Roman"/>
          <w:sz w:val="24"/>
          <w:szCs w:val="24"/>
        </w:rPr>
        <w:t>8</w:t>
      </w:r>
      <w:r w:rsidR="001242BE" w:rsidRPr="00B30BC6">
        <w:rPr>
          <w:rFonts w:ascii="Times New Roman" w:hAnsi="Times New Roman" w:cs="Times New Roman"/>
          <w:sz w:val="24"/>
          <w:szCs w:val="24"/>
        </w:rPr>
        <w:t xml:space="preserve">.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Pr>
          <w:rFonts w:ascii="Times New Roman" w:hAnsi="Times New Roman" w:cs="Times New Roman"/>
          <w:sz w:val="24"/>
          <w:szCs w:val="24"/>
        </w:rPr>
        <w:t xml:space="preserve"> correlation times</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 xml:space="preserve">are 21 </w:t>
      </w:r>
      <w:proofErr w:type="spellStart"/>
      <w:r w:rsidR="00EA7984">
        <w:rPr>
          <w:rFonts w:ascii="Times New Roman" w:hAnsi="Times New Roman" w:cs="Times New Roman"/>
          <w:sz w:val="24"/>
          <w:szCs w:val="24"/>
        </w:rPr>
        <w:t>ps</w:t>
      </w:r>
      <w:proofErr w:type="spellEnd"/>
      <w:r w:rsidR="00EA7984">
        <w:rPr>
          <w:rFonts w:ascii="Times New Roman" w:hAnsi="Times New Roman" w:cs="Times New Roman"/>
          <w:sz w:val="24"/>
          <w:szCs w:val="24"/>
        </w:rPr>
        <w:t>, 450</w:t>
      </w:r>
      <w:r w:rsidR="001242BE" w:rsidRPr="00B30BC6">
        <w:rPr>
          <w:rFonts w:ascii="Times New Roman" w:hAnsi="Times New Roman" w:cs="Times New Roman"/>
          <w:sz w:val="24"/>
          <w:szCs w:val="24"/>
        </w:rPr>
        <w:t xml:space="preserve">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910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and 920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respectively.</w:t>
      </w:r>
      <w:r w:rsidR="00DF61F7">
        <w:rPr>
          <w:rFonts w:ascii="Times New Roman" w:hAnsi="Times New Roman" w:cs="Times New Roman"/>
          <w:sz w:val="24"/>
          <w:szCs w:val="24"/>
        </w:rPr>
        <w:t xml:space="preserve"> </w:t>
      </w:r>
      <w:r w:rsidR="00DF61F7" w:rsidRPr="00F73194">
        <w:rPr>
          <w:rFonts w:ascii="Times New Roman" w:hAnsi="Times New Roman" w:cs="Times New Roman"/>
          <w:sz w:val="24"/>
          <w:szCs w:val="24"/>
          <w:highlight w:val="yellow"/>
        </w:rPr>
        <w:t xml:space="preserve">Direct </w:t>
      </w:r>
      <w:proofErr w:type="spellStart"/>
      <w:r w:rsidR="00DF61F7" w:rsidRPr="00F73194">
        <w:rPr>
          <w:rFonts w:ascii="Times New Roman" w:hAnsi="Times New Roman" w:cs="Times New Roman"/>
          <w:sz w:val="24"/>
          <w:szCs w:val="24"/>
          <w:highlight w:val="yellow"/>
        </w:rPr>
        <w:t>reconvolution</w:t>
      </w:r>
      <w:proofErr w:type="spellEnd"/>
      <w:r w:rsidR="00DF61F7" w:rsidRPr="00F73194">
        <w:rPr>
          <w:rFonts w:ascii="Times New Roman" w:hAnsi="Times New Roman" w:cs="Times New Roman"/>
          <w:sz w:val="24"/>
          <w:szCs w:val="24"/>
          <w:highlight w:val="yellow"/>
        </w:rPr>
        <w:t xml:space="preserve"> fitting</w:t>
      </w:r>
      <w:r w:rsidR="00DF61F7">
        <w:rPr>
          <w:rFonts w:ascii="Times New Roman" w:hAnsi="Times New Roman" w:cs="Times New Roman"/>
          <w:sz w:val="24"/>
          <w:szCs w:val="24"/>
        </w:rPr>
        <w:t xml:space="preserve"> </w:t>
      </w:r>
      <w:r w:rsidR="00F73194" w:rsidRPr="00F73194">
        <w:rPr>
          <w:rFonts w:ascii="Times New Roman" w:hAnsi="Times New Roman" w:cs="Times New Roman"/>
          <w:sz w:val="24"/>
          <w:szCs w:val="24"/>
          <w:highlight w:val="yellow"/>
        </w:rPr>
        <w:t>[I don’t like calling it “</w:t>
      </w:r>
      <w:proofErr w:type="spellStart"/>
      <w:r w:rsidR="00F73194" w:rsidRPr="00F73194">
        <w:rPr>
          <w:rFonts w:ascii="Times New Roman" w:hAnsi="Times New Roman" w:cs="Times New Roman"/>
          <w:sz w:val="24"/>
          <w:szCs w:val="24"/>
          <w:highlight w:val="yellow"/>
        </w:rPr>
        <w:t>reconvolution</w:t>
      </w:r>
      <w:proofErr w:type="spellEnd"/>
      <w:r w:rsidR="00F73194" w:rsidRPr="00F73194">
        <w:rPr>
          <w:rFonts w:ascii="Times New Roman" w:hAnsi="Times New Roman" w:cs="Times New Roman"/>
          <w:sz w:val="24"/>
          <w:szCs w:val="24"/>
          <w:highlight w:val="yellow"/>
        </w:rPr>
        <w:t xml:space="preserve"> fitting”. Also, you should make it clear how the Fig 8b is obtained, by subtraction and ratios.]</w:t>
      </w:r>
      <w:r w:rsidR="00F73194">
        <w:rPr>
          <w:rFonts w:ascii="Times New Roman" w:hAnsi="Times New Roman" w:cs="Times New Roman"/>
          <w:sz w:val="24"/>
          <w:szCs w:val="24"/>
        </w:rPr>
        <w:t xml:space="preserve"> </w:t>
      </w:r>
      <w:proofErr w:type="gramStart"/>
      <w:r w:rsidR="00DF61F7">
        <w:rPr>
          <w:rFonts w:ascii="Times New Roman" w:hAnsi="Times New Roman" w:cs="Times New Roman"/>
          <w:sz w:val="24"/>
          <w:szCs w:val="24"/>
        </w:rPr>
        <w:t>of</w:t>
      </w:r>
      <w:proofErr w:type="gramEnd"/>
      <w:r w:rsidR="00DF61F7">
        <w:rPr>
          <w:rFonts w:ascii="Times New Roman" w:hAnsi="Times New Roman" w:cs="Times New Roman"/>
          <w:sz w:val="24"/>
          <w:szCs w:val="24"/>
        </w:rPr>
        <w:t xml:space="preserve">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w:t>
      </w:r>
      <w:r w:rsidR="003B042D">
        <w:rPr>
          <w:rFonts w:ascii="Times New Roman" w:hAnsi="Times New Roman" w:cs="Times New Roman"/>
          <w:sz w:val="24"/>
          <w:szCs w:val="24"/>
        </w:rPr>
        <w:t>8</w:t>
      </w:r>
      <w:r w:rsidR="00DF61F7">
        <w:rPr>
          <w:rFonts w:ascii="Times New Roman" w:hAnsi="Times New Roman" w:cs="Times New Roman"/>
          <w:sz w:val="24"/>
          <w:szCs w:val="24"/>
        </w:rPr>
        <w:t>b to a</w:t>
      </w:r>
      <w:r w:rsidR="00267590">
        <w:rPr>
          <w:rFonts w:ascii="Times New Roman" w:hAnsi="Times New Roman" w:cs="Times New Roman"/>
          <w:sz w:val="24"/>
          <w:szCs w:val="24"/>
        </w:rPr>
        <w:t xml:space="preserve"> single exponential </w:t>
      </w:r>
      <w:r w:rsidR="00826BDE">
        <w:rPr>
          <w:rFonts w:ascii="Times New Roman" w:hAnsi="Times New Roman" w:cs="Times New Roman"/>
          <w:sz w:val="24"/>
          <w:szCs w:val="24"/>
        </w:rPr>
        <w:t>yields</w:t>
      </w:r>
      <w:r w:rsidR="00045F22">
        <w:rPr>
          <w:rFonts w:ascii="Times New Roman" w:hAnsi="Times New Roman" w:cs="Times New Roman"/>
          <w:sz w:val="24"/>
          <w:szCs w:val="24"/>
        </w:rPr>
        <w:t xml:space="preserve"> an </w:t>
      </w:r>
      <w:r w:rsidR="00267590">
        <w:rPr>
          <w:rFonts w:ascii="Times New Roman" w:hAnsi="Times New Roman" w:cs="Times New Roman"/>
          <w:i/>
          <w:sz w:val="24"/>
          <w:szCs w:val="24"/>
        </w:rPr>
        <w:t>r</w:t>
      </w:r>
      <w:r w:rsidR="00267590">
        <w:rPr>
          <w:rFonts w:ascii="Times New Roman" w:hAnsi="Times New Roman" w:cs="Times New Roman"/>
          <w:sz w:val="24"/>
          <w:szCs w:val="24"/>
          <w:vertAlign w:val="subscript"/>
        </w:rPr>
        <w:t>0</w:t>
      </w:r>
      <w:r w:rsidR="00045F22">
        <w:rPr>
          <w:rFonts w:ascii="Times New Roman" w:hAnsi="Times New Roman" w:cs="Times New Roman"/>
          <w:sz w:val="24"/>
          <w:szCs w:val="24"/>
        </w:rPr>
        <w:t xml:space="preserve"> of</w:t>
      </w:r>
      <w:r w:rsidR="00267590">
        <w:rPr>
          <w:rFonts w:ascii="Times New Roman" w:hAnsi="Times New Roman" w:cs="Times New Roman"/>
          <w:sz w:val="24"/>
          <w:szCs w:val="24"/>
        </w:rPr>
        <w:t xml:space="preserve"> 0.14 and </w:t>
      </w:r>
      <w:r w:rsidR="00DF61F7" w:rsidRPr="00FF1966">
        <w:rPr>
          <w:rFonts w:ascii="Symbol" w:hAnsi="Symbol" w:cs="Times New Roman"/>
          <w:i/>
          <w:sz w:val="24"/>
          <w:szCs w:val="24"/>
        </w:rPr>
        <w:t></w:t>
      </w:r>
      <w:r w:rsidR="00DF61F7" w:rsidRPr="00FF1966">
        <w:rPr>
          <w:rFonts w:ascii="Times New Roman" w:hAnsi="Times New Roman" w:cs="Times New Roman"/>
          <w:i/>
          <w:sz w:val="24"/>
          <w:szCs w:val="24"/>
          <w:vertAlign w:val="subscript"/>
        </w:rPr>
        <w:t>c</w:t>
      </w:r>
      <w:r w:rsidR="00267590">
        <w:rPr>
          <w:rFonts w:ascii="Times New Roman" w:hAnsi="Times New Roman" w:cs="Times New Roman"/>
          <w:sz w:val="24"/>
          <w:szCs w:val="24"/>
        </w:rPr>
        <w:t xml:space="preserve"> of </w:t>
      </w:r>
      <w:r w:rsidR="008706F7">
        <w:rPr>
          <w:rFonts w:ascii="Times New Roman" w:hAnsi="Times New Roman" w:cs="Times New Roman"/>
          <w:sz w:val="24"/>
          <w:szCs w:val="24"/>
        </w:rPr>
        <w:t>6</w:t>
      </w:r>
      <w:r w:rsidR="00267590">
        <w:rPr>
          <w:rFonts w:ascii="Times New Roman" w:hAnsi="Times New Roman" w:cs="Times New Roman"/>
          <w:sz w:val="24"/>
          <w:szCs w:val="24"/>
        </w:rPr>
        <w:t xml:space="preserve">0 </w:t>
      </w:r>
      <w:proofErr w:type="spellStart"/>
      <w:r w:rsidR="00267590">
        <w:rPr>
          <w:rFonts w:ascii="Times New Roman" w:hAnsi="Times New Roman" w:cs="Times New Roman"/>
          <w:sz w:val="24"/>
          <w:szCs w:val="24"/>
        </w:rPr>
        <w:t>ps</w:t>
      </w:r>
      <w:proofErr w:type="spellEnd"/>
      <w:r w:rsidR="001A31D3">
        <w:rPr>
          <w:rFonts w:ascii="Times New Roman" w:hAnsi="Times New Roman" w:cs="Times New Roman"/>
          <w:sz w:val="24"/>
          <w:szCs w:val="24"/>
        </w:rPr>
        <w:t xml:space="preserve">, which </w:t>
      </w:r>
      <w:r w:rsidR="00045F22">
        <w:rPr>
          <w:rFonts w:ascii="Times New Roman" w:hAnsi="Times New Roman" w:cs="Times New Roman"/>
          <w:sz w:val="24"/>
          <w:szCs w:val="24"/>
        </w:rPr>
        <w:t>are</w:t>
      </w:r>
      <w:r w:rsidR="001A31D3">
        <w:rPr>
          <w:rFonts w:ascii="Times New Roman" w:hAnsi="Times New Roman" w:cs="Times New Roman"/>
          <w:sz w:val="24"/>
          <w:szCs w:val="24"/>
        </w:rPr>
        <w:t xml:space="preserve"> reasonably close to the fitting analysis results</w:t>
      </w:r>
      <w:r w:rsidR="00381176">
        <w:rPr>
          <w:rFonts w:ascii="Times New Roman" w:hAnsi="Times New Roman" w:cs="Times New Roman"/>
          <w:sz w:val="24"/>
          <w:szCs w:val="24"/>
        </w:rPr>
        <w:t xml:space="preserve"> above</w:t>
      </w:r>
      <w:r w:rsidR="001A31D3">
        <w:rPr>
          <w:rFonts w:ascii="Times New Roman" w:hAnsi="Times New Roman" w:cs="Times New Roman"/>
          <w:sz w:val="24"/>
          <w:szCs w:val="24"/>
        </w:rPr>
        <w:t>.</w:t>
      </w:r>
      <w:r w:rsidR="008706F7">
        <w:rPr>
          <w:rFonts w:ascii="Times New Roman" w:hAnsi="Times New Roman" w:cs="Times New Roman"/>
          <w:sz w:val="24"/>
          <w:szCs w:val="24"/>
        </w:rPr>
        <w:t xml:space="preserve"> </w:t>
      </w:r>
      <w:r w:rsidR="001A31D3">
        <w:rPr>
          <w:rFonts w:ascii="Times New Roman" w:hAnsi="Times New Roman" w:cs="Times New Roman"/>
          <w:sz w:val="24"/>
          <w:szCs w:val="24"/>
        </w:rPr>
        <w:t xml:space="preserve">The </w:t>
      </w:r>
      <w:r w:rsidR="00FF1966">
        <w:rPr>
          <w:rFonts w:ascii="Times New Roman" w:hAnsi="Times New Roman" w:cs="Times New Roman"/>
          <w:sz w:val="24"/>
          <w:szCs w:val="24"/>
        </w:rPr>
        <w:t xml:space="preserve">differences in </w:t>
      </w:r>
      <w:r w:rsidR="009C580D" w:rsidRPr="009C580D">
        <w:rPr>
          <w:rFonts w:ascii="Times New Roman" w:hAnsi="Times New Roman" w:cs="Times New Roman"/>
          <w:i/>
          <w:sz w:val="24"/>
          <w:szCs w:val="24"/>
        </w:rPr>
        <w:t>r</w:t>
      </w:r>
      <w:r w:rsidR="009C580D" w:rsidRPr="009C580D">
        <w:rPr>
          <w:rFonts w:ascii="Times New Roman" w:hAnsi="Times New Roman" w:cs="Times New Roman"/>
          <w:sz w:val="24"/>
          <w:szCs w:val="24"/>
          <w:vertAlign w:val="subscript"/>
        </w:rPr>
        <w:t>0</w:t>
      </w:r>
      <w:r w:rsidR="009C580D">
        <w:rPr>
          <w:rFonts w:ascii="Times New Roman" w:hAnsi="Times New Roman" w:cs="Times New Roman"/>
          <w:sz w:val="24"/>
          <w:szCs w:val="24"/>
        </w:rPr>
        <w:t xml:space="preserve"> </w:t>
      </w:r>
      <w:r w:rsidR="00FF1966">
        <w:rPr>
          <w:rFonts w:ascii="Times New Roman" w:hAnsi="Times New Roman" w:cs="Times New Roman"/>
          <w:sz w:val="24"/>
          <w:szCs w:val="24"/>
        </w:rPr>
        <w:t xml:space="preserve">and </w:t>
      </w:r>
      <w:r w:rsidR="00FF1966" w:rsidRPr="00FF1966">
        <w:rPr>
          <w:rFonts w:ascii="Symbol" w:hAnsi="Symbol" w:cs="Times New Roman"/>
          <w:i/>
          <w:sz w:val="24"/>
          <w:szCs w:val="24"/>
        </w:rPr>
        <w:t></w:t>
      </w:r>
      <w:r w:rsidR="00FF1966" w:rsidRPr="00FF1966">
        <w:rPr>
          <w:rFonts w:ascii="Times New Roman" w:hAnsi="Times New Roman" w:cs="Times New Roman"/>
          <w:i/>
          <w:sz w:val="24"/>
          <w:szCs w:val="24"/>
          <w:vertAlign w:val="subscript"/>
        </w:rPr>
        <w:t>c</w:t>
      </w:r>
      <w:r w:rsidR="00FF1966">
        <w:rPr>
          <w:rFonts w:ascii="Times New Roman" w:hAnsi="Times New Roman" w:cs="Times New Roman"/>
          <w:sz w:val="24"/>
          <w:szCs w:val="24"/>
        </w:rPr>
        <w:t xml:space="preserve"> </w:t>
      </w:r>
      <w:r w:rsidR="00826BDE">
        <w:rPr>
          <w:rFonts w:ascii="Times New Roman" w:hAnsi="Times New Roman" w:cs="Times New Roman"/>
          <w:sz w:val="24"/>
          <w:szCs w:val="24"/>
        </w:rPr>
        <w:t>resulting</w:t>
      </w:r>
      <w:r w:rsidR="00C14EE6">
        <w:rPr>
          <w:rFonts w:ascii="Times New Roman" w:hAnsi="Times New Roman" w:cs="Times New Roman"/>
          <w:sz w:val="24"/>
          <w:szCs w:val="24"/>
        </w:rPr>
        <w:t xml:space="preserve"> from </w:t>
      </w:r>
      <w:r w:rsidR="00C14EE6" w:rsidRPr="00F73194">
        <w:rPr>
          <w:rFonts w:ascii="Times New Roman" w:hAnsi="Times New Roman" w:cs="Times New Roman"/>
          <w:sz w:val="24"/>
          <w:szCs w:val="24"/>
          <w:highlight w:val="yellow"/>
        </w:rPr>
        <w:t>direct deconvolution</w:t>
      </w:r>
      <w:r w:rsidR="00C14EE6">
        <w:rPr>
          <w:rFonts w:ascii="Times New Roman" w:hAnsi="Times New Roman" w:cs="Times New Roman"/>
          <w:sz w:val="24"/>
          <w:szCs w:val="24"/>
        </w:rPr>
        <w:t xml:space="preserve"> </w:t>
      </w:r>
      <w:r w:rsidR="00F73194" w:rsidRPr="00F73194">
        <w:rPr>
          <w:rFonts w:ascii="Times New Roman" w:hAnsi="Times New Roman" w:cs="Times New Roman"/>
          <w:sz w:val="24"/>
          <w:szCs w:val="24"/>
          <w:highlight w:val="yellow"/>
        </w:rPr>
        <w:t xml:space="preserve">[no, it is definitely not direct </w:t>
      </w:r>
      <w:proofErr w:type="spellStart"/>
      <w:r w:rsidR="00F73194" w:rsidRPr="00F73194">
        <w:rPr>
          <w:rFonts w:ascii="Times New Roman" w:hAnsi="Times New Roman" w:cs="Times New Roman"/>
          <w:sz w:val="24"/>
          <w:szCs w:val="24"/>
          <w:highlight w:val="yellow"/>
        </w:rPr>
        <w:t>deconvolution</w:t>
      </w:r>
      <w:proofErr w:type="spellEnd"/>
      <w:r w:rsidR="00F73194" w:rsidRPr="00F73194">
        <w:rPr>
          <w:rFonts w:ascii="Times New Roman" w:hAnsi="Times New Roman" w:cs="Times New Roman"/>
          <w:sz w:val="24"/>
          <w:szCs w:val="24"/>
          <w:highlight w:val="yellow"/>
        </w:rPr>
        <w:t>, which is numerically unstable</w:t>
      </w:r>
      <w:r w:rsidR="00F73194">
        <w:rPr>
          <w:rFonts w:ascii="Times New Roman" w:hAnsi="Times New Roman" w:cs="Times New Roman"/>
          <w:sz w:val="24"/>
          <w:szCs w:val="24"/>
          <w:highlight w:val="yellow"/>
        </w:rPr>
        <w:t xml:space="preserve">/unreliable due to </w:t>
      </w:r>
      <w:r w:rsidR="00F73194">
        <w:rPr>
          <w:rFonts w:ascii="Times New Roman" w:hAnsi="Times New Roman" w:cs="Times New Roman"/>
          <w:sz w:val="24"/>
          <w:szCs w:val="24"/>
          <w:highlight w:val="yellow"/>
        </w:rPr>
        <w:lastRenderedPageBreak/>
        <w:t xml:space="preserve">dividing the </w:t>
      </w:r>
      <w:proofErr w:type="spellStart"/>
      <w:r w:rsidR="00F73194">
        <w:rPr>
          <w:rFonts w:ascii="Times New Roman" w:hAnsi="Times New Roman" w:cs="Times New Roman"/>
          <w:sz w:val="24"/>
          <w:szCs w:val="24"/>
          <w:highlight w:val="yellow"/>
        </w:rPr>
        <w:t>fourier</w:t>
      </w:r>
      <w:proofErr w:type="spellEnd"/>
      <w:r w:rsidR="00F73194">
        <w:rPr>
          <w:rFonts w:ascii="Times New Roman" w:hAnsi="Times New Roman" w:cs="Times New Roman"/>
          <w:sz w:val="24"/>
          <w:szCs w:val="24"/>
          <w:highlight w:val="yellow"/>
        </w:rPr>
        <w:t xml:space="preserve"> transforms, which leads to terms blowing up if the noise </w:t>
      </w:r>
      <w:r w:rsidR="006B6E11">
        <w:rPr>
          <w:rFonts w:ascii="Times New Roman" w:hAnsi="Times New Roman" w:cs="Times New Roman"/>
          <w:sz w:val="24"/>
          <w:szCs w:val="24"/>
          <w:highlight w:val="yellow"/>
        </w:rPr>
        <w:t>causes the amplitude of a particular frequency to be relatively close to zero, as typically seems to happen at least with the data sets I’ve tangled with.</w:t>
      </w:r>
      <w:r w:rsidR="00F73194" w:rsidRPr="00F73194">
        <w:rPr>
          <w:rFonts w:ascii="Times New Roman" w:hAnsi="Times New Roman" w:cs="Times New Roman"/>
          <w:sz w:val="24"/>
          <w:szCs w:val="24"/>
          <w:highlight w:val="yellow"/>
        </w:rPr>
        <w:t>]</w:t>
      </w:r>
      <w:r w:rsidR="00F73194">
        <w:rPr>
          <w:rFonts w:ascii="Times New Roman" w:hAnsi="Times New Roman" w:cs="Times New Roman"/>
          <w:sz w:val="24"/>
          <w:szCs w:val="24"/>
        </w:rPr>
        <w:t xml:space="preserve"> </w:t>
      </w:r>
      <w:r w:rsidR="00C14EE6">
        <w:rPr>
          <w:rFonts w:ascii="Times New Roman" w:hAnsi="Times New Roman" w:cs="Times New Roman"/>
          <w:sz w:val="24"/>
          <w:szCs w:val="24"/>
        </w:rPr>
        <w:t xml:space="preserve">of </w:t>
      </w:r>
      <w:proofErr w:type="gramStart"/>
      <w:r w:rsidR="00C14EE6" w:rsidRPr="00C14EE6">
        <w:rPr>
          <w:rFonts w:ascii="Times New Roman" w:hAnsi="Times New Roman" w:cs="Times New Roman"/>
          <w:i/>
          <w:sz w:val="24"/>
          <w:szCs w:val="24"/>
        </w:rPr>
        <w:t>R</w:t>
      </w:r>
      <w:r w:rsidR="00C14EE6">
        <w:rPr>
          <w:rFonts w:ascii="Times New Roman" w:hAnsi="Times New Roman" w:cs="Times New Roman"/>
          <w:sz w:val="24"/>
          <w:szCs w:val="24"/>
        </w:rPr>
        <w:t>(</w:t>
      </w:r>
      <w:proofErr w:type="gramEnd"/>
      <w:r w:rsidR="00C14EE6" w:rsidRPr="00C14EE6">
        <w:rPr>
          <w:rFonts w:ascii="Times New Roman" w:hAnsi="Times New Roman" w:cs="Times New Roman"/>
          <w:i/>
          <w:sz w:val="24"/>
          <w:szCs w:val="24"/>
        </w:rPr>
        <w:t>t</w:t>
      </w:r>
      <w:r w:rsidR="00C14EE6">
        <w:rPr>
          <w:rFonts w:ascii="Times New Roman" w:hAnsi="Times New Roman" w:cs="Times New Roman"/>
          <w:sz w:val="24"/>
          <w:szCs w:val="24"/>
        </w:rPr>
        <w:t>)</w:t>
      </w:r>
      <w:r w:rsidR="00FF1966">
        <w:rPr>
          <w:rFonts w:ascii="Times New Roman" w:hAnsi="Times New Roman" w:cs="Times New Roman"/>
          <w:sz w:val="24"/>
          <w:szCs w:val="24"/>
        </w:rPr>
        <w:t xml:space="preserve"> arise</w:t>
      </w:r>
      <w:r w:rsidR="00A941E9">
        <w:rPr>
          <w:rFonts w:ascii="Times New Roman" w:hAnsi="Times New Roman" w:cs="Times New Roman"/>
          <w:sz w:val="24"/>
          <w:szCs w:val="24"/>
        </w:rPr>
        <w:t xml:space="preserve"> from the </w:t>
      </w:r>
      <w:r w:rsidR="00826BDE">
        <w:rPr>
          <w:rFonts w:ascii="Times New Roman" w:hAnsi="Times New Roman" w:cs="Times New Roman"/>
          <w:sz w:val="24"/>
          <w:szCs w:val="24"/>
        </w:rPr>
        <w:t xml:space="preserve">fact that the anisotropy decay in the absence of convolution distortion is not </w:t>
      </w:r>
      <w:r w:rsidR="00CD20DD">
        <w:rPr>
          <w:rFonts w:ascii="Times New Roman" w:hAnsi="Times New Roman" w:cs="Times New Roman"/>
          <w:sz w:val="24"/>
          <w:szCs w:val="24"/>
        </w:rPr>
        <w:t>determined</w:t>
      </w:r>
      <w:r w:rsidR="00826BDE">
        <w:rPr>
          <w:rFonts w:ascii="Times New Roman" w:hAnsi="Times New Roman" w:cs="Times New Roman"/>
          <w:sz w:val="24"/>
          <w:szCs w:val="24"/>
        </w:rPr>
        <w:t xml:space="preserve"> </w:t>
      </w:r>
      <w:r w:rsidR="00CD20DD">
        <w:rPr>
          <w:rFonts w:ascii="Times New Roman" w:hAnsi="Times New Roman" w:cs="Times New Roman"/>
          <w:sz w:val="24"/>
          <w:szCs w:val="24"/>
        </w:rPr>
        <w:t xml:space="preserve">accurately by </w:t>
      </w:r>
      <w:r w:rsidR="00CD20DD" w:rsidRPr="006B6E11">
        <w:rPr>
          <w:rFonts w:ascii="Times New Roman" w:hAnsi="Times New Roman" w:cs="Times New Roman"/>
          <w:sz w:val="24"/>
          <w:szCs w:val="24"/>
          <w:highlight w:val="yellow"/>
        </w:rPr>
        <w:t>direct</w:t>
      </w:r>
      <w:r w:rsidR="00826BDE" w:rsidRPr="006B6E11">
        <w:rPr>
          <w:rFonts w:ascii="Times New Roman" w:hAnsi="Times New Roman" w:cs="Times New Roman"/>
          <w:sz w:val="24"/>
          <w:szCs w:val="24"/>
          <w:highlight w:val="yellow"/>
        </w:rPr>
        <w:t xml:space="preserve"> deconvolution</w:t>
      </w:r>
      <w:r w:rsidR="00826BDE">
        <w:rPr>
          <w:rFonts w:ascii="Times New Roman" w:hAnsi="Times New Roman" w:cs="Times New Roman"/>
          <w:sz w:val="24"/>
          <w:szCs w:val="24"/>
        </w:rPr>
        <w:t xml:space="preserve"> of </w:t>
      </w:r>
      <w:r w:rsidR="00826BDE" w:rsidRPr="00826BDE">
        <w:rPr>
          <w:rFonts w:ascii="Times New Roman" w:hAnsi="Times New Roman" w:cs="Times New Roman"/>
          <w:i/>
          <w:sz w:val="24"/>
          <w:szCs w:val="24"/>
        </w:rPr>
        <w:t>R</w:t>
      </w:r>
      <w:r w:rsidR="00826BDE">
        <w:rPr>
          <w:rFonts w:ascii="Times New Roman" w:hAnsi="Times New Roman" w:cs="Times New Roman"/>
          <w:sz w:val="24"/>
          <w:szCs w:val="24"/>
        </w:rPr>
        <w:t>(</w:t>
      </w:r>
      <w:r w:rsidR="00826BDE" w:rsidRPr="00826BDE">
        <w:rPr>
          <w:rFonts w:ascii="Times New Roman" w:hAnsi="Times New Roman" w:cs="Times New Roman"/>
          <w:i/>
          <w:sz w:val="24"/>
          <w:szCs w:val="24"/>
        </w:rPr>
        <w:t>t</w:t>
      </w:r>
      <w:r w:rsidR="00826BDE">
        <w:rPr>
          <w:rFonts w:ascii="Times New Roman" w:hAnsi="Times New Roman" w:cs="Times New Roman"/>
          <w:sz w:val="24"/>
          <w:szCs w:val="24"/>
        </w:rPr>
        <w:t xml:space="preserve">), unless </w:t>
      </w:r>
      <w:r w:rsidR="00A5444C" w:rsidRPr="00FF1966">
        <w:rPr>
          <w:rFonts w:ascii="Symbol" w:hAnsi="Symbol" w:cs="Times New Roman"/>
          <w:i/>
          <w:sz w:val="24"/>
          <w:szCs w:val="24"/>
        </w:rPr>
        <w:t></w:t>
      </w:r>
      <w:r w:rsidR="00826BDE" w:rsidRPr="00FF1966">
        <w:rPr>
          <w:rFonts w:ascii="Times New Roman" w:hAnsi="Times New Roman" w:cs="Times New Roman"/>
          <w:i/>
          <w:sz w:val="24"/>
          <w:szCs w:val="24"/>
          <w:vertAlign w:val="subscript"/>
        </w:rPr>
        <w:t>c</w:t>
      </w:r>
      <w:r w:rsidR="00826BDE">
        <w:rPr>
          <w:rFonts w:ascii="Times New Roman" w:hAnsi="Times New Roman" w:cs="Times New Roman"/>
          <w:sz w:val="24"/>
          <w:szCs w:val="24"/>
        </w:rPr>
        <w:t xml:space="preserve"> is </w:t>
      </w:r>
      <w:r w:rsidR="00A5444C">
        <w:rPr>
          <w:rFonts w:ascii="Times New Roman" w:hAnsi="Times New Roman" w:cs="Times New Roman"/>
          <w:sz w:val="24"/>
          <w:szCs w:val="24"/>
        </w:rPr>
        <w:t>much grea</w:t>
      </w:r>
      <w:r w:rsidR="00861650">
        <w:rPr>
          <w:rFonts w:ascii="Times New Roman" w:hAnsi="Times New Roman" w:cs="Times New Roman"/>
          <w:sz w:val="24"/>
          <w:szCs w:val="24"/>
        </w:rPr>
        <w:t>ter than the duration of the IRF</w:t>
      </w:r>
      <w:r w:rsidR="00CD20DD">
        <w:rPr>
          <w:rFonts w:ascii="Times New Roman" w:hAnsi="Times New Roman" w:cs="Times New Roman"/>
          <w:sz w:val="24"/>
          <w:szCs w:val="24"/>
        </w:rPr>
        <w:t>.</w:t>
      </w:r>
      <w:r w:rsidR="008706F7">
        <w:rPr>
          <w:rFonts w:ascii="Times New Roman" w:hAnsi="Times New Roman" w:cs="Times New Roman"/>
          <w:sz w:val="24"/>
          <w:szCs w:val="24"/>
        </w:rPr>
        <w:t>{Cross, 1984 #87}</w:t>
      </w:r>
      <w:r w:rsidR="001242BE" w:rsidRPr="00B30BC6">
        <w:rPr>
          <w:rFonts w:ascii="Times New Roman" w:hAnsi="Times New Roman" w:cs="Times New Roman"/>
          <w:sz w:val="24"/>
          <w:szCs w:val="24"/>
        </w:rPr>
        <w:t xml:space="preserve"> </w:t>
      </w:r>
      <w:r w:rsidR="004874E8" w:rsidRPr="004874E8">
        <w:rPr>
          <w:rFonts w:ascii="Times New Roman" w:hAnsi="Times New Roman" w:cs="Times New Roman"/>
          <w:sz w:val="24"/>
          <w:szCs w:val="24"/>
          <w:highlight w:val="yellow"/>
        </w:rPr>
        <w:t xml:space="preserve">[Note: Using the weighting procedure we discussed before in order to generate the anisotropy decay in 8b, </w:t>
      </w:r>
      <w:r w:rsidR="004874E8">
        <w:rPr>
          <w:rFonts w:ascii="Times New Roman" w:hAnsi="Times New Roman" w:cs="Times New Roman"/>
          <w:sz w:val="24"/>
          <w:szCs w:val="24"/>
          <w:highlight w:val="yellow"/>
        </w:rPr>
        <w:t>we</w:t>
      </w:r>
      <w:r w:rsidR="004874E8" w:rsidRPr="004874E8">
        <w:rPr>
          <w:rFonts w:ascii="Times New Roman" w:hAnsi="Times New Roman" w:cs="Times New Roman"/>
          <w:sz w:val="24"/>
          <w:szCs w:val="24"/>
          <w:highlight w:val="yellow"/>
        </w:rPr>
        <w:t xml:space="preserve"> can construct anisotropy decays</w:t>
      </w:r>
      <w:r w:rsidR="004874E8">
        <w:rPr>
          <w:rFonts w:ascii="Times New Roman" w:hAnsi="Times New Roman" w:cs="Times New Roman"/>
          <w:sz w:val="24"/>
          <w:szCs w:val="24"/>
          <w:highlight w:val="yellow"/>
        </w:rPr>
        <w:t xml:space="preserve"> (that decay to zero)</w:t>
      </w:r>
      <w:r w:rsidR="004874E8" w:rsidRPr="004874E8">
        <w:rPr>
          <w:rFonts w:ascii="Times New Roman" w:hAnsi="Times New Roman" w:cs="Times New Roman"/>
          <w:sz w:val="24"/>
          <w:szCs w:val="24"/>
          <w:highlight w:val="yellow"/>
        </w:rPr>
        <w:t xml:space="preserve"> for all the samples where fitting converged for all 3 polarizer angles; however, the </w:t>
      </w:r>
      <w:r w:rsidR="004874E8">
        <w:rPr>
          <w:rFonts w:ascii="Times New Roman" w:hAnsi="Times New Roman" w:cs="Times New Roman"/>
          <w:sz w:val="24"/>
          <w:szCs w:val="24"/>
          <w:highlight w:val="yellow"/>
        </w:rPr>
        <w:t xml:space="preserve">resulting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sidRPr="004874E8">
        <w:rPr>
          <w:rFonts w:ascii="Times New Roman" w:hAnsi="Times New Roman" w:cs="Times New Roman"/>
          <w:sz w:val="24"/>
          <w:szCs w:val="24"/>
          <w:highlight w:val="yellow"/>
        </w:rPr>
        <w:t xml:space="preserve"> and </w:t>
      </w:r>
      <w:proofErr w:type="spellStart"/>
      <w:r w:rsidR="004874E8" w:rsidRPr="004874E8">
        <w:rPr>
          <w:rFonts w:ascii="Times New Roman" w:hAnsi="Times New Roman" w:cs="Times New Roman"/>
          <w:sz w:val="24"/>
          <w:szCs w:val="24"/>
          <w:highlight w:val="yellow"/>
        </w:rPr>
        <w:t>tau_c</w:t>
      </w:r>
      <w:proofErr w:type="spellEnd"/>
      <w:r w:rsidR="004874E8" w:rsidRPr="004874E8">
        <w:rPr>
          <w:rFonts w:ascii="Times New Roman" w:hAnsi="Times New Roman" w:cs="Times New Roman"/>
          <w:sz w:val="24"/>
          <w:szCs w:val="24"/>
          <w:highlight w:val="yellow"/>
        </w:rPr>
        <w:t xml:space="preserve"> for the constructed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rPr>
        <w:t>(</w:t>
      </w:r>
      <w:r w:rsidR="004874E8" w:rsidRPr="004874E8">
        <w:rPr>
          <w:rFonts w:ascii="Times New Roman" w:hAnsi="Times New Roman" w:cs="Times New Roman"/>
          <w:i/>
          <w:sz w:val="24"/>
          <w:szCs w:val="24"/>
          <w:highlight w:val="yellow"/>
        </w:rPr>
        <w:t>t</w:t>
      </w:r>
      <w:r w:rsidR="004874E8" w:rsidRPr="004874E8">
        <w:rPr>
          <w:rFonts w:ascii="Times New Roman" w:hAnsi="Times New Roman" w:cs="Times New Roman"/>
          <w:sz w:val="24"/>
          <w:szCs w:val="24"/>
          <w:highlight w:val="yellow"/>
        </w:rPr>
        <w:t>) is still inaccurate by a similar amount, even for the high %THF samples</w:t>
      </w:r>
      <w:r w:rsidR="004874E8">
        <w:rPr>
          <w:rFonts w:ascii="Times New Roman" w:hAnsi="Times New Roman" w:cs="Times New Roman"/>
          <w:sz w:val="24"/>
          <w:szCs w:val="24"/>
          <w:highlight w:val="yellow"/>
        </w:rPr>
        <w:t xml:space="preserve"> (e.g. 95% THF PFBT: </w:t>
      </w:r>
      <w:r w:rsidR="004874E8" w:rsidRPr="004874E8">
        <w:rPr>
          <w:rFonts w:ascii="Times New Roman" w:hAnsi="Times New Roman" w:cs="Times New Roman"/>
          <w:i/>
          <w:sz w:val="24"/>
          <w:szCs w:val="24"/>
          <w:highlight w:val="yellow"/>
        </w:rPr>
        <w:t>r</w:t>
      </w:r>
      <w:r w:rsidR="004874E8" w:rsidRPr="004874E8">
        <w:rPr>
          <w:rFonts w:ascii="Times New Roman" w:hAnsi="Times New Roman" w:cs="Times New Roman"/>
          <w:sz w:val="24"/>
          <w:szCs w:val="24"/>
          <w:highlight w:val="yellow"/>
          <w:vertAlign w:val="subscript"/>
        </w:rPr>
        <w:t>0</w:t>
      </w:r>
      <w:r w:rsidR="004874E8">
        <w:rPr>
          <w:rFonts w:ascii="Times New Roman" w:hAnsi="Times New Roman" w:cs="Times New Roman"/>
          <w:sz w:val="24"/>
          <w:szCs w:val="24"/>
          <w:highlight w:val="yellow"/>
        </w:rPr>
        <w:t xml:space="preserve"> ~0.0</w:t>
      </w:r>
      <w:r w:rsidR="009A5011">
        <w:rPr>
          <w:rFonts w:ascii="Times New Roman" w:hAnsi="Times New Roman" w:cs="Times New Roman"/>
          <w:sz w:val="24"/>
          <w:szCs w:val="24"/>
          <w:highlight w:val="yellow"/>
        </w:rPr>
        <w:t>6</w:t>
      </w:r>
      <w:r w:rsidR="004874E8">
        <w:rPr>
          <w:rFonts w:ascii="Times New Roman" w:hAnsi="Times New Roman" w:cs="Times New Roman"/>
          <w:sz w:val="24"/>
          <w:szCs w:val="24"/>
          <w:highlight w:val="yellow"/>
        </w:rPr>
        <w:t xml:space="preserve">, </w:t>
      </w:r>
      <w:proofErr w:type="spellStart"/>
      <w:r w:rsidR="004874E8">
        <w:rPr>
          <w:rFonts w:ascii="Times New Roman" w:hAnsi="Times New Roman" w:cs="Times New Roman"/>
          <w:sz w:val="24"/>
          <w:szCs w:val="24"/>
          <w:highlight w:val="yellow"/>
        </w:rPr>
        <w:t>tau_c</w:t>
      </w:r>
      <w:proofErr w:type="spellEnd"/>
      <w:r w:rsidR="004874E8">
        <w:rPr>
          <w:rFonts w:ascii="Times New Roman" w:hAnsi="Times New Roman" w:cs="Times New Roman"/>
          <w:sz w:val="24"/>
          <w:szCs w:val="24"/>
          <w:highlight w:val="yellow"/>
        </w:rPr>
        <w:t xml:space="preserve"> ~550 </w:t>
      </w:r>
      <w:proofErr w:type="spellStart"/>
      <w:r w:rsidR="004874E8">
        <w:rPr>
          <w:rFonts w:ascii="Times New Roman" w:hAnsi="Times New Roman" w:cs="Times New Roman"/>
          <w:sz w:val="24"/>
          <w:szCs w:val="24"/>
          <w:highlight w:val="yellow"/>
        </w:rPr>
        <w:t>ps</w:t>
      </w:r>
      <w:proofErr w:type="spellEnd"/>
      <w:r w:rsidR="009A5011">
        <w:rPr>
          <w:rFonts w:ascii="Times New Roman" w:hAnsi="Times New Roman" w:cs="Times New Roman"/>
          <w:sz w:val="24"/>
          <w:szCs w:val="24"/>
          <w:highlight w:val="yellow"/>
        </w:rPr>
        <w:t xml:space="preserve"> compared to the Fleming analysis results of </w:t>
      </w:r>
      <w:r w:rsidR="009A5011" w:rsidRPr="009A5011">
        <w:rPr>
          <w:rFonts w:ascii="Times New Roman" w:hAnsi="Times New Roman" w:cs="Times New Roman"/>
          <w:i/>
          <w:sz w:val="24"/>
          <w:szCs w:val="24"/>
          <w:highlight w:val="yellow"/>
        </w:rPr>
        <w:t>r</w:t>
      </w:r>
      <w:r w:rsidR="009A5011" w:rsidRPr="009A5011">
        <w:rPr>
          <w:rFonts w:ascii="Times New Roman" w:hAnsi="Times New Roman" w:cs="Times New Roman"/>
          <w:sz w:val="24"/>
          <w:szCs w:val="24"/>
          <w:highlight w:val="yellow"/>
          <w:vertAlign w:val="subscript"/>
        </w:rPr>
        <w:t>0</w:t>
      </w:r>
      <w:r w:rsidR="009A5011">
        <w:rPr>
          <w:rFonts w:ascii="Times New Roman" w:hAnsi="Times New Roman" w:cs="Times New Roman"/>
          <w:sz w:val="24"/>
          <w:szCs w:val="24"/>
          <w:highlight w:val="yellow"/>
        </w:rPr>
        <w:t xml:space="preserve"> 0.07 and </w:t>
      </w:r>
      <w:proofErr w:type="spellStart"/>
      <w:r w:rsidR="009A5011">
        <w:rPr>
          <w:rFonts w:ascii="Times New Roman" w:hAnsi="Times New Roman" w:cs="Times New Roman"/>
          <w:sz w:val="24"/>
          <w:szCs w:val="24"/>
          <w:highlight w:val="yellow"/>
        </w:rPr>
        <w:t>tau_c</w:t>
      </w:r>
      <w:proofErr w:type="spellEnd"/>
      <w:r w:rsidR="009A5011">
        <w:rPr>
          <w:rFonts w:ascii="Times New Roman" w:hAnsi="Times New Roman" w:cs="Times New Roman"/>
          <w:sz w:val="24"/>
          <w:szCs w:val="24"/>
          <w:highlight w:val="yellow"/>
        </w:rPr>
        <w:t xml:space="preserve"> =  920 </w:t>
      </w:r>
      <w:proofErr w:type="spellStart"/>
      <w:r w:rsidR="009A5011">
        <w:rPr>
          <w:rFonts w:ascii="Times New Roman" w:hAnsi="Times New Roman" w:cs="Times New Roman"/>
          <w:sz w:val="24"/>
          <w:szCs w:val="24"/>
          <w:highlight w:val="yellow"/>
        </w:rPr>
        <w:t>ps</w:t>
      </w:r>
      <w:proofErr w:type="spellEnd"/>
      <w:r w:rsidR="004874E8" w:rsidRPr="004874E8">
        <w:rPr>
          <w:rFonts w:ascii="Times New Roman" w:hAnsi="Times New Roman" w:cs="Times New Roman"/>
          <w:sz w:val="24"/>
          <w:szCs w:val="24"/>
          <w:highlight w:val="yellow"/>
        </w:rPr>
        <w:t>]</w:t>
      </w:r>
      <w:r w:rsidR="004874E8">
        <w:rPr>
          <w:rFonts w:ascii="Times New Roman" w:hAnsi="Times New Roman" w:cs="Times New Roman"/>
          <w:sz w:val="24"/>
          <w:szCs w:val="24"/>
        </w:rPr>
        <w:t xml:space="preserve"> </w:t>
      </w:r>
      <w:r w:rsidR="006B6E11" w:rsidRPr="006B6E11">
        <w:rPr>
          <w:rFonts w:ascii="Times New Roman" w:hAnsi="Times New Roman" w:cs="Times New Roman"/>
          <w:sz w:val="24"/>
          <w:szCs w:val="24"/>
          <w:highlight w:val="cyan"/>
        </w:rPr>
        <w:t>[My response: I don’t trust those long time constants. They must be coming from some systematic error</w:t>
      </w:r>
      <w:r w:rsidR="006B6E11">
        <w:rPr>
          <w:rFonts w:ascii="Times New Roman" w:hAnsi="Times New Roman" w:cs="Times New Roman"/>
          <w:sz w:val="24"/>
          <w:szCs w:val="24"/>
          <w:highlight w:val="cyan"/>
        </w:rPr>
        <w:t xml:space="preserve"> </w:t>
      </w:r>
      <w:r w:rsidR="009F4DE5">
        <w:rPr>
          <w:rFonts w:ascii="Times New Roman" w:hAnsi="Times New Roman" w:cs="Times New Roman"/>
          <w:sz w:val="24"/>
          <w:szCs w:val="24"/>
          <w:highlight w:val="cyan"/>
        </w:rPr>
        <w:t>that</w:t>
      </w:r>
      <w:r w:rsidR="006B6E11">
        <w:rPr>
          <w:rFonts w:ascii="Times New Roman" w:hAnsi="Times New Roman" w:cs="Times New Roman"/>
          <w:sz w:val="24"/>
          <w:szCs w:val="24"/>
          <w:highlight w:val="cyan"/>
        </w:rPr>
        <w:t xml:space="preserve"> is hard to pinpoint due to the complexity of the </w:t>
      </w:r>
      <w:r w:rsidR="009F4DE5">
        <w:rPr>
          <w:rFonts w:ascii="Times New Roman" w:hAnsi="Times New Roman" w:cs="Times New Roman"/>
          <w:sz w:val="24"/>
          <w:szCs w:val="24"/>
          <w:highlight w:val="cyan"/>
        </w:rPr>
        <w:t xml:space="preserve">Fleming </w:t>
      </w:r>
      <w:r w:rsidR="006B6E11">
        <w:rPr>
          <w:rFonts w:ascii="Times New Roman" w:hAnsi="Times New Roman" w:cs="Times New Roman"/>
          <w:sz w:val="24"/>
          <w:szCs w:val="24"/>
          <w:highlight w:val="cyan"/>
        </w:rPr>
        <w:t>analysis. It probably comes from the fact that the decays are mostly KWW-like. P</w:t>
      </w:r>
      <w:r w:rsidR="006B6E11" w:rsidRPr="006B6E11">
        <w:rPr>
          <w:rFonts w:ascii="Times New Roman" w:hAnsi="Times New Roman" w:cs="Times New Roman"/>
          <w:sz w:val="24"/>
          <w:szCs w:val="24"/>
          <w:highlight w:val="cyan"/>
        </w:rPr>
        <w:t>lotting the curves on top of each other</w:t>
      </w:r>
      <w:r w:rsidR="009F4DE5">
        <w:rPr>
          <w:rFonts w:ascii="Times New Roman" w:hAnsi="Times New Roman" w:cs="Times New Roman"/>
          <w:sz w:val="24"/>
          <w:szCs w:val="24"/>
          <w:highlight w:val="cyan"/>
        </w:rPr>
        <w:t>, lining up the tails,</w:t>
      </w:r>
      <w:r w:rsidR="006B6E11" w:rsidRPr="006B6E11">
        <w:rPr>
          <w:rFonts w:ascii="Times New Roman" w:hAnsi="Times New Roman" w:cs="Times New Roman"/>
          <w:sz w:val="24"/>
          <w:szCs w:val="24"/>
          <w:highlight w:val="cyan"/>
        </w:rPr>
        <w:t xml:space="preserve"> and seeing no residual anisotropy beyond say 500 </w:t>
      </w:r>
      <w:proofErr w:type="spellStart"/>
      <w:r w:rsidR="006B6E11" w:rsidRPr="006B6E11">
        <w:rPr>
          <w:rFonts w:ascii="Times New Roman" w:hAnsi="Times New Roman" w:cs="Times New Roman"/>
          <w:sz w:val="24"/>
          <w:szCs w:val="24"/>
          <w:highlight w:val="cyan"/>
        </w:rPr>
        <w:t>ps</w:t>
      </w:r>
      <w:proofErr w:type="spellEnd"/>
      <w:r w:rsidR="006B6E11" w:rsidRPr="006B6E11">
        <w:rPr>
          <w:rFonts w:ascii="Times New Roman" w:hAnsi="Times New Roman" w:cs="Times New Roman"/>
          <w:sz w:val="24"/>
          <w:szCs w:val="24"/>
          <w:highlight w:val="cyan"/>
        </w:rPr>
        <w:t xml:space="preserve"> in my mind seems to trump the Fleming procedure results. I think we need to go with the non-Fleming approach</w:t>
      </w:r>
      <w:r w:rsidR="009F4DE5">
        <w:rPr>
          <w:rFonts w:ascii="Times New Roman" w:hAnsi="Times New Roman" w:cs="Times New Roman"/>
          <w:sz w:val="24"/>
          <w:szCs w:val="24"/>
          <w:highlight w:val="cyan"/>
        </w:rPr>
        <w:t>, unfortunately, matching up the tails by multiplying by a constant</w:t>
      </w:r>
      <w:r w:rsidR="00E144A9">
        <w:rPr>
          <w:rFonts w:ascii="Times New Roman" w:hAnsi="Times New Roman" w:cs="Times New Roman"/>
          <w:sz w:val="24"/>
          <w:szCs w:val="24"/>
          <w:highlight w:val="cyan"/>
        </w:rPr>
        <w:t xml:space="preserve">, then doing the subtraction, </w:t>
      </w:r>
      <w:proofErr w:type="spellStart"/>
      <w:r w:rsidR="00E144A9">
        <w:rPr>
          <w:rFonts w:ascii="Times New Roman" w:hAnsi="Times New Roman" w:cs="Times New Roman"/>
          <w:sz w:val="24"/>
          <w:szCs w:val="24"/>
          <w:highlight w:val="cyan"/>
        </w:rPr>
        <w:t>etc</w:t>
      </w:r>
      <w:proofErr w:type="spellEnd"/>
      <w:r w:rsidR="00E144A9">
        <w:rPr>
          <w:rFonts w:ascii="Times New Roman" w:hAnsi="Times New Roman" w:cs="Times New Roman"/>
          <w:sz w:val="24"/>
          <w:szCs w:val="24"/>
          <w:highlight w:val="cyan"/>
        </w:rPr>
        <w:t xml:space="preserve">, and fitting the resulting </w:t>
      </w:r>
      <w:proofErr w:type="gramStart"/>
      <w:r w:rsidR="00E144A9">
        <w:rPr>
          <w:rFonts w:ascii="Times New Roman" w:hAnsi="Times New Roman" w:cs="Times New Roman"/>
          <w:sz w:val="24"/>
          <w:szCs w:val="24"/>
          <w:highlight w:val="cyan"/>
        </w:rPr>
        <w:t>r(</w:t>
      </w:r>
      <w:proofErr w:type="gramEnd"/>
      <w:r w:rsidR="00E144A9">
        <w:rPr>
          <w:rFonts w:ascii="Times New Roman" w:hAnsi="Times New Roman" w:cs="Times New Roman"/>
          <w:sz w:val="24"/>
          <w:szCs w:val="24"/>
          <w:highlight w:val="cyan"/>
        </w:rPr>
        <w:t>t) curve.</w:t>
      </w:r>
      <w:r w:rsidR="006B6E11" w:rsidRPr="006B6E11">
        <w:rPr>
          <w:rFonts w:ascii="Times New Roman" w:hAnsi="Times New Roman" w:cs="Times New Roman"/>
          <w:sz w:val="24"/>
          <w:szCs w:val="24"/>
          <w:highlight w:val="cyan"/>
        </w:rPr>
        <w:t>]</w:t>
      </w:r>
      <w:r w:rsidR="006B6E11">
        <w:rPr>
          <w:rFonts w:ascii="Times New Roman" w:hAnsi="Times New Roman" w:cs="Times New Roman"/>
          <w:sz w:val="24"/>
          <w:szCs w:val="24"/>
        </w:rPr>
        <w:t xml:space="preserve"> </w:t>
      </w:r>
      <w:r w:rsidR="001242BE" w:rsidRPr="00B30BC6">
        <w:rPr>
          <w:rFonts w:ascii="Times New Roman" w:hAnsi="Times New Roman" w:cs="Times New Roman"/>
          <w:sz w:val="24"/>
          <w:szCs w:val="24"/>
        </w:rPr>
        <w:t xml:space="preserve">The increasing correlation times indicate that </w:t>
      </w:r>
      <w:r w:rsidR="00BF0C5B">
        <w:rPr>
          <w:rFonts w:ascii="Times New Roman" w:hAnsi="Times New Roman" w:cs="Times New Roman"/>
          <w:sz w:val="24"/>
          <w:szCs w:val="24"/>
        </w:rPr>
        <w:t xml:space="preserve">the </w:t>
      </w:r>
      <w:r w:rsidR="001242BE" w:rsidRPr="00B30BC6">
        <w:rPr>
          <w:rFonts w:ascii="Times New Roman" w:hAnsi="Times New Roman" w:cs="Times New Roman"/>
          <w:sz w:val="24"/>
          <w:szCs w:val="24"/>
        </w:rPr>
        <w:t xml:space="preserve">anisotropy decays </w:t>
      </w:r>
      <w:r w:rsidR="00BF0C5B">
        <w:rPr>
          <w:rFonts w:ascii="Times New Roman" w:hAnsi="Times New Roman" w:cs="Times New Roman"/>
          <w:sz w:val="24"/>
          <w:szCs w:val="24"/>
        </w:rPr>
        <w:t>at a reduced rate</w:t>
      </w:r>
      <w:r w:rsidR="001242BE" w:rsidRPr="00B30BC6">
        <w:rPr>
          <w:rFonts w:ascii="Times New Roman" w:hAnsi="Times New Roman" w:cs="Times New Roman"/>
          <w:sz w:val="24"/>
          <w:szCs w:val="24"/>
        </w:rPr>
        <w:t xml:space="preserve"> </w:t>
      </w:r>
      <w:r w:rsidR="00BF0C5B">
        <w:rPr>
          <w:rFonts w:ascii="Times New Roman" w:hAnsi="Times New Roman" w:cs="Times New Roman"/>
          <w:sz w:val="24"/>
          <w:szCs w:val="24"/>
        </w:rPr>
        <w:t xml:space="preserve">with increasing % THF. The reduced rate of anisotropy decay </w:t>
      </w:r>
      <w:r w:rsidR="00D91FCF">
        <w:rPr>
          <w:rFonts w:ascii="Times New Roman" w:hAnsi="Times New Roman" w:cs="Times New Roman"/>
          <w:sz w:val="24"/>
          <w:szCs w:val="24"/>
        </w:rPr>
        <w:t xml:space="preserve">with increased swelling </w:t>
      </w:r>
      <w:r w:rsidR="001242BE" w:rsidRPr="00B30BC6">
        <w:rPr>
          <w:rFonts w:ascii="Times New Roman" w:hAnsi="Times New Roman" w:cs="Times New Roman"/>
          <w:sz w:val="24"/>
          <w:szCs w:val="24"/>
        </w:rPr>
        <w:t>is expecte</w:t>
      </w:r>
      <w:r w:rsidR="00703B20">
        <w:rPr>
          <w:rFonts w:ascii="Times New Roman" w:hAnsi="Times New Roman" w:cs="Times New Roman"/>
          <w:sz w:val="24"/>
          <w:szCs w:val="24"/>
        </w:rPr>
        <w:t xml:space="preserve">d due to a </w:t>
      </w:r>
      <w:r w:rsidR="00490CD9">
        <w:rPr>
          <w:rFonts w:ascii="Times New Roman" w:hAnsi="Times New Roman" w:cs="Times New Roman"/>
          <w:sz w:val="24"/>
          <w:szCs w:val="24"/>
        </w:rPr>
        <w:t>reduc</w:t>
      </w:r>
      <w:r w:rsidR="00BF0C5B">
        <w:rPr>
          <w:rFonts w:ascii="Times New Roman" w:hAnsi="Times New Roman" w:cs="Times New Roman"/>
          <w:sz w:val="24"/>
          <w:szCs w:val="24"/>
        </w:rPr>
        <w:t>ed</w:t>
      </w:r>
      <w:r w:rsidR="00490CD9">
        <w:rPr>
          <w:rFonts w:ascii="Times New Roman" w:hAnsi="Times New Roman" w:cs="Times New Roman"/>
          <w:sz w:val="24"/>
          <w:szCs w:val="24"/>
        </w:rPr>
        <w:t xml:space="preserve"> rate of multiple</w:t>
      </w:r>
      <w:r w:rsidR="00703B20">
        <w:rPr>
          <w:rFonts w:ascii="Times New Roman" w:hAnsi="Times New Roman" w:cs="Times New Roman"/>
          <w:sz w:val="24"/>
          <w:szCs w:val="24"/>
        </w:rPr>
        <w:t xml:space="preserve"> energy transfer </w:t>
      </w:r>
      <w:r w:rsidR="00D523FE">
        <w:rPr>
          <w:rFonts w:ascii="Times New Roman" w:hAnsi="Times New Roman" w:cs="Times New Roman"/>
          <w:sz w:val="24"/>
          <w:szCs w:val="24"/>
        </w:rPr>
        <w:t xml:space="preserve">resulting from increases in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D523FE">
        <w:rPr>
          <w:rFonts w:ascii="Times New Roman" w:hAnsi="Times New Roman" w:cs="Times New Roman"/>
          <w:sz w:val="24"/>
          <w:szCs w:val="24"/>
        </w:rPr>
        <w:t xml:space="preserve"> distance</w:t>
      </w:r>
      <w:r w:rsidR="001242BE" w:rsidRPr="00B30BC6">
        <w:rPr>
          <w:rFonts w:ascii="Times New Roman" w:hAnsi="Times New Roman" w:cs="Times New Roman"/>
          <w:sz w:val="24"/>
          <w:szCs w:val="24"/>
        </w:rPr>
        <w:t xml:space="preserve">. The low (~2x to ~50x lower than the theoretical maximum of 0.4) </w:t>
      </w:r>
      <w:r w:rsidR="001242BE" w:rsidRPr="00E144A9">
        <w:rPr>
          <w:rFonts w:ascii="Times New Roman" w:hAnsi="Times New Roman" w:cs="Times New Roman"/>
          <w:sz w:val="24"/>
          <w:szCs w:val="24"/>
          <w:highlight w:val="yellow"/>
        </w:rPr>
        <w:t xml:space="preserve">limiting anisotropy values </w:t>
      </w:r>
      <w:r w:rsidR="00E144A9" w:rsidRPr="00E144A9">
        <w:rPr>
          <w:rFonts w:ascii="Times New Roman" w:hAnsi="Times New Roman" w:cs="Times New Roman"/>
          <w:sz w:val="24"/>
          <w:szCs w:val="24"/>
          <w:highlight w:val="yellow"/>
        </w:rPr>
        <w:t xml:space="preserve">[do you mean </w:t>
      </w:r>
      <w:proofErr w:type="gramStart"/>
      <w:r w:rsidR="00E144A9" w:rsidRPr="00E144A9">
        <w:rPr>
          <w:rFonts w:ascii="Times New Roman" w:hAnsi="Times New Roman" w:cs="Times New Roman"/>
          <w:sz w:val="24"/>
          <w:szCs w:val="24"/>
          <w:highlight w:val="yellow"/>
        </w:rPr>
        <w:t>r(</w:t>
      </w:r>
      <w:proofErr w:type="gramEnd"/>
      <w:r w:rsidR="00E144A9" w:rsidRPr="00E144A9">
        <w:rPr>
          <w:rFonts w:ascii="Times New Roman" w:hAnsi="Times New Roman" w:cs="Times New Roman"/>
          <w:sz w:val="24"/>
          <w:szCs w:val="24"/>
          <w:highlight w:val="yellow"/>
        </w:rPr>
        <w:t>0)? Are you sure everyone will understand that?]</w:t>
      </w:r>
      <w:r w:rsidR="00E144A9">
        <w:rPr>
          <w:rFonts w:ascii="Times New Roman" w:hAnsi="Times New Roman" w:cs="Times New Roman"/>
          <w:sz w:val="24"/>
          <w:szCs w:val="24"/>
        </w:rPr>
        <w:t xml:space="preserve"> </w:t>
      </w:r>
      <w:proofErr w:type="gramStart"/>
      <w:r w:rsidR="001242BE" w:rsidRPr="00B30BC6">
        <w:rPr>
          <w:rFonts w:ascii="Times New Roman" w:hAnsi="Times New Roman" w:cs="Times New Roman"/>
          <w:sz w:val="24"/>
          <w:szCs w:val="24"/>
        </w:rPr>
        <w:t>obtained</w:t>
      </w:r>
      <w:proofErr w:type="gramEnd"/>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 xml:space="preserve">transition dipoles are </w:t>
      </w:r>
      <w:r w:rsidR="00645F67" w:rsidRPr="00E144A9">
        <w:rPr>
          <w:rFonts w:ascii="Times New Roman" w:hAnsi="Times New Roman" w:cs="Times New Roman"/>
          <w:sz w:val="24"/>
          <w:szCs w:val="24"/>
          <w:highlight w:val="yellow"/>
        </w:rPr>
        <w:t>not</w:t>
      </w:r>
      <w:r w:rsidR="00703B20" w:rsidRPr="00E144A9">
        <w:rPr>
          <w:rFonts w:ascii="Times New Roman" w:hAnsi="Times New Roman" w:cs="Times New Roman"/>
          <w:sz w:val="24"/>
          <w:szCs w:val="24"/>
          <w:highlight w:val="yellow"/>
        </w:rPr>
        <w:t xml:space="preserve"> initially well-</w:t>
      </w:r>
      <w:r w:rsidR="00645F67" w:rsidRPr="00E144A9">
        <w:rPr>
          <w:rFonts w:ascii="Times New Roman" w:hAnsi="Times New Roman" w:cs="Times New Roman"/>
          <w:sz w:val="24"/>
          <w:szCs w:val="24"/>
          <w:highlight w:val="yellow"/>
        </w:rPr>
        <w:t>aligned</w:t>
      </w:r>
      <w:r w:rsidR="00E144A9">
        <w:rPr>
          <w:rFonts w:ascii="Times New Roman" w:hAnsi="Times New Roman" w:cs="Times New Roman"/>
          <w:sz w:val="24"/>
          <w:szCs w:val="24"/>
        </w:rPr>
        <w:t xml:space="preserve"> </w:t>
      </w:r>
      <w:r w:rsidR="00E144A9" w:rsidRPr="00E144A9">
        <w:rPr>
          <w:rFonts w:ascii="Times New Roman" w:hAnsi="Times New Roman" w:cs="Times New Roman"/>
          <w:sz w:val="24"/>
          <w:szCs w:val="24"/>
          <w:highlight w:val="yellow"/>
        </w:rPr>
        <w:t xml:space="preserve">[is that the standard explanation for, </w:t>
      </w:r>
      <w:r w:rsidR="00E144A9" w:rsidRPr="00E144A9">
        <w:rPr>
          <w:rFonts w:ascii="Times New Roman" w:hAnsi="Times New Roman" w:cs="Times New Roman"/>
          <w:sz w:val="24"/>
          <w:szCs w:val="24"/>
          <w:highlight w:val="yellow"/>
        </w:rPr>
        <w:lastRenderedPageBreak/>
        <w:t>say, low r(0) for some dyes in solution?</w:t>
      </w:r>
      <w:r w:rsidR="00E144A9">
        <w:rPr>
          <w:rFonts w:ascii="Times New Roman" w:hAnsi="Times New Roman" w:cs="Times New Roman"/>
          <w:sz w:val="24"/>
          <w:szCs w:val="24"/>
          <w:highlight w:val="yellow"/>
        </w:rPr>
        <w:t xml:space="preserve"> It sounds “off” to </w:t>
      </w:r>
      <w:proofErr w:type="gramStart"/>
      <w:r w:rsidR="00E144A9">
        <w:rPr>
          <w:rFonts w:ascii="Times New Roman" w:hAnsi="Times New Roman" w:cs="Times New Roman"/>
          <w:sz w:val="24"/>
          <w:szCs w:val="24"/>
          <w:highlight w:val="yellow"/>
        </w:rPr>
        <w:t>me.</w:t>
      </w:r>
      <w:proofErr w:type="gramEnd"/>
      <w:r w:rsidR="00E144A9" w:rsidRPr="00E144A9">
        <w:rPr>
          <w:rFonts w:ascii="Times New Roman" w:hAnsi="Times New Roman" w:cs="Times New Roman"/>
          <w:sz w:val="24"/>
          <w:szCs w:val="24"/>
          <w:highlight w:val="yellow"/>
        </w:rPr>
        <w:t>]</w:t>
      </w:r>
      <w:r w:rsidR="00645F67">
        <w:rPr>
          <w:rFonts w:ascii="Times New Roman" w:hAnsi="Times New Roman" w:cs="Times New Roman"/>
          <w:sz w:val="24"/>
          <w:szCs w:val="24"/>
        </w:rPr>
        <w:t>,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w:t>
      </w:r>
      <w:r w:rsidR="00267590">
        <w:rPr>
          <w:rFonts w:ascii="Times New Roman" w:hAnsi="Times New Roman" w:cs="Times New Roman"/>
          <w:sz w:val="24"/>
          <w:szCs w:val="24"/>
        </w:rPr>
        <w:t>For</w:t>
      </w:r>
      <w:r w:rsidR="00F9538D">
        <w:rPr>
          <w:rFonts w:ascii="Times New Roman" w:hAnsi="Times New Roman" w:cs="Times New Roman"/>
          <w:sz w:val="24"/>
          <w:szCs w:val="24"/>
        </w:rPr>
        <w:t xml:space="preserve"> CPNs, t</w:t>
      </w:r>
      <w:r w:rsidR="00940BB3">
        <w:rPr>
          <w:rFonts w:ascii="Times New Roman" w:hAnsi="Times New Roman" w:cs="Times New Roman"/>
          <w:sz w:val="24"/>
          <w:szCs w:val="24"/>
        </w:rPr>
        <w:t>he correlation ti</w:t>
      </w:r>
      <w:r w:rsidR="008A3487">
        <w:rPr>
          <w:rFonts w:ascii="Times New Roman" w:hAnsi="Times New Roman" w:cs="Times New Roman"/>
          <w:sz w:val="24"/>
          <w:szCs w:val="24"/>
        </w:rPr>
        <w:t>me constants obtained with Eq. 3 are hypothesized to represent the depolarization time due to multiple energy transfer</w:t>
      </w:r>
      <w:r w:rsidR="00F9538D">
        <w:rPr>
          <w:rFonts w:ascii="Times New Roman" w:hAnsi="Times New Roman" w:cs="Times New Roman"/>
          <w:sz w:val="24"/>
          <w:szCs w:val="24"/>
        </w:rPr>
        <w:t xml:space="preserve"> exclusively</w:t>
      </w:r>
      <w:r w:rsidR="00D523FE">
        <w:rPr>
          <w:rFonts w:ascii="Times New Roman" w:hAnsi="Times New Roman" w:cs="Times New Roman"/>
          <w:sz w:val="24"/>
          <w:szCs w:val="24"/>
        </w:rPr>
        <w:t xml:space="preserve"> (i.e., particle rotation in solvent can be safely ignored)</w:t>
      </w:r>
      <w:r w:rsidR="00F9538D">
        <w:rPr>
          <w:rFonts w:ascii="Times New Roman" w:hAnsi="Times New Roman" w:cs="Times New Roman"/>
          <w:sz w:val="24"/>
          <w:szCs w:val="24"/>
        </w:rPr>
        <w:t>, providing a convenient means to probe the rate of exciton transport at each solvent composition</w:t>
      </w:r>
      <w:r w:rsidR="008A3487">
        <w:rPr>
          <w:rFonts w:ascii="Times New Roman" w:hAnsi="Times New Roman" w:cs="Times New Roman"/>
          <w:sz w:val="24"/>
          <w:szCs w:val="24"/>
        </w:rPr>
        <w:t xml:space="preserve">. </w:t>
      </w:r>
      <w:r w:rsidR="00D15156">
        <w:rPr>
          <w:rFonts w:ascii="Times New Roman" w:hAnsi="Times New Roman" w:cs="Times New Roman"/>
          <w:sz w:val="24"/>
          <w:szCs w:val="24"/>
        </w:rPr>
        <w:t>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 xml:space="preserve">is 21 </w:t>
      </w:r>
      <w:proofErr w:type="spellStart"/>
      <w:r w:rsidR="001242BE" w:rsidRPr="00B30BC6">
        <w:rPr>
          <w:rFonts w:ascii="Times New Roman" w:hAnsi="Times New Roman" w:cs="Times New Roman"/>
          <w:sz w:val="24"/>
          <w:szCs w:val="24"/>
        </w:rPr>
        <w:t>ps</w:t>
      </w:r>
      <w:proofErr w:type="spellEnd"/>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w:t>
      </w:r>
      <w:proofErr w:type="spellStart"/>
      <w:r w:rsidR="00D523FE">
        <w:rPr>
          <w:rFonts w:ascii="Times New Roman" w:hAnsi="Times New Roman" w:cs="Times New Roman"/>
          <w:i/>
          <w:sz w:val="24"/>
          <w:szCs w:val="24"/>
        </w:rPr>
        <w:t>k</w:t>
      </w:r>
      <w:r w:rsidR="00D523FE" w:rsidRPr="00D523FE">
        <w:rPr>
          <w:rFonts w:ascii="Times New Roman" w:hAnsi="Times New Roman" w:cs="Times New Roman"/>
          <w:i/>
          <w:sz w:val="24"/>
          <w:szCs w:val="24"/>
          <w:vertAlign w:val="subscript"/>
        </w:rPr>
        <w:t>et</w:t>
      </w:r>
      <w:proofErr w:type="spellEnd"/>
      <w:r w:rsidR="00D523FE">
        <w:rPr>
          <w:rFonts w:ascii="Times New Roman" w:hAnsi="Times New Roman" w:cs="Times New Roman"/>
          <w:i/>
          <w:sz w:val="24"/>
          <w:szCs w:val="24"/>
        </w:rPr>
        <w:t xml:space="preserve"> </w:t>
      </w:r>
      <w:r w:rsidR="00FE0C8A">
        <w:rPr>
          <w:rFonts w:ascii="Times New Roman" w:hAnsi="Times New Roman" w:cs="Times New Roman"/>
          <w:sz w:val="24"/>
          <w:szCs w:val="24"/>
        </w:rPr>
        <w:t>of 4.8</w:t>
      </w:r>
      <w:r w:rsidR="005B76EF">
        <w:rPr>
          <w:rFonts w:ascii="Times New Roman" w:hAnsi="Times New Roman" w:cs="Times New Roman"/>
          <w:position w:val="-4"/>
          <w:sz w:val="24"/>
          <w:szCs w:val="24"/>
        </w:rPr>
        <w:pict w14:anchorId="11EA6EBC">
          <v:shape id="_x0000_i1047" type="#_x0000_t75" style="width:9.95pt;height:9.95pt">
            <v:imagedata r:id="rId36"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w:t>
      </w:r>
      <w:proofErr w:type="spellStart"/>
      <w:r w:rsidR="001242BE" w:rsidRPr="00B30BC6">
        <w:rPr>
          <w:rFonts w:ascii="Times New Roman" w:hAnsi="Times New Roman" w:cs="Times New Roman"/>
          <w:sz w:val="24"/>
          <w:szCs w:val="24"/>
        </w:rPr>
        <w:t>ps</w:t>
      </w:r>
      <w:proofErr w:type="spellEnd"/>
      <w:r w:rsidR="001242BE" w:rsidRPr="00B30BC6">
        <w:rPr>
          <w:rFonts w:ascii="Times New Roman" w:hAnsi="Times New Roman" w:cs="Times New Roman"/>
          <w:sz w:val="24"/>
          <w:szCs w:val="24"/>
        </w:rPr>
        <w:t xml:space="preserve">,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5B76EF">
        <w:rPr>
          <w:rFonts w:ascii="Times New Roman" w:hAnsi="Times New Roman" w:cs="Times New Roman"/>
          <w:position w:val="-4"/>
          <w:sz w:val="24"/>
          <w:szCs w:val="24"/>
        </w:rPr>
        <w:pict w14:anchorId="36CA551B">
          <v:shape id="_x0000_i1048" type="#_x0000_t75" style="width:9.95pt;height:9.95pt">
            <v:imagedata r:id="rId37"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Pr>
          <w:rFonts w:ascii="Times New Roman" w:hAnsi="Times New Roman" w:cs="Times New Roman"/>
          <w:sz w:val="24"/>
          <w:szCs w:val="24"/>
        </w:rPr>
        <w:t>faster</w:t>
      </w:r>
      <w:r w:rsidR="001242BE" w:rsidRPr="00B30BC6">
        <w:rPr>
          <w:rFonts w:ascii="Times New Roman" w:hAnsi="Times New Roman" w:cs="Times New Roman"/>
          <w:sz w:val="24"/>
          <w:szCs w:val="24"/>
        </w:rPr>
        <w:t xml:space="preserve"> in </w:t>
      </w:r>
      <w:r w:rsidR="001242BE" w:rsidRPr="00E144A9">
        <w:rPr>
          <w:rFonts w:ascii="Times New Roman" w:hAnsi="Times New Roman" w:cs="Times New Roman"/>
          <w:sz w:val="24"/>
          <w:szCs w:val="24"/>
          <w:highlight w:val="yellow"/>
        </w:rPr>
        <w:t>the aggregated state</w:t>
      </w:r>
      <w:r w:rsidR="00E144A9" w:rsidRPr="00E144A9">
        <w:rPr>
          <w:rFonts w:ascii="Times New Roman" w:hAnsi="Times New Roman" w:cs="Times New Roman"/>
          <w:sz w:val="24"/>
          <w:szCs w:val="24"/>
          <w:highlight w:val="yellow"/>
        </w:rPr>
        <w:t xml:space="preserve"> [maybe you need to be more clear that by “aggregated state” in this case you mean partially swelled particle state.]</w:t>
      </w:r>
      <w:r>
        <w:rPr>
          <w:rFonts w:ascii="Times New Roman" w:hAnsi="Times New Roman" w:cs="Times New Roman"/>
          <w:sz w:val="24"/>
          <w:szCs w:val="24"/>
        </w:rPr>
        <w:t>.</w:t>
      </w:r>
    </w:p>
    <w:p w14:paraId="5468803F" w14:textId="2393BE80" w:rsidR="00010454" w:rsidRDefault="00A74F81"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Given that the model kinetics match experimental decay kinetics well at low THF concentrations,</w:t>
      </w:r>
      <w:r w:rsidR="00096C4E">
        <w:rPr>
          <w:rFonts w:ascii="Times New Roman" w:hAnsi="Times New Roman" w:cs="Times New Roman"/>
          <w:sz w:val="24"/>
          <w:szCs w:val="24"/>
        </w:rPr>
        <w:t xml:space="preserve"> </w:t>
      </w:r>
      <w:r w:rsidR="00096C4E" w:rsidRPr="0089447C">
        <w:rPr>
          <w:rFonts w:ascii="Times New Roman" w:hAnsi="Times New Roman" w:cs="Times New Roman"/>
          <w:sz w:val="24"/>
          <w:szCs w:val="24"/>
        </w:rPr>
        <w:t xml:space="preserve">the approximate </w:t>
      </w:r>
      <w:proofErr w:type="spellStart"/>
      <w:r w:rsidR="00414782" w:rsidRPr="00414782">
        <w:rPr>
          <w:rFonts w:ascii="Times New Roman" w:hAnsi="Times New Roman" w:cs="Times New Roman"/>
          <w:i/>
          <w:sz w:val="24"/>
          <w:szCs w:val="24"/>
        </w:rPr>
        <w:t>k</w:t>
      </w:r>
      <w:r w:rsidR="00414782" w:rsidRPr="00414782">
        <w:rPr>
          <w:rFonts w:ascii="Times New Roman" w:hAnsi="Times New Roman" w:cs="Times New Roman"/>
          <w:i/>
          <w:sz w:val="24"/>
          <w:szCs w:val="24"/>
          <w:vertAlign w:val="subscript"/>
        </w:rPr>
        <w:t>et</w:t>
      </w:r>
      <w:proofErr w:type="spellEnd"/>
      <w:r w:rsidR="00047F79" w:rsidRPr="0089447C">
        <w:rPr>
          <w:rFonts w:ascii="Times New Roman" w:hAnsi="Times New Roman" w:cs="Times New Roman"/>
          <w:sz w:val="24"/>
          <w:szCs w:val="24"/>
        </w:rPr>
        <w:t xml:space="preserve"> </w:t>
      </w:r>
      <w:r>
        <w:rPr>
          <w:rFonts w:ascii="Times New Roman" w:hAnsi="Times New Roman" w:cs="Times New Roman"/>
          <w:sz w:val="24"/>
          <w:szCs w:val="24"/>
        </w:rPr>
        <w:t xml:space="preserve">for CPNs in water </w:t>
      </w:r>
      <w:r w:rsidR="00047F79" w:rsidRPr="0089447C">
        <w:rPr>
          <w:rFonts w:ascii="Times New Roman" w:hAnsi="Times New Roman" w:cs="Times New Roman"/>
          <w:sz w:val="24"/>
          <w:szCs w:val="24"/>
        </w:rPr>
        <w:t>was calculated from the model</w:t>
      </w:r>
      <w:r w:rsidR="007F405F" w:rsidRPr="0089447C">
        <w:rPr>
          <w:rFonts w:ascii="Times New Roman" w:hAnsi="Times New Roman" w:cs="Times New Roman"/>
          <w:sz w:val="24"/>
          <w:szCs w:val="24"/>
        </w:rPr>
        <w:t xml:space="preserve"> energy transfer</w:t>
      </w:r>
      <w:r w:rsidR="00096C4E" w:rsidRPr="0089447C">
        <w:rPr>
          <w:rFonts w:ascii="Times New Roman" w:hAnsi="Times New Roman" w:cs="Times New Roman"/>
          <w:sz w:val="24"/>
          <w:szCs w:val="24"/>
        </w:rPr>
        <w:t xml:space="preserve"> probabilities</w:t>
      </w:r>
      <w:r w:rsidR="005540F9" w:rsidRPr="0089447C">
        <w:rPr>
          <w:rFonts w:ascii="Times New Roman" w:hAnsi="Times New Roman" w:cs="Times New Roman"/>
          <w:sz w:val="24"/>
          <w:szCs w:val="24"/>
        </w:rPr>
        <w:t xml:space="preserve"> </w:t>
      </w:r>
      <w:r w:rsidR="00D15156" w:rsidRPr="0089447C">
        <w:rPr>
          <w:rFonts w:ascii="Times New Roman" w:hAnsi="Times New Roman" w:cs="Times New Roman"/>
          <w:sz w:val="24"/>
          <w:szCs w:val="24"/>
        </w:rPr>
        <w:t>by</w:t>
      </w:r>
      <w:r w:rsidR="00096C4E" w:rsidRPr="0089447C">
        <w:rPr>
          <w:rFonts w:ascii="Times New Roman" w:hAnsi="Times New Roman" w:cs="Times New Roman"/>
          <w:sz w:val="24"/>
          <w:szCs w:val="24"/>
        </w:rPr>
        <w:t xml:space="preserve"> </w:t>
      </w:r>
      <w:r w:rsidR="005B76EF">
        <w:rPr>
          <w:rFonts w:ascii="Times New Roman" w:hAnsi="Times New Roman" w:cs="Times New Roman"/>
          <w:position w:val="-12"/>
          <w:sz w:val="24"/>
          <w:szCs w:val="24"/>
        </w:rPr>
        <w:pict w14:anchorId="7258DEFB">
          <v:shape id="_x0000_i1049" type="#_x0000_t75" style="width:103.55pt;height:18.3pt">
            <v:imagedata r:id="rId38" o:title=""/>
          </v:shape>
        </w:pict>
      </w:r>
      <w:r w:rsidR="0089447C" w:rsidRPr="00E144A9">
        <w:rPr>
          <w:rFonts w:ascii="Times New Roman" w:hAnsi="Times New Roman" w:cs="Times New Roman"/>
          <w:strike/>
          <w:sz w:val="24"/>
          <w:szCs w:val="24"/>
          <w:highlight w:val="yellow"/>
        </w:rPr>
        <w:t>, and</w:t>
      </w:r>
      <w:r w:rsidR="00E602FE" w:rsidRPr="00E144A9">
        <w:rPr>
          <w:rFonts w:ascii="Times New Roman" w:hAnsi="Times New Roman" w:cs="Times New Roman"/>
          <w:strike/>
          <w:sz w:val="24"/>
          <w:szCs w:val="24"/>
          <w:highlight w:val="yellow"/>
        </w:rPr>
        <w:t xml:space="preserve"> can be approximated as </w:t>
      </w:r>
      <w:r w:rsidR="005B76EF" w:rsidRPr="00E144A9">
        <w:rPr>
          <w:rFonts w:ascii="Times New Roman" w:hAnsi="Times New Roman" w:cs="Times New Roman"/>
          <w:strike/>
          <w:position w:val="-12"/>
          <w:sz w:val="24"/>
          <w:szCs w:val="24"/>
          <w:highlight w:val="yellow"/>
        </w:rPr>
        <w:pict w14:anchorId="2F364D5F">
          <v:shape id="_x0000_i1050" type="#_x0000_t75" style="width:62.05pt;height:18.3pt">
            <v:imagedata r:id="rId39" o:title=""/>
          </v:shape>
        </w:pict>
      </w:r>
      <w:proofErr w:type="gramStart"/>
      <w:r w:rsidR="00096C4E" w:rsidRPr="00E144A9">
        <w:rPr>
          <w:rFonts w:ascii="Times New Roman" w:hAnsi="Times New Roman" w:cs="Times New Roman"/>
          <w:strike/>
          <w:sz w:val="24"/>
          <w:szCs w:val="24"/>
        </w:rPr>
        <w:t>.</w:t>
      </w:r>
      <w:r w:rsidR="00E144A9" w:rsidRPr="00E144A9">
        <w:rPr>
          <w:rFonts w:ascii="Times New Roman" w:hAnsi="Times New Roman" w:cs="Times New Roman"/>
          <w:sz w:val="24"/>
          <w:szCs w:val="24"/>
          <w:highlight w:val="yellow"/>
        </w:rPr>
        <w:t>[</w:t>
      </w:r>
      <w:proofErr w:type="gramEnd"/>
      <w:r w:rsidR="00E144A9" w:rsidRPr="00E144A9">
        <w:rPr>
          <w:rFonts w:ascii="Times New Roman" w:hAnsi="Times New Roman" w:cs="Times New Roman"/>
          <w:sz w:val="24"/>
          <w:szCs w:val="24"/>
          <w:highlight w:val="yellow"/>
        </w:rPr>
        <w:t>this is a trivial calculation detail and can be deleted.]</w:t>
      </w:r>
      <w:r w:rsidR="00096C4E">
        <w:rPr>
          <w:rFonts w:ascii="Times New Roman" w:hAnsi="Times New Roman" w:cs="Times New Roman"/>
          <w:sz w:val="24"/>
          <w:szCs w:val="24"/>
        </w:rPr>
        <w:t xml:space="preserve"> The results of these calculations yield</w:t>
      </w:r>
      <w:r>
        <w:rPr>
          <w:rFonts w:ascii="Times New Roman" w:hAnsi="Times New Roman" w:cs="Times New Roman"/>
          <w:sz w:val="24"/>
          <w:szCs w:val="24"/>
        </w:rPr>
        <w:t xml:space="preserve"> model</w:t>
      </w:r>
      <w:r w:rsidR="00096C4E">
        <w:rPr>
          <w:rFonts w:ascii="Times New Roman" w:hAnsi="Times New Roman" w:cs="Times New Roman"/>
          <w:sz w:val="24"/>
          <w:szCs w:val="24"/>
        </w:rPr>
        <w:t xml:space="preserve">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5B76EF">
        <w:rPr>
          <w:rFonts w:ascii="Times New Roman" w:hAnsi="Times New Roman" w:cs="Times New Roman"/>
          <w:position w:val="-4"/>
          <w:sz w:val="24"/>
          <w:szCs w:val="24"/>
        </w:rPr>
        <w:pict w14:anchorId="68471778">
          <v:shape id="_x0000_i1051" type="#_x0000_t75" style="width:9.95pt;height:9.95pt">
            <v:imagedata r:id="rId40"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096C4E">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5B76EF">
        <w:rPr>
          <w:rFonts w:ascii="Times New Roman" w:hAnsi="Times New Roman" w:cs="Times New Roman"/>
          <w:position w:val="-4"/>
          <w:sz w:val="24"/>
          <w:szCs w:val="24"/>
        </w:rPr>
        <w:pict w14:anchorId="2ABD4559">
          <v:shape id="_x0000_i1052" type="#_x0000_t75" style="width:9.95pt;height:9.95pt">
            <v:imagedata r:id="rId41"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The experimental</w:t>
      </w:r>
      <w:r w:rsidR="00FE0C8A" w:rsidRPr="00A74F81">
        <w:rPr>
          <w:rFonts w:ascii="Times New Roman" w:hAnsi="Times New Roman" w:cs="Times New Roman"/>
          <w:sz w:val="24"/>
          <w:szCs w:val="24"/>
        </w:rPr>
        <w:t xml:space="preserve"> </w:t>
      </w:r>
      <w:proofErr w:type="spellStart"/>
      <w:r w:rsidR="0083521E" w:rsidRPr="00A74F81">
        <w:rPr>
          <w:rFonts w:ascii="Times New Roman" w:hAnsi="Times New Roman" w:cs="Times New Roman"/>
          <w:i/>
          <w:sz w:val="24"/>
          <w:szCs w:val="24"/>
        </w:rPr>
        <w:t>k</w:t>
      </w:r>
      <w:r w:rsidR="00D15156" w:rsidRPr="00A74F81">
        <w:rPr>
          <w:rFonts w:ascii="Times New Roman" w:hAnsi="Times New Roman" w:cs="Times New Roman"/>
          <w:i/>
          <w:sz w:val="24"/>
          <w:szCs w:val="24"/>
          <w:vertAlign w:val="subscript"/>
        </w:rPr>
        <w:t>e</w:t>
      </w:r>
      <w:r w:rsidR="0083521E" w:rsidRPr="00A74F81">
        <w:rPr>
          <w:rFonts w:ascii="Times New Roman" w:hAnsi="Times New Roman" w:cs="Times New Roman"/>
          <w:i/>
          <w:sz w:val="24"/>
          <w:szCs w:val="24"/>
          <w:vertAlign w:val="subscript"/>
        </w:rPr>
        <w:t>t</w:t>
      </w:r>
      <w:proofErr w:type="spellEnd"/>
      <w:r w:rsidR="00FE0C8A" w:rsidRPr="00A74F81">
        <w:rPr>
          <w:rFonts w:ascii="Times New Roman" w:hAnsi="Times New Roman" w:cs="Times New Roman"/>
          <w:sz w:val="24"/>
          <w:szCs w:val="24"/>
        </w:rPr>
        <w:t xml:space="preserve"> </w:t>
      </w:r>
      <w:r w:rsidRPr="00A74F81">
        <w:rPr>
          <w:rFonts w:ascii="Times New Roman" w:hAnsi="Times New Roman" w:cs="Times New Roman"/>
          <w:sz w:val="24"/>
          <w:szCs w:val="24"/>
        </w:rPr>
        <w:t xml:space="preserve">values </w:t>
      </w:r>
      <w:r w:rsidR="00FE0C8A" w:rsidRPr="00A74F81">
        <w:rPr>
          <w:rFonts w:ascii="Times New Roman" w:hAnsi="Times New Roman" w:cs="Times New Roman"/>
          <w:sz w:val="24"/>
          <w:szCs w:val="24"/>
        </w:rPr>
        <w:t xml:space="preserve">for the polymers in good solvent </w:t>
      </w:r>
      <w:r w:rsidRPr="00A74F81">
        <w:rPr>
          <w:rFonts w:ascii="Times New Roman" w:hAnsi="Times New Roman" w:cs="Times New Roman"/>
          <w:sz w:val="24"/>
          <w:szCs w:val="24"/>
        </w:rPr>
        <w:t>were</w:t>
      </w:r>
      <w:r w:rsidR="00FE0C8A" w:rsidRPr="00A74F81">
        <w:rPr>
          <w:rFonts w:ascii="Times New Roman" w:hAnsi="Times New Roman" w:cs="Times New Roman"/>
          <w:sz w:val="24"/>
          <w:szCs w:val="24"/>
        </w:rPr>
        <w:t xml:space="preserve"> </w:t>
      </w:r>
      <w:r w:rsidR="0083521E" w:rsidRPr="00A74F81">
        <w:rPr>
          <w:rFonts w:ascii="Times New Roman" w:hAnsi="Times New Roman" w:cs="Times New Roman"/>
          <w:sz w:val="24"/>
          <w:szCs w:val="24"/>
        </w:rPr>
        <w:t>3.4</w:t>
      </w:r>
      <w:r w:rsidR="005B76EF">
        <w:rPr>
          <w:rFonts w:ascii="Times New Roman" w:hAnsi="Times New Roman" w:cs="Times New Roman"/>
          <w:position w:val="-4"/>
          <w:sz w:val="24"/>
          <w:szCs w:val="24"/>
        </w:rPr>
        <w:pict w14:anchorId="36B5D24A">
          <v:shape id="_x0000_i1053" type="#_x0000_t75" style="width:9.95pt;height:9.95pt">
            <v:imagedata r:id="rId42"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noBreakHyphen/>
        <w:t>1</w:t>
      </w:r>
      <w:r w:rsidR="00FE0C8A" w:rsidRPr="00A74F81">
        <w:rPr>
          <w:rFonts w:ascii="Times New Roman" w:hAnsi="Times New Roman" w:cs="Times New Roman"/>
          <w:sz w:val="24"/>
          <w:szCs w:val="24"/>
        </w:rPr>
        <w:t xml:space="preserve"> for MEH-PPV and </w:t>
      </w:r>
      <w:r w:rsidR="0083521E" w:rsidRPr="00A74F81">
        <w:rPr>
          <w:rFonts w:ascii="Times New Roman" w:hAnsi="Times New Roman" w:cs="Times New Roman"/>
          <w:sz w:val="24"/>
          <w:szCs w:val="24"/>
        </w:rPr>
        <w:t>1.1</w:t>
      </w:r>
      <w:r w:rsidR="005B76EF">
        <w:rPr>
          <w:rFonts w:ascii="Times New Roman" w:hAnsi="Times New Roman" w:cs="Times New Roman"/>
          <w:position w:val="-4"/>
          <w:sz w:val="24"/>
          <w:szCs w:val="24"/>
        </w:rPr>
        <w:pict w14:anchorId="781E314D">
          <v:shape id="_x0000_i1054" type="#_x0000_t75" style="width:9.95pt;height:9.95pt">
            <v:imagedata r:id="rId43" o:title=""/>
          </v:shape>
        </w:pict>
      </w:r>
      <w:r w:rsidR="0083521E" w:rsidRPr="00A74F81">
        <w:rPr>
          <w:rFonts w:ascii="Times New Roman" w:hAnsi="Times New Roman" w:cs="Times New Roman"/>
          <w:sz w:val="24"/>
          <w:szCs w:val="24"/>
        </w:rPr>
        <w:t>10</w:t>
      </w:r>
      <w:r w:rsidR="0083521E" w:rsidRPr="00A74F81">
        <w:rPr>
          <w:rFonts w:ascii="Times New Roman" w:hAnsi="Times New Roman" w:cs="Times New Roman"/>
          <w:sz w:val="24"/>
          <w:szCs w:val="24"/>
          <w:vertAlign w:val="superscript"/>
        </w:rPr>
        <w:t>9</w:t>
      </w:r>
      <w:r w:rsidR="0083521E" w:rsidRPr="00A74F81">
        <w:rPr>
          <w:rFonts w:ascii="Times New Roman" w:hAnsi="Times New Roman" w:cs="Times New Roman"/>
          <w:sz w:val="24"/>
          <w:szCs w:val="24"/>
        </w:rPr>
        <w:t xml:space="preserve"> s</w:t>
      </w:r>
      <w:r w:rsidR="0083521E" w:rsidRPr="00A74F81">
        <w:rPr>
          <w:rFonts w:ascii="Times New Roman" w:hAnsi="Times New Roman" w:cs="Times New Roman"/>
          <w:sz w:val="24"/>
          <w:szCs w:val="24"/>
          <w:vertAlign w:val="superscript"/>
        </w:rPr>
        <w:t>-1</w:t>
      </w:r>
      <w:r w:rsidR="00FE0C8A" w:rsidRPr="00A74F81">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w:t>
      </w:r>
      <w:r w:rsidR="00E144A9">
        <w:rPr>
          <w:rFonts w:ascii="Times New Roman" w:hAnsi="Times New Roman" w:cs="Times New Roman"/>
          <w:sz w:val="24"/>
          <w:szCs w:val="24"/>
        </w:rPr>
        <w:t xml:space="preserve"> </w:t>
      </w:r>
      <w:r w:rsidR="00E144A9" w:rsidRPr="00E144A9">
        <w:rPr>
          <w:rFonts w:ascii="Times New Roman" w:hAnsi="Times New Roman" w:cs="Times New Roman"/>
          <w:sz w:val="24"/>
          <w:szCs w:val="24"/>
          <w:highlight w:val="yellow"/>
        </w:rPr>
        <w:t>[chain]</w:t>
      </w:r>
      <w:r w:rsidR="00010454">
        <w:rPr>
          <w:rFonts w:ascii="Times New Roman" w:hAnsi="Times New Roman" w:cs="Times New Roman"/>
          <w:sz w:val="24"/>
          <w:szCs w:val="24"/>
        </w:rPr>
        <w:t xml:space="preserve"> in solution).</w:t>
      </w:r>
    </w:p>
    <w:p w14:paraId="07FB6174" w14:textId="41A6D679" w:rsidR="00CD5A09" w:rsidRDefault="000376D0" w:rsidP="00D523FE">
      <w:pPr>
        <w:pStyle w:val="NoSpacing"/>
        <w:spacing w:line="480" w:lineRule="auto"/>
        <w:ind w:firstLine="720"/>
        <w:jc w:val="both"/>
        <w:rPr>
          <w:rFonts w:ascii="Times New Roman" w:hAnsi="Times New Roman" w:cs="Times New Roman"/>
          <w:sz w:val="24"/>
          <w:szCs w:val="24"/>
        </w:rPr>
      </w:pPr>
      <w:r w:rsidRPr="000376D0">
        <w:rPr>
          <w:rFonts w:ascii="Times New Roman" w:hAnsi="Times New Roman" w:cs="Times New Roman"/>
          <w:sz w:val="24"/>
          <w:szCs w:val="24"/>
        </w:rPr>
        <w:t xml:space="preserve">Upon examination of the experimental and model energy transfer kinetics for both polymers, further speculation could be made as to the influence of multiple energy transfer on many of the </w:t>
      </w:r>
      <w:proofErr w:type="spellStart"/>
      <w:r w:rsidRPr="000376D0">
        <w:rPr>
          <w:rFonts w:ascii="Times New Roman" w:hAnsi="Times New Roman" w:cs="Times New Roman"/>
          <w:sz w:val="24"/>
          <w:szCs w:val="24"/>
        </w:rPr>
        <w:t>photophysics</w:t>
      </w:r>
      <w:proofErr w:type="spellEnd"/>
      <w:r w:rsidRPr="000376D0">
        <w:rPr>
          <w:rFonts w:ascii="Times New Roman" w:hAnsi="Times New Roman" w:cs="Times New Roman"/>
          <w:sz w:val="24"/>
          <w:szCs w:val="24"/>
        </w:rPr>
        <w:t xml:space="preserve"> that impact </w:t>
      </w:r>
      <w:r w:rsidR="00DB796B">
        <w:rPr>
          <w:rFonts w:ascii="Times New Roman" w:hAnsi="Times New Roman" w:cs="Times New Roman"/>
          <w:sz w:val="24"/>
          <w:szCs w:val="24"/>
        </w:rPr>
        <w:t xml:space="preserve">the effectiveness of CPs for different </w:t>
      </w:r>
      <w:r w:rsidR="00DB796B">
        <w:rPr>
          <w:rFonts w:ascii="Times New Roman" w:hAnsi="Times New Roman" w:cs="Times New Roman"/>
          <w:sz w:val="24"/>
          <w:szCs w:val="24"/>
        </w:rPr>
        <w:lastRenderedPageBreak/>
        <w:t>applications</w:t>
      </w:r>
      <w:proofErr w:type="gramStart"/>
      <w:r w:rsidR="002469AF" w:rsidRPr="000376D0">
        <w:rPr>
          <w:rFonts w:ascii="Times New Roman" w:hAnsi="Times New Roman" w:cs="Times New Roman"/>
          <w:sz w:val="24"/>
          <w:szCs w:val="24"/>
        </w:rPr>
        <w:t>.</w:t>
      </w:r>
      <w:r w:rsidR="00FF7A8B" w:rsidRPr="00FF7A8B">
        <w:rPr>
          <w:rFonts w:ascii="Times New Roman" w:hAnsi="Times New Roman" w:cs="Times New Roman"/>
          <w:sz w:val="24"/>
          <w:szCs w:val="24"/>
          <w:highlight w:val="yellow"/>
        </w:rPr>
        <w:t>[</w:t>
      </w:r>
      <w:proofErr w:type="gramEnd"/>
      <w:r w:rsidR="00FF7A8B" w:rsidRPr="00FF7A8B">
        <w:rPr>
          <w:rFonts w:ascii="Times New Roman" w:hAnsi="Times New Roman" w:cs="Times New Roman"/>
          <w:sz w:val="24"/>
          <w:szCs w:val="24"/>
          <w:highlight w:val="yellow"/>
        </w:rPr>
        <w:t>throwaway sentence that doesn’t quite say anything. Also, I think maybe something like “infer” might be better than “speculate”. (I can imagine a reviewer rejecting “speculations”) At least give a little more detail about what can be inferred or guessed.]</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w:t>
      </w:r>
      <w:r w:rsidR="00912213">
        <w:rPr>
          <w:rFonts w:ascii="Times New Roman" w:hAnsi="Times New Roman" w:cs="Times New Roman"/>
          <w:sz w:val="24"/>
          <w:szCs w:val="24"/>
        </w:rPr>
        <w:t>H-PPV is significantly higher</w:t>
      </w:r>
      <w:r w:rsidR="002469AF">
        <w:rPr>
          <w:rFonts w:ascii="Times New Roman" w:hAnsi="Times New Roman" w:cs="Times New Roman"/>
          <w:sz w:val="24"/>
          <w:szCs w:val="24"/>
        </w:rPr>
        <w:t xml:space="preserve"> </w:t>
      </w:r>
      <w:r w:rsidR="006D1135">
        <w:rPr>
          <w:rFonts w:ascii="Times New Roman" w:hAnsi="Times New Roman" w:cs="Times New Roman"/>
          <w:sz w:val="24"/>
          <w:szCs w:val="24"/>
        </w:rPr>
        <w:t xml:space="preserve">as </w:t>
      </w:r>
      <w:r w:rsidR="002469AF">
        <w:rPr>
          <w:rFonts w:ascii="Times New Roman" w:hAnsi="Times New Roman" w:cs="Times New Roman"/>
          <w:sz w:val="24"/>
          <w:szCs w:val="24"/>
        </w:rPr>
        <w:t>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t>
      </w:r>
      <w:proofErr w:type="gramStart"/>
      <w:r w:rsidR="00D11EB1">
        <w:rPr>
          <w:rFonts w:ascii="Times New Roman" w:hAnsi="Times New Roman" w:cs="Times New Roman"/>
          <w:sz w:val="24"/>
          <w:szCs w:val="24"/>
        </w:rPr>
        <w:t>well-suited</w:t>
      </w:r>
      <w:proofErr w:type="gramEnd"/>
      <w:r w:rsidR="00D11EB1">
        <w:rPr>
          <w:rFonts w:ascii="Times New Roman" w:hAnsi="Times New Roman" w:cs="Times New Roman"/>
          <w:sz w:val="24"/>
          <w:szCs w:val="24"/>
        </w:rPr>
        <w:t xml:space="preserve"> for applications requiring </w:t>
      </w:r>
      <w:r w:rsidR="0083521E">
        <w:rPr>
          <w:rFonts w:ascii="Times New Roman" w:hAnsi="Times New Roman" w:cs="Times New Roman"/>
          <w:sz w:val="24"/>
          <w:szCs w:val="24"/>
        </w:rPr>
        <w:t>greater exciton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exciton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exciton </w:t>
      </w:r>
      <w:r w:rsidR="005F5829">
        <w:rPr>
          <w:rFonts w:ascii="Times New Roman" w:hAnsi="Times New Roman" w:cs="Times New Roman"/>
          <w:sz w:val="24"/>
          <w:szCs w:val="24"/>
        </w:rPr>
        <w:t xml:space="preserve">motion is </w:t>
      </w:r>
      <w:r w:rsidR="00397AE9">
        <w:rPr>
          <w:rFonts w:ascii="Times New Roman" w:hAnsi="Times New Roman" w:cs="Times New Roman"/>
          <w:sz w:val="24"/>
          <w:szCs w:val="24"/>
        </w:rPr>
        <w:t xml:space="preserve">more or less </w:t>
      </w:r>
      <w:r w:rsidR="005F5829">
        <w:rPr>
          <w:rFonts w:ascii="Times New Roman" w:hAnsi="Times New Roman" w:cs="Times New Roman"/>
          <w:sz w:val="24"/>
          <w:szCs w:val="24"/>
        </w:rPr>
        <w:t>limited by the distance between quenchers.</w:t>
      </w:r>
      <w:r w:rsidR="00D523FE">
        <w:rPr>
          <w:rFonts w:ascii="Times New Roman" w:hAnsi="Times New Roman" w:cs="Times New Roman"/>
          <w:sz w:val="24"/>
          <w:szCs w:val="24"/>
        </w:rPr>
        <w:t xml:space="preserve"> </w:t>
      </w:r>
      <w:r w:rsidR="009213DC">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exciton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C86895">
        <w:rPr>
          <w:rFonts w:ascii="Times New Roman" w:hAnsi="Times New Roman" w:cs="Times New Roman"/>
          <w:sz w:val="24"/>
          <w:szCs w:val="24"/>
        </w:rPr>
        <w:t xml:space="preserve">swelling results in </w:t>
      </w:r>
      <w:r w:rsidR="00E51F3E">
        <w:rPr>
          <w:rFonts w:ascii="Times New Roman" w:hAnsi="Times New Roman" w:cs="Times New Roman"/>
          <w:sz w:val="24"/>
          <w:szCs w:val="24"/>
        </w:rPr>
        <w:t xml:space="preserve">similar </w:t>
      </w:r>
      <w:r w:rsidR="00DB796B">
        <w:rPr>
          <w:rFonts w:ascii="Times New Roman" w:hAnsi="Times New Roman" w:cs="Times New Roman"/>
          <w:sz w:val="24"/>
          <w:szCs w:val="24"/>
        </w:rPr>
        <w:t>trends in</w:t>
      </w:r>
      <w:r w:rsidR="00622F57">
        <w:rPr>
          <w:rFonts w:ascii="Times New Roman" w:hAnsi="Times New Roman" w:cs="Times New Roman"/>
          <w:sz w:val="24"/>
          <w:szCs w:val="24"/>
        </w:rPr>
        <w:t xml:space="preserve"> quenching efficiency </w:t>
      </w:r>
      <w:r w:rsidR="00DB796B">
        <w:rPr>
          <w:rFonts w:ascii="Times New Roman" w:hAnsi="Times New Roman" w:cs="Times New Roman"/>
          <w:sz w:val="24"/>
          <w:szCs w:val="24"/>
        </w:rPr>
        <w:t xml:space="preserve">for both polymers </w:t>
      </w:r>
      <w:r w:rsidR="00C86895">
        <w:rPr>
          <w:rFonts w:ascii="Times New Roman" w:hAnsi="Times New Roman" w:cs="Times New Roman"/>
          <w:sz w:val="24"/>
          <w:szCs w:val="24"/>
        </w:rPr>
        <w:t>(</w:t>
      </w:r>
      <w:r w:rsidR="00622F57" w:rsidRPr="00C86895">
        <w:rPr>
          <w:rFonts w:ascii="Times New Roman" w:hAnsi="Times New Roman" w:cs="Times New Roman"/>
          <w:sz w:val="24"/>
          <w:szCs w:val="24"/>
        </w:rPr>
        <w:t>when comparing</w:t>
      </w:r>
      <w:r w:rsidR="00E51F3E" w:rsidRPr="00C86895">
        <w:rPr>
          <w:rFonts w:ascii="Times New Roman" w:hAnsi="Times New Roman" w:cs="Times New Roman"/>
          <w:sz w:val="24"/>
          <w:szCs w:val="24"/>
        </w:rPr>
        <w:t xml:space="preserve"> a 3D particle to </w:t>
      </w:r>
      <w:r w:rsidR="00D700EA" w:rsidRPr="00C86895">
        <w:rPr>
          <w:rFonts w:ascii="Times New Roman" w:hAnsi="Times New Roman" w:cs="Times New Roman"/>
          <w:sz w:val="24"/>
          <w:szCs w:val="24"/>
        </w:rPr>
        <w:t xml:space="preserve">isolated </w:t>
      </w:r>
      <w:r w:rsidR="00E51F3E" w:rsidRPr="00C86895">
        <w:rPr>
          <w:rFonts w:ascii="Times New Roman" w:hAnsi="Times New Roman" w:cs="Times New Roman"/>
          <w:sz w:val="24"/>
          <w:szCs w:val="24"/>
        </w:rPr>
        <w:t>1D chains</w:t>
      </w:r>
      <w:r w:rsidR="00C86895" w:rsidRPr="00C86895">
        <w:rPr>
          <w:rFonts w:ascii="Times New Roman" w:hAnsi="Times New Roman" w:cs="Times New Roman"/>
          <w:sz w:val="24"/>
          <w:szCs w:val="24"/>
        </w:rPr>
        <w:t>)</w:t>
      </w:r>
      <w:r w:rsidR="000D0F2F" w:rsidRPr="00C86895">
        <w:rPr>
          <w:rFonts w:ascii="Times New Roman" w:hAnsi="Times New Roman" w:cs="Times New Roman"/>
          <w:sz w:val="24"/>
          <w:szCs w:val="24"/>
        </w:rPr>
        <w:t>,</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w:t>
      </w:r>
      <w:r w:rsidR="00622F57">
        <w:rPr>
          <w:rFonts w:ascii="Times New Roman" w:hAnsi="Times New Roman" w:cs="Times New Roman"/>
          <w:sz w:val="24"/>
          <w:szCs w:val="24"/>
        </w:rPr>
        <w:t>ence lifetime and quantum yield</w:t>
      </w:r>
      <w:r w:rsidR="00CD446D">
        <w:rPr>
          <w:rFonts w:ascii="Times New Roman" w:hAnsi="Times New Roman" w:cs="Times New Roman"/>
          <w:sz w:val="24"/>
          <w:szCs w:val="24"/>
        </w:rPr>
        <w:t xml:space="preserve"> due to significant differences in</w:t>
      </w:r>
      <w:r w:rsidR="000D0F2F">
        <w:rPr>
          <w:rFonts w:ascii="Times New Roman" w:hAnsi="Times New Roman" w:cs="Times New Roman"/>
          <w:sz w:val="24"/>
          <w:szCs w:val="24"/>
        </w:rPr>
        <w:t xml:space="preserve"> </w:t>
      </w:r>
      <w:r w:rsidR="00F3518F">
        <w:rPr>
          <w:rFonts w:ascii="Times New Roman" w:hAnsi="Times New Roman" w:cs="Times New Roman"/>
          <w:sz w:val="24"/>
          <w:szCs w:val="24"/>
        </w:rPr>
        <w:t>exciton mobility</w:t>
      </w:r>
      <w:proofErr w:type="gramStart"/>
      <w:r w:rsidR="00CD446D">
        <w:rPr>
          <w:rFonts w:ascii="Times New Roman" w:hAnsi="Times New Roman" w:cs="Times New Roman"/>
          <w:sz w:val="24"/>
          <w:szCs w:val="24"/>
        </w:rPr>
        <w:t>.</w:t>
      </w:r>
      <w:r w:rsidR="00BE2828" w:rsidRPr="00B924B2">
        <w:rPr>
          <w:rFonts w:ascii="Times New Roman" w:hAnsi="Times New Roman" w:cs="Times New Roman"/>
          <w:sz w:val="24"/>
          <w:szCs w:val="24"/>
          <w:highlight w:val="yellow"/>
        </w:rPr>
        <w:t>[</w:t>
      </w:r>
      <w:proofErr w:type="gramEnd"/>
      <w:r w:rsidR="00BE2828" w:rsidRPr="00B924B2">
        <w:rPr>
          <w:rFonts w:ascii="Times New Roman" w:hAnsi="Times New Roman" w:cs="Times New Roman"/>
          <w:sz w:val="24"/>
          <w:szCs w:val="24"/>
          <w:highlight w:val="yellow"/>
        </w:rPr>
        <w:t xml:space="preserve">overall this paragraph is weak. Sentences are choppy. Logical connections are not clear. </w:t>
      </w:r>
      <w:r w:rsidR="00B924B2" w:rsidRPr="00B924B2">
        <w:rPr>
          <w:rFonts w:ascii="Times New Roman" w:hAnsi="Times New Roman" w:cs="Times New Roman"/>
          <w:sz w:val="24"/>
          <w:szCs w:val="24"/>
          <w:highlight w:val="yellow"/>
        </w:rPr>
        <w:t>It seems to mostly restate the experimental results without giving much “big picture” or abstraction or critical analysis (though there are vague references that there are device or other issues). Try again. Maybe start with bullet points about key observations and trends</w:t>
      </w:r>
      <w:r w:rsidR="00D43927">
        <w:rPr>
          <w:rFonts w:ascii="Times New Roman" w:hAnsi="Times New Roman" w:cs="Times New Roman"/>
          <w:sz w:val="24"/>
          <w:szCs w:val="24"/>
          <w:highlight w:val="yellow"/>
        </w:rPr>
        <w:t xml:space="preserve"> (send them to me)</w:t>
      </w:r>
      <w:r w:rsidR="00B924B2" w:rsidRPr="00B924B2">
        <w:rPr>
          <w:rFonts w:ascii="Times New Roman" w:hAnsi="Times New Roman" w:cs="Times New Roman"/>
          <w:sz w:val="24"/>
          <w:szCs w:val="24"/>
          <w:highlight w:val="yellow"/>
        </w:rPr>
        <w:t>, and then try to turn into sentences</w:t>
      </w:r>
      <w:r w:rsidR="00D43927">
        <w:rPr>
          <w:rFonts w:ascii="Times New Roman" w:hAnsi="Times New Roman" w:cs="Times New Roman"/>
          <w:sz w:val="24"/>
          <w:szCs w:val="24"/>
          <w:highlight w:val="yellow"/>
        </w:rPr>
        <w:t xml:space="preserve"> and a paragraph</w:t>
      </w:r>
      <w:r w:rsidR="00B924B2" w:rsidRPr="00B924B2">
        <w:rPr>
          <w:rFonts w:ascii="Times New Roman" w:hAnsi="Times New Roman" w:cs="Times New Roman"/>
          <w:sz w:val="24"/>
          <w:szCs w:val="24"/>
          <w:highlight w:val="yellow"/>
        </w:rPr>
        <w:t>.</w:t>
      </w:r>
      <w:r w:rsidR="00B617A0">
        <w:rPr>
          <w:rFonts w:ascii="Times New Roman" w:hAnsi="Times New Roman" w:cs="Times New Roman"/>
          <w:sz w:val="24"/>
          <w:szCs w:val="24"/>
          <w:highlight w:val="yellow"/>
        </w:rPr>
        <w:t xml:space="preserve"> See the following draft paragraph fragment.</w:t>
      </w:r>
      <w:r w:rsidR="00BE2828" w:rsidRPr="00B924B2">
        <w:rPr>
          <w:rFonts w:ascii="Times New Roman" w:hAnsi="Times New Roman" w:cs="Times New Roman"/>
          <w:sz w:val="24"/>
          <w:szCs w:val="24"/>
          <w:highlight w:val="yellow"/>
        </w:rPr>
        <w:t>]</w:t>
      </w:r>
    </w:p>
    <w:p w14:paraId="476BF512" w14:textId="19B4A190" w:rsidR="00BE2828" w:rsidRPr="008F7DD6" w:rsidRDefault="00BE2828" w:rsidP="00D523FE">
      <w:pPr>
        <w:pStyle w:val="NoSpacing"/>
        <w:spacing w:line="480" w:lineRule="auto"/>
        <w:ind w:firstLine="720"/>
        <w:jc w:val="both"/>
        <w:rPr>
          <w:rFonts w:ascii="Times New Roman" w:hAnsi="Times New Roman" w:cs="Times New Roman"/>
          <w:sz w:val="24"/>
          <w:szCs w:val="24"/>
        </w:rPr>
      </w:pPr>
      <w:r w:rsidRPr="006D5467">
        <w:rPr>
          <w:rFonts w:ascii="Times New Roman" w:hAnsi="Times New Roman" w:cs="Times New Roman"/>
          <w:sz w:val="24"/>
          <w:szCs w:val="24"/>
          <w:highlight w:val="yellow"/>
        </w:rPr>
        <w:t>[Additionally</w:t>
      </w:r>
      <w:r w:rsidR="00D43927" w:rsidRPr="006D5467">
        <w:rPr>
          <w:rFonts w:ascii="Times New Roman" w:hAnsi="Times New Roman" w:cs="Times New Roman"/>
          <w:sz w:val="24"/>
          <w:szCs w:val="24"/>
          <w:highlight w:val="yellow"/>
        </w:rPr>
        <w:t>, one thing I see as important, related to some points in recent exciton reviews, is the question of whether “</w:t>
      </w:r>
      <w:proofErr w:type="spellStart"/>
      <w:r w:rsidR="00D43927" w:rsidRPr="006D5467">
        <w:rPr>
          <w:rFonts w:ascii="Times New Roman" w:hAnsi="Times New Roman" w:cs="Times New Roman"/>
          <w:sz w:val="24"/>
          <w:szCs w:val="24"/>
          <w:highlight w:val="yellow"/>
        </w:rPr>
        <w:t>interchain</w:t>
      </w:r>
      <w:proofErr w:type="spellEnd"/>
      <w:r w:rsidR="00D43927" w:rsidRPr="006D5467">
        <w:rPr>
          <w:rFonts w:ascii="Times New Roman" w:hAnsi="Times New Roman" w:cs="Times New Roman"/>
          <w:sz w:val="24"/>
          <w:szCs w:val="24"/>
          <w:highlight w:val="yellow"/>
        </w:rPr>
        <w:t xml:space="preserve"> aggregates” are required to explain the </w:t>
      </w:r>
      <w:r w:rsidR="00D43927" w:rsidRPr="006D5467">
        <w:rPr>
          <w:rFonts w:ascii="Times New Roman" w:hAnsi="Times New Roman" w:cs="Times New Roman"/>
          <w:sz w:val="24"/>
          <w:szCs w:val="24"/>
          <w:highlight w:val="yellow"/>
        </w:rPr>
        <w:lastRenderedPageBreak/>
        <w:t xml:space="preserve">differences between the optical properties of CP in solution versus in films and particles. While in some cases, there is some evidence for possible </w:t>
      </w:r>
      <w:proofErr w:type="spellStart"/>
      <w:r w:rsidR="00D43927" w:rsidRPr="006D5467">
        <w:rPr>
          <w:rFonts w:ascii="Times New Roman" w:hAnsi="Times New Roman" w:cs="Times New Roman"/>
          <w:sz w:val="24"/>
          <w:szCs w:val="24"/>
          <w:highlight w:val="yellow"/>
        </w:rPr>
        <w:t>interchain</w:t>
      </w:r>
      <w:proofErr w:type="spellEnd"/>
      <w:r w:rsidR="00D43927" w:rsidRPr="006D5467">
        <w:rPr>
          <w:rFonts w:ascii="Times New Roman" w:hAnsi="Times New Roman" w:cs="Times New Roman"/>
          <w:sz w:val="24"/>
          <w:szCs w:val="24"/>
          <w:highlight w:val="yellow"/>
        </w:rPr>
        <w:t xml:space="preserve"> aggregate species (for example, the highly red-shifted emission of MEH-PPV films and particles), the decay kinetics of the fluorescent excited state as well as the FAD results of CPNs with varying degrees of swelling are roughly consistent with model results that do not include formation of </w:t>
      </w:r>
      <w:r w:rsidR="006D5467" w:rsidRPr="006D5467">
        <w:rPr>
          <w:rFonts w:ascii="Times New Roman" w:hAnsi="Times New Roman" w:cs="Times New Roman"/>
          <w:sz w:val="24"/>
          <w:szCs w:val="24"/>
          <w:highlight w:val="yellow"/>
        </w:rPr>
        <w:t xml:space="preserve">weakly-fluorescent </w:t>
      </w:r>
      <w:r w:rsidR="00D43927" w:rsidRPr="006D5467">
        <w:rPr>
          <w:rFonts w:ascii="Times New Roman" w:hAnsi="Times New Roman" w:cs="Times New Roman"/>
          <w:sz w:val="24"/>
          <w:szCs w:val="24"/>
          <w:highlight w:val="yellow"/>
        </w:rPr>
        <w:t xml:space="preserve">aggregates. </w:t>
      </w:r>
      <w:r w:rsidR="006D5467" w:rsidRPr="006D5467">
        <w:rPr>
          <w:rFonts w:ascii="Times New Roman" w:hAnsi="Times New Roman" w:cs="Times New Roman"/>
          <w:sz w:val="24"/>
          <w:szCs w:val="24"/>
          <w:highlight w:val="yellow"/>
        </w:rPr>
        <w:t>This model is based on a</w:t>
      </w:r>
      <w:r w:rsidR="00D43927" w:rsidRPr="006D5467">
        <w:rPr>
          <w:rFonts w:ascii="Times New Roman" w:hAnsi="Times New Roman" w:cs="Times New Roman"/>
          <w:sz w:val="24"/>
          <w:szCs w:val="24"/>
          <w:highlight w:val="yellow"/>
        </w:rPr>
        <w:t xml:space="preserve"> picture in</w:t>
      </w:r>
      <w:r w:rsidR="006D5467" w:rsidRPr="006D5467">
        <w:rPr>
          <w:rFonts w:ascii="Times New Roman" w:hAnsi="Times New Roman" w:cs="Times New Roman"/>
          <w:sz w:val="24"/>
          <w:szCs w:val="24"/>
          <w:highlight w:val="yellow"/>
        </w:rPr>
        <w:t xml:space="preserve"> which the number of quenching defects</w:t>
      </w:r>
      <w:r w:rsidR="00D43927" w:rsidRPr="006D5467">
        <w:rPr>
          <w:rFonts w:ascii="Times New Roman" w:hAnsi="Times New Roman" w:cs="Times New Roman"/>
          <w:sz w:val="24"/>
          <w:szCs w:val="24"/>
          <w:highlight w:val="yellow"/>
        </w:rPr>
        <w:t xml:space="preserve"> in a particle is not dependent on </w:t>
      </w:r>
      <w:r w:rsidR="006D5467" w:rsidRPr="006D5467">
        <w:rPr>
          <w:rFonts w:ascii="Times New Roman" w:hAnsi="Times New Roman" w:cs="Times New Roman"/>
          <w:sz w:val="24"/>
          <w:szCs w:val="24"/>
          <w:highlight w:val="yellow"/>
        </w:rPr>
        <w:t xml:space="preserve">the degree of </w:t>
      </w:r>
      <w:r w:rsidR="00D43927" w:rsidRPr="006D5467">
        <w:rPr>
          <w:rFonts w:ascii="Times New Roman" w:hAnsi="Times New Roman" w:cs="Times New Roman"/>
          <w:sz w:val="24"/>
          <w:szCs w:val="24"/>
          <w:highlight w:val="yellow"/>
        </w:rPr>
        <w:t>swelling</w:t>
      </w:r>
      <w:r w:rsidR="006D5467" w:rsidRPr="006D5467">
        <w:rPr>
          <w:rFonts w:ascii="Times New Roman" w:hAnsi="Times New Roman" w:cs="Times New Roman"/>
          <w:sz w:val="24"/>
          <w:szCs w:val="24"/>
          <w:highlight w:val="yellow"/>
        </w:rPr>
        <w:t xml:space="preserve"> (e.g., oxidized defects), and that the effective number of chromophores quenched per defect</w:t>
      </w:r>
      <w:r w:rsidR="00D43927" w:rsidRPr="006D5467">
        <w:rPr>
          <w:rFonts w:ascii="Times New Roman" w:hAnsi="Times New Roman" w:cs="Times New Roman"/>
          <w:sz w:val="24"/>
          <w:szCs w:val="24"/>
          <w:highlight w:val="yellow"/>
        </w:rPr>
        <w:t xml:space="preserve"> </w:t>
      </w:r>
      <w:r w:rsidR="006D5467" w:rsidRPr="006D5467">
        <w:rPr>
          <w:rFonts w:ascii="Times New Roman" w:hAnsi="Times New Roman" w:cs="Times New Roman"/>
          <w:sz w:val="24"/>
          <w:szCs w:val="24"/>
          <w:highlight w:val="yellow"/>
        </w:rPr>
        <w:t xml:space="preserve">increases as the </w:t>
      </w:r>
      <w:proofErr w:type="spellStart"/>
      <w:r w:rsidR="006D5467" w:rsidRPr="006D5467">
        <w:rPr>
          <w:rFonts w:ascii="Times New Roman" w:hAnsi="Times New Roman" w:cs="Times New Roman"/>
          <w:sz w:val="24"/>
          <w:szCs w:val="24"/>
          <w:highlight w:val="yellow"/>
        </w:rPr>
        <w:t>chromophore</w:t>
      </w:r>
      <w:proofErr w:type="spellEnd"/>
      <w:r w:rsidR="006D5467" w:rsidRPr="006D5467">
        <w:rPr>
          <w:rFonts w:ascii="Times New Roman" w:hAnsi="Times New Roman" w:cs="Times New Roman"/>
          <w:sz w:val="24"/>
          <w:szCs w:val="24"/>
          <w:highlight w:val="yellow"/>
        </w:rPr>
        <w:t xml:space="preserve"> density increases, due to the highly sensitive dependence of exciton diffusion length on </w:t>
      </w:r>
      <w:proofErr w:type="spellStart"/>
      <w:r w:rsidR="006D5467" w:rsidRPr="006D5467">
        <w:rPr>
          <w:rFonts w:ascii="Times New Roman" w:hAnsi="Times New Roman" w:cs="Times New Roman"/>
          <w:sz w:val="24"/>
          <w:szCs w:val="24"/>
          <w:highlight w:val="yellow"/>
        </w:rPr>
        <w:t>interchromophore</w:t>
      </w:r>
      <w:proofErr w:type="spellEnd"/>
      <w:r w:rsidR="006D5467" w:rsidRPr="006D5467">
        <w:rPr>
          <w:rFonts w:ascii="Times New Roman" w:hAnsi="Times New Roman" w:cs="Times New Roman"/>
          <w:sz w:val="24"/>
          <w:szCs w:val="24"/>
          <w:highlight w:val="yellow"/>
        </w:rPr>
        <w:t xml:space="preserve"> spacing.</w:t>
      </w:r>
      <w:r w:rsidR="006D5467">
        <w:rPr>
          <w:rFonts w:ascii="Times New Roman" w:hAnsi="Times New Roman" w:cs="Times New Roman"/>
          <w:sz w:val="24"/>
          <w:szCs w:val="24"/>
          <w:highlight w:val="yellow"/>
        </w:rPr>
        <w:t xml:space="preserve"> While this work does not rule out any increased quenching effect due to </w:t>
      </w:r>
      <w:proofErr w:type="spellStart"/>
      <w:r w:rsidR="006D5467">
        <w:rPr>
          <w:rFonts w:ascii="Times New Roman" w:hAnsi="Times New Roman" w:cs="Times New Roman"/>
          <w:sz w:val="24"/>
          <w:szCs w:val="24"/>
          <w:highlight w:val="yellow"/>
        </w:rPr>
        <w:t>interchain</w:t>
      </w:r>
      <w:proofErr w:type="spellEnd"/>
      <w:r w:rsidR="006D5467">
        <w:rPr>
          <w:rFonts w:ascii="Times New Roman" w:hAnsi="Times New Roman" w:cs="Times New Roman"/>
          <w:sz w:val="24"/>
          <w:szCs w:val="24"/>
          <w:highlight w:val="yellow"/>
        </w:rPr>
        <w:t xml:space="preserve"> aggregate species, it does lend some suppo</w:t>
      </w:r>
      <w:r w:rsidR="00B617A0">
        <w:rPr>
          <w:rFonts w:ascii="Times New Roman" w:hAnsi="Times New Roman" w:cs="Times New Roman"/>
          <w:sz w:val="24"/>
          <w:szCs w:val="24"/>
          <w:highlight w:val="yellow"/>
        </w:rPr>
        <w:t>rt to an alternative mechanism that could explain the differences between the spectroscopic properties of conjugated polymers in solution as compared to films or particles.</w:t>
      </w:r>
      <w:r w:rsidRPr="006D5467">
        <w:rPr>
          <w:rFonts w:ascii="Times New Roman" w:hAnsi="Times New Roman" w:cs="Times New Roman"/>
          <w:sz w:val="24"/>
          <w:szCs w:val="24"/>
          <w:highlight w:val="yellow"/>
        </w:rPr>
        <w:t>]</w:t>
      </w:r>
    </w:p>
    <w:p w14:paraId="51D64FD8" w14:textId="77777777" w:rsidR="003F19F8" w:rsidRPr="003F19F8" w:rsidRDefault="003F19F8" w:rsidP="003F19F8">
      <w:pPr>
        <w:pStyle w:val="Default"/>
        <w:spacing w:line="480" w:lineRule="auto"/>
        <w:jc w:val="both"/>
      </w:pPr>
      <w:r>
        <w:rPr>
          <w:b/>
        </w:rPr>
        <w:t>CONCLUSION</w:t>
      </w:r>
    </w:p>
    <w:p w14:paraId="25C1EDDB" w14:textId="5C1359C5" w:rsidR="007C52E0" w:rsidRDefault="007B73E8" w:rsidP="007C52E0">
      <w:pPr>
        <w:pStyle w:val="Default"/>
        <w:spacing w:line="480" w:lineRule="auto"/>
        <w:ind w:firstLine="720"/>
        <w:jc w:val="both"/>
      </w:pPr>
      <w:r w:rsidRPr="007E6EAC">
        <w:rPr>
          <w:highlight w:val="yellow"/>
        </w:rPr>
        <w:t>Steady-state and time-resolved fluorescenc</w:t>
      </w:r>
      <w:r w:rsidR="001327B6" w:rsidRPr="007E6EAC">
        <w:rPr>
          <w:highlight w:val="yellow"/>
        </w:rPr>
        <w:t>e spectroscopic methods, in conjunction</w:t>
      </w:r>
      <w:r w:rsidRPr="007E6EAC">
        <w:rPr>
          <w:highlight w:val="yellow"/>
        </w:rPr>
        <w:t xml:space="preserve"> with a discrete lattice model were utilized to assess the effect of solvent-induced swelling on the </w:t>
      </w:r>
      <w:r w:rsidR="001327B6" w:rsidRPr="007E6EAC">
        <w:rPr>
          <w:highlight w:val="yellow"/>
        </w:rPr>
        <w:t>steady-state</w:t>
      </w:r>
      <w:r w:rsidRPr="007E6EAC">
        <w:rPr>
          <w:highlight w:val="yellow"/>
        </w:rPr>
        <w:t xml:space="preserve"> spectra, exciton decay rates, and multiple</w:t>
      </w:r>
      <w:r w:rsidR="001327B6" w:rsidRPr="007E6EAC">
        <w:rPr>
          <w:highlight w:val="yellow"/>
        </w:rPr>
        <w:t xml:space="preserve"> </w:t>
      </w:r>
      <w:r w:rsidRPr="007E6EAC">
        <w:rPr>
          <w:highlight w:val="yellow"/>
        </w:rPr>
        <w:t>energy transfer rates in conjugated polymer nanoparticles</w:t>
      </w:r>
      <w:proofErr w:type="gramStart"/>
      <w:r w:rsidRPr="007E6EAC">
        <w:rPr>
          <w:highlight w:val="yellow"/>
        </w:rPr>
        <w:t>.</w:t>
      </w:r>
      <w:r w:rsidR="007E6EAC" w:rsidRPr="007E6EAC">
        <w:rPr>
          <w:highlight w:val="yellow"/>
        </w:rPr>
        <w:t>[</w:t>
      </w:r>
      <w:proofErr w:type="gramEnd"/>
      <w:r w:rsidR="007E6EAC" w:rsidRPr="007E6EAC">
        <w:rPr>
          <w:highlight w:val="yellow"/>
        </w:rPr>
        <w:t>try to punch it up a bit. saying we are looking for “an effect” makes it seem like a fishing expedition: “hey, let’s see what happens when we turn this knob”.]</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rsidRPr="007E6EAC">
        <w:rPr>
          <w:highlight w:val="yellow"/>
        </w:rPr>
        <w:t>Analysis of the fluorescence spectra</w:t>
      </w:r>
      <w:r w:rsidR="004B4B93" w:rsidRPr="007E6EAC">
        <w:rPr>
          <w:highlight w:val="yellow"/>
        </w:rPr>
        <w:t xml:space="preserve"> of MEH-PPV exhibits </w:t>
      </w:r>
      <w:r w:rsidR="00854A63" w:rsidRPr="007E6EAC">
        <w:rPr>
          <w:highlight w:val="yellow"/>
        </w:rPr>
        <w:t xml:space="preserve">a </w:t>
      </w:r>
      <w:r w:rsidR="004B4B93" w:rsidRPr="007E6EAC">
        <w:rPr>
          <w:highlight w:val="yellow"/>
        </w:rPr>
        <w:t>significant blue shift</w:t>
      </w:r>
      <w:r w:rsidR="00854A63" w:rsidRPr="007E6EAC">
        <w:rPr>
          <w:highlight w:val="yellow"/>
        </w:rPr>
        <w:t>ed</w:t>
      </w:r>
      <w:r w:rsidR="004B4B93" w:rsidRPr="007E6EAC">
        <w:rPr>
          <w:highlight w:val="yellow"/>
        </w:rPr>
        <w:t xml:space="preserve"> </w:t>
      </w:r>
      <w:proofErr w:type="gramStart"/>
      <w:r w:rsidR="00854A63" w:rsidRPr="007E6EAC">
        <w:rPr>
          <w:highlight w:val="yellow"/>
        </w:rPr>
        <w:t>component</w:t>
      </w:r>
      <w:r w:rsidR="007E6EAC" w:rsidRPr="007E6EAC">
        <w:rPr>
          <w:highlight w:val="yellow"/>
        </w:rPr>
        <w:t>[</w:t>
      </w:r>
      <w:proofErr w:type="gramEnd"/>
      <w:r w:rsidR="007E6EAC" w:rsidRPr="007E6EAC">
        <w:rPr>
          <w:highlight w:val="yellow"/>
        </w:rPr>
        <w:t>everybody knows that]</w:t>
      </w:r>
      <w:r w:rsidR="00854A63">
        <w:t xml:space="preserve"> to the spectra </w:t>
      </w:r>
      <w:r w:rsidR="004B4B93">
        <w:t xml:space="preserve">as </w:t>
      </w:r>
      <w:r w:rsidR="00854A63">
        <w:t>THF concentration increases</w:t>
      </w:r>
      <w:r w:rsidR="007C52E0">
        <w:t xml:space="preserve">, </w:t>
      </w:r>
      <w:r w:rsidR="000A5A78">
        <w:t xml:space="preserve">which provides evidence of </w:t>
      </w:r>
      <w:r w:rsidR="000A5A78">
        <w:lastRenderedPageBreak/>
        <w:t>dissociation of the nanoparticle into free polymer, over the range of 40-80% THF.</w:t>
      </w:r>
      <w:r w:rsidR="007E6EAC" w:rsidRPr="007E6EAC">
        <w:rPr>
          <w:highlight w:val="yellow"/>
        </w:rPr>
        <w:t xml:space="preserve">[OK, we all know that the PL spectrum is redder in the film than in solution. Try to reword to change emphasis, so it doesn’t seem that we are just </w:t>
      </w:r>
      <w:r w:rsidR="00833548">
        <w:rPr>
          <w:highlight w:val="yellow"/>
        </w:rPr>
        <w:t>re</w:t>
      </w:r>
      <w:r w:rsidR="007E6EAC" w:rsidRPr="007E6EAC">
        <w:rPr>
          <w:highlight w:val="yellow"/>
        </w:rPr>
        <w:t>confirming widely-known facts]</w:t>
      </w:r>
      <w:r w:rsidR="000A5A78">
        <w:t xml:space="preserve"> </w:t>
      </w:r>
      <w:r w:rsidR="00520695" w:rsidRPr="00833548">
        <w:rPr>
          <w:highlight w:val="yellow"/>
        </w:rPr>
        <w:t>A multiple</w:t>
      </w:r>
      <w:r w:rsidR="00572AA1" w:rsidRPr="00833548">
        <w:rPr>
          <w:highlight w:val="yellow"/>
        </w:rPr>
        <w:t xml:space="preserve"> </w:t>
      </w:r>
      <w:r w:rsidR="007C52E0" w:rsidRPr="00833548">
        <w:rPr>
          <w:highlight w:val="yellow"/>
        </w:rPr>
        <w:t>energy transfer model</w:t>
      </w:r>
      <w:r w:rsidR="00854A63" w:rsidRPr="00833548">
        <w:rPr>
          <w:highlight w:val="yellow"/>
        </w:rPr>
        <w:t xml:space="preserve"> </w:t>
      </w:r>
      <w:r w:rsidR="00572AA1" w:rsidRPr="00833548">
        <w:rPr>
          <w:highlight w:val="yellow"/>
        </w:rPr>
        <w:t>incorporating q</w:t>
      </w:r>
      <w:r w:rsidR="00520695" w:rsidRPr="00833548">
        <w:rPr>
          <w:highlight w:val="yellow"/>
        </w:rPr>
        <w:t>uenching by defects yielded</w:t>
      </w:r>
      <w:r w:rsidR="007C52E0" w:rsidRPr="00833548">
        <w:rPr>
          <w:highlight w:val="yellow"/>
        </w:rPr>
        <w:t xml:space="preserve"> good agreement </w:t>
      </w:r>
      <w:r w:rsidR="007C162D" w:rsidRPr="00833548">
        <w:rPr>
          <w:highlight w:val="yellow"/>
        </w:rPr>
        <w:t>with</w:t>
      </w:r>
      <w:r w:rsidR="002D2538" w:rsidRPr="00833548">
        <w:rPr>
          <w:highlight w:val="yellow"/>
        </w:rPr>
        <w:t xml:space="preserve"> experimental</w:t>
      </w:r>
      <w:r w:rsidR="00520695" w:rsidRPr="00833548">
        <w:rPr>
          <w:highlight w:val="yellow"/>
        </w:rPr>
        <w:t xml:space="preserve"> quenching efficiency and TCSPC results</w:t>
      </w:r>
      <w:r w:rsidR="002D2538" w:rsidRPr="00833548">
        <w:rPr>
          <w:highlight w:val="yellow"/>
        </w:rPr>
        <w:t xml:space="preserve"> at</w:t>
      </w:r>
      <w:r w:rsidR="00854A63" w:rsidRPr="00833548">
        <w:rPr>
          <w:highlight w:val="yellow"/>
        </w:rPr>
        <w:t xml:space="preserve"> low to m</w:t>
      </w:r>
      <w:r w:rsidR="001327B6" w:rsidRPr="00833548">
        <w:rPr>
          <w:highlight w:val="yellow"/>
        </w:rPr>
        <w:t>oderate</w:t>
      </w:r>
      <w:r w:rsidR="00854A63" w:rsidRPr="00833548">
        <w:rPr>
          <w:highlight w:val="yellow"/>
        </w:rPr>
        <w:t xml:space="preserve"> THF concentrations</w:t>
      </w:r>
      <w:proofErr w:type="gramStart"/>
      <w:r w:rsidR="002D2538" w:rsidRPr="00833548">
        <w:rPr>
          <w:highlight w:val="yellow"/>
        </w:rPr>
        <w:t>.</w:t>
      </w:r>
      <w:r w:rsidR="00833548" w:rsidRPr="00833548">
        <w:rPr>
          <w:highlight w:val="yellow"/>
        </w:rPr>
        <w:t>[</w:t>
      </w:r>
      <w:proofErr w:type="gramEnd"/>
      <w:r w:rsidR="00833548" w:rsidRPr="00833548">
        <w:rPr>
          <w:highlight w:val="yellow"/>
        </w:rPr>
        <w:t>meh. that’s not really a conclusion.]</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5B76EF">
        <w:rPr>
          <w:position w:val="-4"/>
        </w:rPr>
        <w:pict w14:anchorId="40698F47">
          <v:shape id="_x0000_i1055" type="#_x0000_t75" style="width:9.95pt;height:9.95pt">
            <v:imagedata r:id="rId44"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5B76EF">
        <w:rPr>
          <w:position w:val="-4"/>
        </w:rPr>
        <w:pict w14:anchorId="2CAA7A39">
          <v:shape id="_x0000_i1056" type="#_x0000_t75" style="width:9.95pt;height:9.95pt">
            <v:imagedata r:id="rId45"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5B76EF">
        <w:rPr>
          <w:position w:val="-4"/>
        </w:rPr>
        <w:pict w14:anchorId="0E27146F">
          <v:shape id="_x0000_i1057" type="#_x0000_t75" style="width:9.95pt;height:9.95pt">
            <v:imagedata r:id="rId46"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proofErr w:type="gramStart"/>
      <w:r w:rsidR="00AC3248">
        <w:t>.</w:t>
      </w:r>
      <w:r w:rsidR="00833548" w:rsidRPr="00833548">
        <w:rPr>
          <w:highlight w:val="yellow"/>
        </w:rPr>
        <w:t>[</w:t>
      </w:r>
      <w:proofErr w:type="gramEnd"/>
      <w:r w:rsidR="00833548" w:rsidRPr="00833548">
        <w:rPr>
          <w:highlight w:val="yellow"/>
        </w:rPr>
        <w:t>again, we don’t want to emphasize numbers too much in the conclusion, but more like “is this significantly bigger than that, and what does that tell us about the underlying picture”]</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exciton </w:t>
      </w:r>
      <w:r w:rsidR="00C554F9">
        <w:t>transport</w:t>
      </w:r>
      <w:r w:rsidR="00AC3248">
        <w:t xml:space="preserve"> to quenchers is </w:t>
      </w:r>
      <w:r w:rsidR="00C554F9">
        <w:t>reduced</w:t>
      </w:r>
      <w:r w:rsidR="004E2A92">
        <w:t xml:space="preserve"> significantly</w:t>
      </w:r>
      <w:r w:rsidR="00AC3248">
        <w:t xml:space="preserve"> in 1D compared to 3D</w:t>
      </w:r>
      <w:r w:rsidR="00C554F9">
        <w:t>, resulting from the</w:t>
      </w:r>
      <w:r w:rsidR="00AC3248">
        <w:t xml:space="preserve"> reduced number of nearest neighbor chromophores</w:t>
      </w:r>
      <w:r w:rsidR="00C554F9">
        <w:t xml:space="preserve"> in 1D</w:t>
      </w:r>
      <w:r w:rsidR="00854A63">
        <w:t>.</w:t>
      </w:r>
      <w:r w:rsidR="00833548" w:rsidRPr="00833548">
        <w:rPr>
          <w:highlight w:val="yellow"/>
        </w:rPr>
        <w:t>[again, tighten</w:t>
      </w:r>
      <w:r w:rsidR="00D632F5">
        <w:rPr>
          <w:highlight w:val="yellow"/>
        </w:rPr>
        <w:t>, try to summarize the key facts (without just repeating them) and tell us what they mean</w:t>
      </w:r>
      <w:r w:rsidR="00833548" w:rsidRPr="00833548">
        <w:rPr>
          <w:highlight w:val="yellow"/>
        </w:rPr>
        <w:t>]</w:t>
      </w:r>
      <w:r w:rsidR="00854A63">
        <w:t xml:space="preserve"> </w:t>
      </w:r>
      <w:r w:rsidR="00C554F9">
        <w:t>The increased</w:t>
      </w:r>
      <w:r w:rsidR="003840C2">
        <w:t xml:space="preserve"> </w:t>
      </w:r>
      <w:r w:rsidR="00D523FE">
        <w:t xml:space="preserve">multiple </w:t>
      </w:r>
      <w:r w:rsidR="003840C2">
        <w:t xml:space="preserve">energy transfer rates in the nanoparticle state </w:t>
      </w:r>
      <w:r w:rsidR="0061228C">
        <w:t>ha</w:t>
      </w:r>
      <w:r w:rsidR="003840C2">
        <w:t>ve</w:t>
      </w:r>
      <w:r w:rsidR="0061228C">
        <w:t xml:space="preserve"> </w:t>
      </w:r>
      <w:r w:rsidR="0061228C" w:rsidRPr="00D632F5">
        <w:rPr>
          <w:highlight w:val="yellow"/>
        </w:rPr>
        <w:t>meaningful implication</w:t>
      </w:r>
      <w:r w:rsidR="00D632F5">
        <w:rPr>
          <w:highlight w:val="yellow"/>
        </w:rPr>
        <w:t>s[lame]</w:t>
      </w:r>
      <w:r w:rsidR="0061228C">
        <w:t xml:space="preserve"> for imaging and device applications</w:t>
      </w:r>
      <w:r w:rsidR="00C554F9">
        <w:t>, and</w:t>
      </w:r>
      <w:r w:rsidR="003840C2">
        <w:t xml:space="preserve"> these results elucidate an apparent tradeoff between exciton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proofErr w:type="spellStart"/>
      <w:r w:rsidR="007126A1">
        <w:t>ps</w:t>
      </w:r>
      <w:proofErr w:type="spellEnd"/>
      <w:r w:rsidR="007126A1">
        <w:t xml:space="preserve"> </w:t>
      </w:r>
      <w:r w:rsidR="003840C2" w:rsidRPr="003840C2">
        <w:t>to ~90</w:t>
      </w:r>
      <w:r w:rsidR="00CB6AD0" w:rsidRPr="003840C2">
        <w:t xml:space="preserve"> </w:t>
      </w:r>
      <w:proofErr w:type="spellStart"/>
      <w:r w:rsidR="00CB6AD0" w:rsidRPr="003840C2">
        <w:t>ps</w:t>
      </w:r>
      <w:proofErr w:type="spellEnd"/>
      <w:r w:rsidR="00CB6AD0" w:rsidRPr="003840C2">
        <w:t xml:space="preserve"> between neighbo</w:t>
      </w:r>
      <w:r w:rsidR="003840C2" w:rsidRPr="003840C2">
        <w:t>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0BC10117" w:rsidR="007C52E0" w:rsidRDefault="007C52E0" w:rsidP="00EB210B">
      <w:pPr>
        <w:autoSpaceDE w:val="0"/>
        <w:autoSpaceDN w:val="0"/>
        <w:adjustRightInd w:val="0"/>
        <w:spacing w:after="0" w:line="480" w:lineRule="auto"/>
        <w:jc w:val="both"/>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w:t>
      </w:r>
      <w:r w:rsidR="0057174B">
        <w:rPr>
          <w:rFonts w:ascii="Times New Roman" w:hAnsi="Times New Roman" w:cs="Times New Roman"/>
          <w:sz w:val="24"/>
          <w:szCs w:val="24"/>
        </w:rPr>
        <w:t>s</w:t>
      </w:r>
      <w:r w:rsidR="00155438" w:rsidRPr="00155438">
        <w:rPr>
          <w:rFonts w:ascii="Times New Roman" w:hAnsi="Times New Roman" w:cs="Times New Roman"/>
          <w:sz w:val="24"/>
          <w:szCs w:val="24"/>
        </w:rPr>
        <w:t>. CHE-1058885</w:t>
      </w:r>
      <w:r w:rsidR="0057174B">
        <w:rPr>
          <w:rFonts w:ascii="Times New Roman" w:hAnsi="Times New Roman" w:cs="Times New Roman"/>
          <w:sz w:val="24"/>
          <w:szCs w:val="24"/>
        </w:rPr>
        <w:t xml:space="preserve"> and CHE-1412694</w:t>
      </w:r>
      <w:r w:rsidR="00155438" w:rsidRPr="00155438">
        <w:rPr>
          <w:rFonts w:ascii="Times New Roman" w:hAnsi="Times New Roman" w:cs="Times New Roman"/>
          <w:sz w:val="24"/>
          <w:szCs w:val="24"/>
        </w:rPr>
        <w:t>.</w:t>
      </w:r>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sectPr w:rsidR="0074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22&lt;/item&gt;&lt;item&gt;30&lt;/item&gt;&lt;item&gt;42&lt;/item&gt;&lt;item&gt;44&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item&gt;102&lt;/item&gt;&lt;item&gt;105&lt;/item&gt;&lt;item&gt;108&lt;/item&gt;&lt;item&gt;110&lt;/item&gt;&lt;item&gt;113&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42C7"/>
    <w:rsid w:val="00015C96"/>
    <w:rsid w:val="000203EC"/>
    <w:rsid w:val="0002168C"/>
    <w:rsid w:val="00024190"/>
    <w:rsid w:val="000248C1"/>
    <w:rsid w:val="0002572A"/>
    <w:rsid w:val="000264E2"/>
    <w:rsid w:val="00027A7F"/>
    <w:rsid w:val="000301FC"/>
    <w:rsid w:val="00035C9D"/>
    <w:rsid w:val="00036A55"/>
    <w:rsid w:val="00037047"/>
    <w:rsid w:val="000376D0"/>
    <w:rsid w:val="00041327"/>
    <w:rsid w:val="00041B4D"/>
    <w:rsid w:val="00045F22"/>
    <w:rsid w:val="00045FE1"/>
    <w:rsid w:val="000468B1"/>
    <w:rsid w:val="000475D5"/>
    <w:rsid w:val="00047F79"/>
    <w:rsid w:val="00050749"/>
    <w:rsid w:val="000539B8"/>
    <w:rsid w:val="00060AD2"/>
    <w:rsid w:val="00060D97"/>
    <w:rsid w:val="00062821"/>
    <w:rsid w:val="00063DFE"/>
    <w:rsid w:val="00067596"/>
    <w:rsid w:val="00072D6C"/>
    <w:rsid w:val="00072E01"/>
    <w:rsid w:val="0007591C"/>
    <w:rsid w:val="00077579"/>
    <w:rsid w:val="00080CE9"/>
    <w:rsid w:val="00081F54"/>
    <w:rsid w:val="00082110"/>
    <w:rsid w:val="00084C92"/>
    <w:rsid w:val="00085572"/>
    <w:rsid w:val="00091AF1"/>
    <w:rsid w:val="0009557F"/>
    <w:rsid w:val="00096C4E"/>
    <w:rsid w:val="0009700D"/>
    <w:rsid w:val="000A270E"/>
    <w:rsid w:val="000A4589"/>
    <w:rsid w:val="000A4F81"/>
    <w:rsid w:val="000A5A78"/>
    <w:rsid w:val="000A69D9"/>
    <w:rsid w:val="000B0106"/>
    <w:rsid w:val="000B0756"/>
    <w:rsid w:val="000B1B8D"/>
    <w:rsid w:val="000B1F85"/>
    <w:rsid w:val="000B21B9"/>
    <w:rsid w:val="000B25EC"/>
    <w:rsid w:val="000B3A66"/>
    <w:rsid w:val="000B47D2"/>
    <w:rsid w:val="000B4BB7"/>
    <w:rsid w:val="000B57B1"/>
    <w:rsid w:val="000B6459"/>
    <w:rsid w:val="000B718E"/>
    <w:rsid w:val="000C20EE"/>
    <w:rsid w:val="000C3220"/>
    <w:rsid w:val="000C6DC2"/>
    <w:rsid w:val="000C7E2B"/>
    <w:rsid w:val="000D0414"/>
    <w:rsid w:val="000D0754"/>
    <w:rsid w:val="000D0E8B"/>
    <w:rsid w:val="000D0F2F"/>
    <w:rsid w:val="000D175B"/>
    <w:rsid w:val="000D3473"/>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0F6EA0"/>
    <w:rsid w:val="00101CD2"/>
    <w:rsid w:val="001036F5"/>
    <w:rsid w:val="001055CA"/>
    <w:rsid w:val="00105A26"/>
    <w:rsid w:val="001077F1"/>
    <w:rsid w:val="00111870"/>
    <w:rsid w:val="00112AAC"/>
    <w:rsid w:val="00113891"/>
    <w:rsid w:val="00113EAC"/>
    <w:rsid w:val="0011542C"/>
    <w:rsid w:val="001240B9"/>
    <w:rsid w:val="001242BE"/>
    <w:rsid w:val="00126F78"/>
    <w:rsid w:val="00127035"/>
    <w:rsid w:val="001278D5"/>
    <w:rsid w:val="001327B6"/>
    <w:rsid w:val="001363BD"/>
    <w:rsid w:val="001366BA"/>
    <w:rsid w:val="001410E0"/>
    <w:rsid w:val="001430F8"/>
    <w:rsid w:val="00145BA7"/>
    <w:rsid w:val="001501FB"/>
    <w:rsid w:val="00150334"/>
    <w:rsid w:val="00150F6B"/>
    <w:rsid w:val="001518F5"/>
    <w:rsid w:val="00155438"/>
    <w:rsid w:val="00160F40"/>
    <w:rsid w:val="00161558"/>
    <w:rsid w:val="0016574C"/>
    <w:rsid w:val="00165D23"/>
    <w:rsid w:val="001711DD"/>
    <w:rsid w:val="0017261B"/>
    <w:rsid w:val="00175489"/>
    <w:rsid w:val="001768DF"/>
    <w:rsid w:val="00176B0B"/>
    <w:rsid w:val="0017705D"/>
    <w:rsid w:val="001805EE"/>
    <w:rsid w:val="001834AE"/>
    <w:rsid w:val="001835B4"/>
    <w:rsid w:val="001843CA"/>
    <w:rsid w:val="00184B28"/>
    <w:rsid w:val="00186CFB"/>
    <w:rsid w:val="00187990"/>
    <w:rsid w:val="00191CE5"/>
    <w:rsid w:val="00192C0A"/>
    <w:rsid w:val="001932AB"/>
    <w:rsid w:val="00194A4C"/>
    <w:rsid w:val="00196B76"/>
    <w:rsid w:val="00197195"/>
    <w:rsid w:val="001A0FE2"/>
    <w:rsid w:val="001A266E"/>
    <w:rsid w:val="001A30BC"/>
    <w:rsid w:val="001A31D3"/>
    <w:rsid w:val="001A37A8"/>
    <w:rsid w:val="001A5550"/>
    <w:rsid w:val="001A5D80"/>
    <w:rsid w:val="001A6DD3"/>
    <w:rsid w:val="001B0786"/>
    <w:rsid w:val="001B0CF4"/>
    <w:rsid w:val="001B2A49"/>
    <w:rsid w:val="001B3C35"/>
    <w:rsid w:val="001B716E"/>
    <w:rsid w:val="001C1715"/>
    <w:rsid w:val="001C5579"/>
    <w:rsid w:val="001D4FB0"/>
    <w:rsid w:val="001D617C"/>
    <w:rsid w:val="001D6578"/>
    <w:rsid w:val="001D7030"/>
    <w:rsid w:val="001E1735"/>
    <w:rsid w:val="001E2687"/>
    <w:rsid w:val="001E2EEE"/>
    <w:rsid w:val="001E76A9"/>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67E5"/>
    <w:rsid w:val="002236F8"/>
    <w:rsid w:val="00223E62"/>
    <w:rsid w:val="00225662"/>
    <w:rsid w:val="00227383"/>
    <w:rsid w:val="002301D8"/>
    <w:rsid w:val="0023042F"/>
    <w:rsid w:val="00230EA5"/>
    <w:rsid w:val="00231F52"/>
    <w:rsid w:val="00232459"/>
    <w:rsid w:val="0023270E"/>
    <w:rsid w:val="0023399E"/>
    <w:rsid w:val="00233D04"/>
    <w:rsid w:val="002417FF"/>
    <w:rsid w:val="00241808"/>
    <w:rsid w:val="002433CD"/>
    <w:rsid w:val="00243B91"/>
    <w:rsid w:val="002447E0"/>
    <w:rsid w:val="00244F60"/>
    <w:rsid w:val="002469AF"/>
    <w:rsid w:val="00246B39"/>
    <w:rsid w:val="00250D64"/>
    <w:rsid w:val="00253D7E"/>
    <w:rsid w:val="00254725"/>
    <w:rsid w:val="0025526A"/>
    <w:rsid w:val="00256131"/>
    <w:rsid w:val="00260EE9"/>
    <w:rsid w:val="002623C5"/>
    <w:rsid w:val="002628A8"/>
    <w:rsid w:val="002630D0"/>
    <w:rsid w:val="002643CB"/>
    <w:rsid w:val="00266A42"/>
    <w:rsid w:val="00266BC0"/>
    <w:rsid w:val="00266DFB"/>
    <w:rsid w:val="00267590"/>
    <w:rsid w:val="00267596"/>
    <w:rsid w:val="002711B5"/>
    <w:rsid w:val="002721D7"/>
    <w:rsid w:val="00272217"/>
    <w:rsid w:val="00272CA2"/>
    <w:rsid w:val="002739D2"/>
    <w:rsid w:val="00277D2C"/>
    <w:rsid w:val="00280BCD"/>
    <w:rsid w:val="00282C7C"/>
    <w:rsid w:val="00283706"/>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5739"/>
    <w:rsid w:val="002B7BFD"/>
    <w:rsid w:val="002B7CA3"/>
    <w:rsid w:val="002C1410"/>
    <w:rsid w:val="002C185C"/>
    <w:rsid w:val="002C2121"/>
    <w:rsid w:val="002C23BF"/>
    <w:rsid w:val="002C26E4"/>
    <w:rsid w:val="002C4A76"/>
    <w:rsid w:val="002C65C9"/>
    <w:rsid w:val="002C6CCF"/>
    <w:rsid w:val="002D2538"/>
    <w:rsid w:val="002D2AEA"/>
    <w:rsid w:val="002D3660"/>
    <w:rsid w:val="002D4038"/>
    <w:rsid w:val="002D4C7C"/>
    <w:rsid w:val="002D52EA"/>
    <w:rsid w:val="002E015D"/>
    <w:rsid w:val="002E2CB0"/>
    <w:rsid w:val="002F108C"/>
    <w:rsid w:val="002F15A9"/>
    <w:rsid w:val="002F2387"/>
    <w:rsid w:val="002F2CE3"/>
    <w:rsid w:val="002F3AD2"/>
    <w:rsid w:val="002F411A"/>
    <w:rsid w:val="002F4C3E"/>
    <w:rsid w:val="002F5276"/>
    <w:rsid w:val="002F6CAA"/>
    <w:rsid w:val="002F6FC7"/>
    <w:rsid w:val="003001D6"/>
    <w:rsid w:val="0030372E"/>
    <w:rsid w:val="0030527F"/>
    <w:rsid w:val="00307B86"/>
    <w:rsid w:val="00310D82"/>
    <w:rsid w:val="00315258"/>
    <w:rsid w:val="0031617D"/>
    <w:rsid w:val="003161DC"/>
    <w:rsid w:val="003161DE"/>
    <w:rsid w:val="00321545"/>
    <w:rsid w:val="00321788"/>
    <w:rsid w:val="003251F7"/>
    <w:rsid w:val="00325B49"/>
    <w:rsid w:val="00325EAE"/>
    <w:rsid w:val="0032663E"/>
    <w:rsid w:val="00326C94"/>
    <w:rsid w:val="00327731"/>
    <w:rsid w:val="00327BE8"/>
    <w:rsid w:val="003376DD"/>
    <w:rsid w:val="00340A77"/>
    <w:rsid w:val="00341835"/>
    <w:rsid w:val="003474E2"/>
    <w:rsid w:val="0035258B"/>
    <w:rsid w:val="00353A57"/>
    <w:rsid w:val="00354D89"/>
    <w:rsid w:val="00357040"/>
    <w:rsid w:val="0035778E"/>
    <w:rsid w:val="003605CB"/>
    <w:rsid w:val="00361DB4"/>
    <w:rsid w:val="003635D8"/>
    <w:rsid w:val="00363B83"/>
    <w:rsid w:val="003709AB"/>
    <w:rsid w:val="00371595"/>
    <w:rsid w:val="00375A52"/>
    <w:rsid w:val="00376009"/>
    <w:rsid w:val="0037628C"/>
    <w:rsid w:val="003763E0"/>
    <w:rsid w:val="00381176"/>
    <w:rsid w:val="00381EB8"/>
    <w:rsid w:val="0038302B"/>
    <w:rsid w:val="003840C2"/>
    <w:rsid w:val="0038439A"/>
    <w:rsid w:val="003902F9"/>
    <w:rsid w:val="003938A4"/>
    <w:rsid w:val="0039451C"/>
    <w:rsid w:val="00394F6E"/>
    <w:rsid w:val="00395D53"/>
    <w:rsid w:val="00396581"/>
    <w:rsid w:val="00397AE9"/>
    <w:rsid w:val="003A0007"/>
    <w:rsid w:val="003A3F56"/>
    <w:rsid w:val="003A40C3"/>
    <w:rsid w:val="003A47DC"/>
    <w:rsid w:val="003A50F7"/>
    <w:rsid w:val="003A5BEC"/>
    <w:rsid w:val="003A6C4B"/>
    <w:rsid w:val="003B042D"/>
    <w:rsid w:val="003B1916"/>
    <w:rsid w:val="003B22F5"/>
    <w:rsid w:val="003B338C"/>
    <w:rsid w:val="003B38B3"/>
    <w:rsid w:val="003B4962"/>
    <w:rsid w:val="003B56EC"/>
    <w:rsid w:val="003B648F"/>
    <w:rsid w:val="003B7D17"/>
    <w:rsid w:val="003C0483"/>
    <w:rsid w:val="003C06C2"/>
    <w:rsid w:val="003C1695"/>
    <w:rsid w:val="003C1CF7"/>
    <w:rsid w:val="003C22AD"/>
    <w:rsid w:val="003C35EF"/>
    <w:rsid w:val="003C5A7B"/>
    <w:rsid w:val="003C67FB"/>
    <w:rsid w:val="003D1B10"/>
    <w:rsid w:val="003D3E31"/>
    <w:rsid w:val="003D4EA9"/>
    <w:rsid w:val="003D7E27"/>
    <w:rsid w:val="003E37B8"/>
    <w:rsid w:val="003E57B7"/>
    <w:rsid w:val="003E5859"/>
    <w:rsid w:val="003E651C"/>
    <w:rsid w:val="003F19F8"/>
    <w:rsid w:val="003F2083"/>
    <w:rsid w:val="003F2561"/>
    <w:rsid w:val="003F3436"/>
    <w:rsid w:val="003F4006"/>
    <w:rsid w:val="003F7421"/>
    <w:rsid w:val="003F791E"/>
    <w:rsid w:val="00401FD0"/>
    <w:rsid w:val="00402718"/>
    <w:rsid w:val="00404DCB"/>
    <w:rsid w:val="00406258"/>
    <w:rsid w:val="00406D05"/>
    <w:rsid w:val="0041049A"/>
    <w:rsid w:val="0041088E"/>
    <w:rsid w:val="00410B7A"/>
    <w:rsid w:val="00410F08"/>
    <w:rsid w:val="00414782"/>
    <w:rsid w:val="004150D8"/>
    <w:rsid w:val="00417D06"/>
    <w:rsid w:val="00420C3A"/>
    <w:rsid w:val="00421010"/>
    <w:rsid w:val="00421553"/>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7A4"/>
    <w:rsid w:val="004700B0"/>
    <w:rsid w:val="004706D2"/>
    <w:rsid w:val="00472ACE"/>
    <w:rsid w:val="00472CB6"/>
    <w:rsid w:val="0047381F"/>
    <w:rsid w:val="00473F1A"/>
    <w:rsid w:val="004807F0"/>
    <w:rsid w:val="004874E8"/>
    <w:rsid w:val="004901BE"/>
    <w:rsid w:val="0049056B"/>
    <w:rsid w:val="00490CD9"/>
    <w:rsid w:val="00491E88"/>
    <w:rsid w:val="00493DD3"/>
    <w:rsid w:val="004A2CF4"/>
    <w:rsid w:val="004A41C6"/>
    <w:rsid w:val="004A4A37"/>
    <w:rsid w:val="004A6157"/>
    <w:rsid w:val="004A7A83"/>
    <w:rsid w:val="004B1252"/>
    <w:rsid w:val="004B1606"/>
    <w:rsid w:val="004B4B93"/>
    <w:rsid w:val="004B5139"/>
    <w:rsid w:val="004B594D"/>
    <w:rsid w:val="004B6F01"/>
    <w:rsid w:val="004B7D6E"/>
    <w:rsid w:val="004C217D"/>
    <w:rsid w:val="004C3F6E"/>
    <w:rsid w:val="004C67D0"/>
    <w:rsid w:val="004D216D"/>
    <w:rsid w:val="004D360D"/>
    <w:rsid w:val="004D3DC2"/>
    <w:rsid w:val="004D4379"/>
    <w:rsid w:val="004D4F9A"/>
    <w:rsid w:val="004D5899"/>
    <w:rsid w:val="004D5CD0"/>
    <w:rsid w:val="004D7F2D"/>
    <w:rsid w:val="004E1D5C"/>
    <w:rsid w:val="004E2A92"/>
    <w:rsid w:val="004E5516"/>
    <w:rsid w:val="004E7366"/>
    <w:rsid w:val="004E753D"/>
    <w:rsid w:val="004E7F56"/>
    <w:rsid w:val="004F0E9B"/>
    <w:rsid w:val="004F2A79"/>
    <w:rsid w:val="004F2C5D"/>
    <w:rsid w:val="004F4195"/>
    <w:rsid w:val="004F4E9F"/>
    <w:rsid w:val="004F5858"/>
    <w:rsid w:val="004F6FB9"/>
    <w:rsid w:val="005006C0"/>
    <w:rsid w:val="0050076E"/>
    <w:rsid w:val="005039FA"/>
    <w:rsid w:val="00505AFD"/>
    <w:rsid w:val="00505F58"/>
    <w:rsid w:val="00506326"/>
    <w:rsid w:val="00507D8E"/>
    <w:rsid w:val="00507F8C"/>
    <w:rsid w:val="00514EFC"/>
    <w:rsid w:val="00515814"/>
    <w:rsid w:val="00515C1F"/>
    <w:rsid w:val="0051702E"/>
    <w:rsid w:val="00520695"/>
    <w:rsid w:val="005209FF"/>
    <w:rsid w:val="00522FE8"/>
    <w:rsid w:val="005236E7"/>
    <w:rsid w:val="00525CFE"/>
    <w:rsid w:val="00526008"/>
    <w:rsid w:val="00526AEF"/>
    <w:rsid w:val="005370C5"/>
    <w:rsid w:val="00546079"/>
    <w:rsid w:val="0054614B"/>
    <w:rsid w:val="0054793B"/>
    <w:rsid w:val="005515D3"/>
    <w:rsid w:val="00551E65"/>
    <w:rsid w:val="005520E5"/>
    <w:rsid w:val="005523B1"/>
    <w:rsid w:val="0055326D"/>
    <w:rsid w:val="0055337C"/>
    <w:rsid w:val="005540F9"/>
    <w:rsid w:val="00555037"/>
    <w:rsid w:val="00557B7B"/>
    <w:rsid w:val="0056009D"/>
    <w:rsid w:val="00562184"/>
    <w:rsid w:val="00564650"/>
    <w:rsid w:val="0056517B"/>
    <w:rsid w:val="005657E0"/>
    <w:rsid w:val="005665E8"/>
    <w:rsid w:val="0056765F"/>
    <w:rsid w:val="00567D3A"/>
    <w:rsid w:val="00570B74"/>
    <w:rsid w:val="0057174B"/>
    <w:rsid w:val="00572A5E"/>
    <w:rsid w:val="00572AA1"/>
    <w:rsid w:val="00574879"/>
    <w:rsid w:val="00574E16"/>
    <w:rsid w:val="00576844"/>
    <w:rsid w:val="0057703B"/>
    <w:rsid w:val="00581630"/>
    <w:rsid w:val="00582326"/>
    <w:rsid w:val="00583540"/>
    <w:rsid w:val="00584114"/>
    <w:rsid w:val="005845F8"/>
    <w:rsid w:val="005858F1"/>
    <w:rsid w:val="00586F5C"/>
    <w:rsid w:val="005876F4"/>
    <w:rsid w:val="00587BA6"/>
    <w:rsid w:val="00591E25"/>
    <w:rsid w:val="00594CB1"/>
    <w:rsid w:val="005950AF"/>
    <w:rsid w:val="00596146"/>
    <w:rsid w:val="005A07C4"/>
    <w:rsid w:val="005A219F"/>
    <w:rsid w:val="005B2F70"/>
    <w:rsid w:val="005B6728"/>
    <w:rsid w:val="005B6AAE"/>
    <w:rsid w:val="005B7449"/>
    <w:rsid w:val="005B746A"/>
    <w:rsid w:val="005B76EF"/>
    <w:rsid w:val="005C025E"/>
    <w:rsid w:val="005C224D"/>
    <w:rsid w:val="005C36E5"/>
    <w:rsid w:val="005D199F"/>
    <w:rsid w:val="005D1A52"/>
    <w:rsid w:val="005D2E3A"/>
    <w:rsid w:val="005D5554"/>
    <w:rsid w:val="005D7F68"/>
    <w:rsid w:val="005E1161"/>
    <w:rsid w:val="005E5570"/>
    <w:rsid w:val="005F097A"/>
    <w:rsid w:val="005F5579"/>
    <w:rsid w:val="005F5829"/>
    <w:rsid w:val="005F679A"/>
    <w:rsid w:val="00604814"/>
    <w:rsid w:val="00604FB7"/>
    <w:rsid w:val="006068B4"/>
    <w:rsid w:val="00607D06"/>
    <w:rsid w:val="006111DC"/>
    <w:rsid w:val="0061228C"/>
    <w:rsid w:val="00612BFA"/>
    <w:rsid w:val="00612EEC"/>
    <w:rsid w:val="006132AC"/>
    <w:rsid w:val="00613F68"/>
    <w:rsid w:val="006149CA"/>
    <w:rsid w:val="00615BA8"/>
    <w:rsid w:val="00617D4F"/>
    <w:rsid w:val="00620DCB"/>
    <w:rsid w:val="00622F57"/>
    <w:rsid w:val="0062311F"/>
    <w:rsid w:val="00625681"/>
    <w:rsid w:val="00626D1F"/>
    <w:rsid w:val="006306B6"/>
    <w:rsid w:val="006346B1"/>
    <w:rsid w:val="0063651E"/>
    <w:rsid w:val="00636C80"/>
    <w:rsid w:val="00636D2A"/>
    <w:rsid w:val="00637C35"/>
    <w:rsid w:val="00637F6E"/>
    <w:rsid w:val="00642116"/>
    <w:rsid w:val="00645F67"/>
    <w:rsid w:val="00646751"/>
    <w:rsid w:val="006469A8"/>
    <w:rsid w:val="006472CB"/>
    <w:rsid w:val="006479BD"/>
    <w:rsid w:val="006503C8"/>
    <w:rsid w:val="006542BA"/>
    <w:rsid w:val="00654BE2"/>
    <w:rsid w:val="00657105"/>
    <w:rsid w:val="006577DF"/>
    <w:rsid w:val="0066135B"/>
    <w:rsid w:val="006615F9"/>
    <w:rsid w:val="006624CF"/>
    <w:rsid w:val="00664CB2"/>
    <w:rsid w:val="00665D21"/>
    <w:rsid w:val="00666ABF"/>
    <w:rsid w:val="00666BAA"/>
    <w:rsid w:val="00666DB0"/>
    <w:rsid w:val="00667563"/>
    <w:rsid w:val="00667DDC"/>
    <w:rsid w:val="006752D9"/>
    <w:rsid w:val="006805BA"/>
    <w:rsid w:val="006832A2"/>
    <w:rsid w:val="00685858"/>
    <w:rsid w:val="00685F41"/>
    <w:rsid w:val="006920C0"/>
    <w:rsid w:val="00692547"/>
    <w:rsid w:val="006931CB"/>
    <w:rsid w:val="006931F5"/>
    <w:rsid w:val="00697218"/>
    <w:rsid w:val="006978B7"/>
    <w:rsid w:val="006A0545"/>
    <w:rsid w:val="006A103C"/>
    <w:rsid w:val="006A2339"/>
    <w:rsid w:val="006A24DF"/>
    <w:rsid w:val="006A29B1"/>
    <w:rsid w:val="006A4132"/>
    <w:rsid w:val="006A6F96"/>
    <w:rsid w:val="006B22C1"/>
    <w:rsid w:val="006B5087"/>
    <w:rsid w:val="006B5FA7"/>
    <w:rsid w:val="006B6E11"/>
    <w:rsid w:val="006B7227"/>
    <w:rsid w:val="006C1D84"/>
    <w:rsid w:val="006C26E6"/>
    <w:rsid w:val="006D0EA4"/>
    <w:rsid w:val="006D1135"/>
    <w:rsid w:val="006D5467"/>
    <w:rsid w:val="006E0A39"/>
    <w:rsid w:val="006E1384"/>
    <w:rsid w:val="006E4258"/>
    <w:rsid w:val="006E4D51"/>
    <w:rsid w:val="006E4F00"/>
    <w:rsid w:val="006E63C9"/>
    <w:rsid w:val="006E7FF8"/>
    <w:rsid w:val="006F127B"/>
    <w:rsid w:val="006F16AA"/>
    <w:rsid w:val="006F1854"/>
    <w:rsid w:val="006F35D8"/>
    <w:rsid w:val="006F382D"/>
    <w:rsid w:val="006F4C34"/>
    <w:rsid w:val="006F6369"/>
    <w:rsid w:val="006F690E"/>
    <w:rsid w:val="006F6DCA"/>
    <w:rsid w:val="006F7114"/>
    <w:rsid w:val="006F72C1"/>
    <w:rsid w:val="007027AA"/>
    <w:rsid w:val="00703B20"/>
    <w:rsid w:val="00704344"/>
    <w:rsid w:val="0070468A"/>
    <w:rsid w:val="00711373"/>
    <w:rsid w:val="007126A1"/>
    <w:rsid w:val="00712E20"/>
    <w:rsid w:val="00715B09"/>
    <w:rsid w:val="007179C4"/>
    <w:rsid w:val="00717C15"/>
    <w:rsid w:val="00721C88"/>
    <w:rsid w:val="00722B89"/>
    <w:rsid w:val="007234D6"/>
    <w:rsid w:val="00724288"/>
    <w:rsid w:val="00724A55"/>
    <w:rsid w:val="007325D5"/>
    <w:rsid w:val="0073270E"/>
    <w:rsid w:val="00732D31"/>
    <w:rsid w:val="007339F0"/>
    <w:rsid w:val="00733EE8"/>
    <w:rsid w:val="0073400C"/>
    <w:rsid w:val="00734E3A"/>
    <w:rsid w:val="0073542E"/>
    <w:rsid w:val="007372C6"/>
    <w:rsid w:val="0074159A"/>
    <w:rsid w:val="007425E2"/>
    <w:rsid w:val="00744B4F"/>
    <w:rsid w:val="0074620B"/>
    <w:rsid w:val="00747532"/>
    <w:rsid w:val="007520B4"/>
    <w:rsid w:val="007525BA"/>
    <w:rsid w:val="00752D67"/>
    <w:rsid w:val="0075359E"/>
    <w:rsid w:val="00753E1E"/>
    <w:rsid w:val="0075613E"/>
    <w:rsid w:val="007607ED"/>
    <w:rsid w:val="00771E20"/>
    <w:rsid w:val="007733D4"/>
    <w:rsid w:val="007737A7"/>
    <w:rsid w:val="00773D5A"/>
    <w:rsid w:val="00777063"/>
    <w:rsid w:val="0078350D"/>
    <w:rsid w:val="00783AB4"/>
    <w:rsid w:val="00783F4D"/>
    <w:rsid w:val="00784FB9"/>
    <w:rsid w:val="007874B2"/>
    <w:rsid w:val="00791280"/>
    <w:rsid w:val="007949F8"/>
    <w:rsid w:val="0079592C"/>
    <w:rsid w:val="00796598"/>
    <w:rsid w:val="00796AEB"/>
    <w:rsid w:val="007A0D8C"/>
    <w:rsid w:val="007A38AC"/>
    <w:rsid w:val="007A43C6"/>
    <w:rsid w:val="007A4C55"/>
    <w:rsid w:val="007A5B31"/>
    <w:rsid w:val="007A7EDD"/>
    <w:rsid w:val="007B0DEC"/>
    <w:rsid w:val="007B1E44"/>
    <w:rsid w:val="007B3130"/>
    <w:rsid w:val="007B353F"/>
    <w:rsid w:val="007B4E8A"/>
    <w:rsid w:val="007B5737"/>
    <w:rsid w:val="007B7226"/>
    <w:rsid w:val="007B73E8"/>
    <w:rsid w:val="007C162D"/>
    <w:rsid w:val="007C52E0"/>
    <w:rsid w:val="007C52FB"/>
    <w:rsid w:val="007C68EE"/>
    <w:rsid w:val="007C70CA"/>
    <w:rsid w:val="007D0264"/>
    <w:rsid w:val="007D05A0"/>
    <w:rsid w:val="007D0E8D"/>
    <w:rsid w:val="007D15BE"/>
    <w:rsid w:val="007D16D9"/>
    <w:rsid w:val="007D2189"/>
    <w:rsid w:val="007D43B7"/>
    <w:rsid w:val="007D45F8"/>
    <w:rsid w:val="007D499C"/>
    <w:rsid w:val="007D538C"/>
    <w:rsid w:val="007D734A"/>
    <w:rsid w:val="007D739C"/>
    <w:rsid w:val="007E0ADF"/>
    <w:rsid w:val="007E412B"/>
    <w:rsid w:val="007E6EAC"/>
    <w:rsid w:val="007F078A"/>
    <w:rsid w:val="007F1892"/>
    <w:rsid w:val="007F2014"/>
    <w:rsid w:val="007F29E4"/>
    <w:rsid w:val="007F405F"/>
    <w:rsid w:val="007F4743"/>
    <w:rsid w:val="007F553F"/>
    <w:rsid w:val="007F7241"/>
    <w:rsid w:val="008001CD"/>
    <w:rsid w:val="00803882"/>
    <w:rsid w:val="008050F9"/>
    <w:rsid w:val="0080634E"/>
    <w:rsid w:val="00806E01"/>
    <w:rsid w:val="00810177"/>
    <w:rsid w:val="00815E96"/>
    <w:rsid w:val="00817B2F"/>
    <w:rsid w:val="008204D3"/>
    <w:rsid w:val="0082386A"/>
    <w:rsid w:val="008242A0"/>
    <w:rsid w:val="00825EC6"/>
    <w:rsid w:val="008267FD"/>
    <w:rsid w:val="00826BDE"/>
    <w:rsid w:val="00832333"/>
    <w:rsid w:val="00833548"/>
    <w:rsid w:val="0083521E"/>
    <w:rsid w:val="0083628E"/>
    <w:rsid w:val="00837782"/>
    <w:rsid w:val="0084146E"/>
    <w:rsid w:val="008430B9"/>
    <w:rsid w:val="00843846"/>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650"/>
    <w:rsid w:val="00861817"/>
    <w:rsid w:val="008619C3"/>
    <w:rsid w:val="00863276"/>
    <w:rsid w:val="008706F7"/>
    <w:rsid w:val="00870D11"/>
    <w:rsid w:val="00872279"/>
    <w:rsid w:val="00873862"/>
    <w:rsid w:val="00874F7A"/>
    <w:rsid w:val="00876895"/>
    <w:rsid w:val="00877B87"/>
    <w:rsid w:val="00881E9D"/>
    <w:rsid w:val="00882953"/>
    <w:rsid w:val="00884831"/>
    <w:rsid w:val="00885694"/>
    <w:rsid w:val="00885BB0"/>
    <w:rsid w:val="00885BC3"/>
    <w:rsid w:val="0089216D"/>
    <w:rsid w:val="008928E0"/>
    <w:rsid w:val="0089390E"/>
    <w:rsid w:val="0089447C"/>
    <w:rsid w:val="008968B5"/>
    <w:rsid w:val="008A22BD"/>
    <w:rsid w:val="008A243A"/>
    <w:rsid w:val="008A2A3B"/>
    <w:rsid w:val="008A3487"/>
    <w:rsid w:val="008A36F5"/>
    <w:rsid w:val="008A6CEA"/>
    <w:rsid w:val="008A7159"/>
    <w:rsid w:val="008A7780"/>
    <w:rsid w:val="008A7CAE"/>
    <w:rsid w:val="008B139E"/>
    <w:rsid w:val="008B454F"/>
    <w:rsid w:val="008B4E41"/>
    <w:rsid w:val="008B5B97"/>
    <w:rsid w:val="008C1A8F"/>
    <w:rsid w:val="008C2D3A"/>
    <w:rsid w:val="008C43C9"/>
    <w:rsid w:val="008C45F6"/>
    <w:rsid w:val="008C4AF0"/>
    <w:rsid w:val="008C5E1A"/>
    <w:rsid w:val="008D01E0"/>
    <w:rsid w:val="008D2BA2"/>
    <w:rsid w:val="008D4FA1"/>
    <w:rsid w:val="008E08FE"/>
    <w:rsid w:val="008E270B"/>
    <w:rsid w:val="008E7DF6"/>
    <w:rsid w:val="008F0E32"/>
    <w:rsid w:val="008F22BD"/>
    <w:rsid w:val="008F23AC"/>
    <w:rsid w:val="008F4DA6"/>
    <w:rsid w:val="008F74E9"/>
    <w:rsid w:val="008F76D6"/>
    <w:rsid w:val="008F7DD6"/>
    <w:rsid w:val="009003C7"/>
    <w:rsid w:val="00902858"/>
    <w:rsid w:val="009030EB"/>
    <w:rsid w:val="00903C42"/>
    <w:rsid w:val="00904A7E"/>
    <w:rsid w:val="00904B6C"/>
    <w:rsid w:val="0090556D"/>
    <w:rsid w:val="00906111"/>
    <w:rsid w:val="0090737E"/>
    <w:rsid w:val="009079A3"/>
    <w:rsid w:val="009079B9"/>
    <w:rsid w:val="00912213"/>
    <w:rsid w:val="009172AA"/>
    <w:rsid w:val="00917CB8"/>
    <w:rsid w:val="00917EC5"/>
    <w:rsid w:val="009213DC"/>
    <w:rsid w:val="0092178F"/>
    <w:rsid w:val="00921F99"/>
    <w:rsid w:val="009244D2"/>
    <w:rsid w:val="00924E9C"/>
    <w:rsid w:val="00925CC9"/>
    <w:rsid w:val="00930073"/>
    <w:rsid w:val="0093088E"/>
    <w:rsid w:val="00932C62"/>
    <w:rsid w:val="00940148"/>
    <w:rsid w:val="00940633"/>
    <w:rsid w:val="00940781"/>
    <w:rsid w:val="00940BB3"/>
    <w:rsid w:val="009413AC"/>
    <w:rsid w:val="009417F3"/>
    <w:rsid w:val="00941933"/>
    <w:rsid w:val="009446C9"/>
    <w:rsid w:val="00946E1B"/>
    <w:rsid w:val="009472F9"/>
    <w:rsid w:val="00950EBE"/>
    <w:rsid w:val="0095218A"/>
    <w:rsid w:val="00952E35"/>
    <w:rsid w:val="00953D67"/>
    <w:rsid w:val="00956A36"/>
    <w:rsid w:val="00961D88"/>
    <w:rsid w:val="00964CC9"/>
    <w:rsid w:val="00966CAA"/>
    <w:rsid w:val="00966EEB"/>
    <w:rsid w:val="009671A1"/>
    <w:rsid w:val="00967AB1"/>
    <w:rsid w:val="00970A49"/>
    <w:rsid w:val="0097722B"/>
    <w:rsid w:val="00982611"/>
    <w:rsid w:val="00985048"/>
    <w:rsid w:val="00987300"/>
    <w:rsid w:val="00990263"/>
    <w:rsid w:val="0099335F"/>
    <w:rsid w:val="00996A95"/>
    <w:rsid w:val="009A0A94"/>
    <w:rsid w:val="009A0B16"/>
    <w:rsid w:val="009A1E2F"/>
    <w:rsid w:val="009A3923"/>
    <w:rsid w:val="009A4698"/>
    <w:rsid w:val="009A4F76"/>
    <w:rsid w:val="009A4F7F"/>
    <w:rsid w:val="009A5011"/>
    <w:rsid w:val="009B1E0F"/>
    <w:rsid w:val="009B2F58"/>
    <w:rsid w:val="009B3D2F"/>
    <w:rsid w:val="009B4DBF"/>
    <w:rsid w:val="009B5AED"/>
    <w:rsid w:val="009B6454"/>
    <w:rsid w:val="009B6506"/>
    <w:rsid w:val="009B704F"/>
    <w:rsid w:val="009C027E"/>
    <w:rsid w:val="009C4444"/>
    <w:rsid w:val="009C4659"/>
    <w:rsid w:val="009C580D"/>
    <w:rsid w:val="009C5FBE"/>
    <w:rsid w:val="009D1631"/>
    <w:rsid w:val="009D25D8"/>
    <w:rsid w:val="009D4420"/>
    <w:rsid w:val="009D5429"/>
    <w:rsid w:val="009D6A35"/>
    <w:rsid w:val="009D7513"/>
    <w:rsid w:val="009E2A3B"/>
    <w:rsid w:val="009E2DA0"/>
    <w:rsid w:val="009E3694"/>
    <w:rsid w:val="009E405C"/>
    <w:rsid w:val="009E4232"/>
    <w:rsid w:val="009E5F50"/>
    <w:rsid w:val="009F20F9"/>
    <w:rsid w:val="009F4DE5"/>
    <w:rsid w:val="009F72DA"/>
    <w:rsid w:val="009F7A7F"/>
    <w:rsid w:val="009F7B99"/>
    <w:rsid w:val="00A00F02"/>
    <w:rsid w:val="00A03946"/>
    <w:rsid w:val="00A03966"/>
    <w:rsid w:val="00A04145"/>
    <w:rsid w:val="00A07368"/>
    <w:rsid w:val="00A077E9"/>
    <w:rsid w:val="00A10305"/>
    <w:rsid w:val="00A10972"/>
    <w:rsid w:val="00A13D3E"/>
    <w:rsid w:val="00A13D46"/>
    <w:rsid w:val="00A14545"/>
    <w:rsid w:val="00A16CEE"/>
    <w:rsid w:val="00A17EA4"/>
    <w:rsid w:val="00A20D8F"/>
    <w:rsid w:val="00A224EA"/>
    <w:rsid w:val="00A232BE"/>
    <w:rsid w:val="00A24475"/>
    <w:rsid w:val="00A26277"/>
    <w:rsid w:val="00A27197"/>
    <w:rsid w:val="00A3014C"/>
    <w:rsid w:val="00A30841"/>
    <w:rsid w:val="00A340C0"/>
    <w:rsid w:val="00A36356"/>
    <w:rsid w:val="00A401E6"/>
    <w:rsid w:val="00A43CDA"/>
    <w:rsid w:val="00A44790"/>
    <w:rsid w:val="00A44A24"/>
    <w:rsid w:val="00A45F4A"/>
    <w:rsid w:val="00A46013"/>
    <w:rsid w:val="00A46F99"/>
    <w:rsid w:val="00A47E0E"/>
    <w:rsid w:val="00A51151"/>
    <w:rsid w:val="00A53D37"/>
    <w:rsid w:val="00A5444C"/>
    <w:rsid w:val="00A5656C"/>
    <w:rsid w:val="00A56B81"/>
    <w:rsid w:val="00A57196"/>
    <w:rsid w:val="00A64366"/>
    <w:rsid w:val="00A653E8"/>
    <w:rsid w:val="00A66077"/>
    <w:rsid w:val="00A70DB3"/>
    <w:rsid w:val="00A7240D"/>
    <w:rsid w:val="00A72BC3"/>
    <w:rsid w:val="00A74776"/>
    <w:rsid w:val="00A74F81"/>
    <w:rsid w:val="00A75696"/>
    <w:rsid w:val="00A75AC0"/>
    <w:rsid w:val="00A76894"/>
    <w:rsid w:val="00A76A3A"/>
    <w:rsid w:val="00A779A6"/>
    <w:rsid w:val="00A8021D"/>
    <w:rsid w:val="00A80C15"/>
    <w:rsid w:val="00A81CAE"/>
    <w:rsid w:val="00A876BB"/>
    <w:rsid w:val="00A90FB8"/>
    <w:rsid w:val="00A91DDD"/>
    <w:rsid w:val="00A92DCD"/>
    <w:rsid w:val="00A9384F"/>
    <w:rsid w:val="00A940D5"/>
    <w:rsid w:val="00A941E9"/>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70F"/>
    <w:rsid w:val="00AD2944"/>
    <w:rsid w:val="00AD5A4D"/>
    <w:rsid w:val="00AE1660"/>
    <w:rsid w:val="00AE1F92"/>
    <w:rsid w:val="00AE4F00"/>
    <w:rsid w:val="00AF3A93"/>
    <w:rsid w:val="00AF4A3A"/>
    <w:rsid w:val="00AF510E"/>
    <w:rsid w:val="00AF6308"/>
    <w:rsid w:val="00AF6A6F"/>
    <w:rsid w:val="00AF716E"/>
    <w:rsid w:val="00AF754A"/>
    <w:rsid w:val="00B0151F"/>
    <w:rsid w:val="00B01629"/>
    <w:rsid w:val="00B01805"/>
    <w:rsid w:val="00B01B8E"/>
    <w:rsid w:val="00B03967"/>
    <w:rsid w:val="00B049B8"/>
    <w:rsid w:val="00B05A1F"/>
    <w:rsid w:val="00B10EEC"/>
    <w:rsid w:val="00B115F5"/>
    <w:rsid w:val="00B12E35"/>
    <w:rsid w:val="00B14F9E"/>
    <w:rsid w:val="00B15DF4"/>
    <w:rsid w:val="00B171FA"/>
    <w:rsid w:val="00B17C5B"/>
    <w:rsid w:val="00B21DBD"/>
    <w:rsid w:val="00B2309C"/>
    <w:rsid w:val="00B23FCD"/>
    <w:rsid w:val="00B24FA0"/>
    <w:rsid w:val="00B257B6"/>
    <w:rsid w:val="00B26463"/>
    <w:rsid w:val="00B270C9"/>
    <w:rsid w:val="00B27370"/>
    <w:rsid w:val="00B32520"/>
    <w:rsid w:val="00B32988"/>
    <w:rsid w:val="00B32FE2"/>
    <w:rsid w:val="00B332FA"/>
    <w:rsid w:val="00B333B3"/>
    <w:rsid w:val="00B348B2"/>
    <w:rsid w:val="00B35AFC"/>
    <w:rsid w:val="00B362B5"/>
    <w:rsid w:val="00B4446B"/>
    <w:rsid w:val="00B44F9E"/>
    <w:rsid w:val="00B47503"/>
    <w:rsid w:val="00B51275"/>
    <w:rsid w:val="00B51D52"/>
    <w:rsid w:val="00B52D85"/>
    <w:rsid w:val="00B5442A"/>
    <w:rsid w:val="00B55E22"/>
    <w:rsid w:val="00B5659B"/>
    <w:rsid w:val="00B6076E"/>
    <w:rsid w:val="00B60F2E"/>
    <w:rsid w:val="00B61269"/>
    <w:rsid w:val="00B617A0"/>
    <w:rsid w:val="00B6235B"/>
    <w:rsid w:val="00B65D05"/>
    <w:rsid w:val="00B66DBA"/>
    <w:rsid w:val="00B70F9F"/>
    <w:rsid w:val="00B717AF"/>
    <w:rsid w:val="00B71E01"/>
    <w:rsid w:val="00B77134"/>
    <w:rsid w:val="00B774C3"/>
    <w:rsid w:val="00B876C4"/>
    <w:rsid w:val="00B87FF1"/>
    <w:rsid w:val="00B90CA8"/>
    <w:rsid w:val="00B924B2"/>
    <w:rsid w:val="00B95690"/>
    <w:rsid w:val="00B976DC"/>
    <w:rsid w:val="00BA0905"/>
    <w:rsid w:val="00BA2992"/>
    <w:rsid w:val="00BA7CF0"/>
    <w:rsid w:val="00BB0E47"/>
    <w:rsid w:val="00BB4840"/>
    <w:rsid w:val="00BB7130"/>
    <w:rsid w:val="00BB7456"/>
    <w:rsid w:val="00BB7950"/>
    <w:rsid w:val="00BC146A"/>
    <w:rsid w:val="00BC772E"/>
    <w:rsid w:val="00BD0A65"/>
    <w:rsid w:val="00BD2506"/>
    <w:rsid w:val="00BD3356"/>
    <w:rsid w:val="00BD3D3F"/>
    <w:rsid w:val="00BE2828"/>
    <w:rsid w:val="00BE737E"/>
    <w:rsid w:val="00BF07CD"/>
    <w:rsid w:val="00BF0C5B"/>
    <w:rsid w:val="00BF2F9C"/>
    <w:rsid w:val="00BF32EB"/>
    <w:rsid w:val="00BF337C"/>
    <w:rsid w:val="00BF4B46"/>
    <w:rsid w:val="00C02F1C"/>
    <w:rsid w:val="00C06212"/>
    <w:rsid w:val="00C06606"/>
    <w:rsid w:val="00C0742D"/>
    <w:rsid w:val="00C11792"/>
    <w:rsid w:val="00C14EE6"/>
    <w:rsid w:val="00C1593E"/>
    <w:rsid w:val="00C1595A"/>
    <w:rsid w:val="00C15B6E"/>
    <w:rsid w:val="00C16D13"/>
    <w:rsid w:val="00C17C34"/>
    <w:rsid w:val="00C17EF0"/>
    <w:rsid w:val="00C17FBA"/>
    <w:rsid w:val="00C2024D"/>
    <w:rsid w:val="00C21458"/>
    <w:rsid w:val="00C22D4B"/>
    <w:rsid w:val="00C22D94"/>
    <w:rsid w:val="00C247C1"/>
    <w:rsid w:val="00C25426"/>
    <w:rsid w:val="00C2659B"/>
    <w:rsid w:val="00C309EF"/>
    <w:rsid w:val="00C30AB7"/>
    <w:rsid w:val="00C31DFD"/>
    <w:rsid w:val="00C34D77"/>
    <w:rsid w:val="00C3713F"/>
    <w:rsid w:val="00C406F1"/>
    <w:rsid w:val="00C42C91"/>
    <w:rsid w:val="00C44601"/>
    <w:rsid w:val="00C450BF"/>
    <w:rsid w:val="00C45B11"/>
    <w:rsid w:val="00C47A5C"/>
    <w:rsid w:val="00C47DDD"/>
    <w:rsid w:val="00C50DE8"/>
    <w:rsid w:val="00C51FAB"/>
    <w:rsid w:val="00C52642"/>
    <w:rsid w:val="00C52990"/>
    <w:rsid w:val="00C54BD6"/>
    <w:rsid w:val="00C554F9"/>
    <w:rsid w:val="00C56458"/>
    <w:rsid w:val="00C61D43"/>
    <w:rsid w:val="00C621B3"/>
    <w:rsid w:val="00C62883"/>
    <w:rsid w:val="00C63AC1"/>
    <w:rsid w:val="00C65CFF"/>
    <w:rsid w:val="00C711A6"/>
    <w:rsid w:val="00C71C76"/>
    <w:rsid w:val="00C726D8"/>
    <w:rsid w:val="00C72B0B"/>
    <w:rsid w:val="00C747AF"/>
    <w:rsid w:val="00C75103"/>
    <w:rsid w:val="00C764E2"/>
    <w:rsid w:val="00C845FE"/>
    <w:rsid w:val="00C84617"/>
    <w:rsid w:val="00C867F9"/>
    <w:rsid w:val="00C86895"/>
    <w:rsid w:val="00C87D82"/>
    <w:rsid w:val="00C9020A"/>
    <w:rsid w:val="00C91256"/>
    <w:rsid w:val="00C91725"/>
    <w:rsid w:val="00C93802"/>
    <w:rsid w:val="00C9783C"/>
    <w:rsid w:val="00C97BCC"/>
    <w:rsid w:val="00CA016D"/>
    <w:rsid w:val="00CA2BF2"/>
    <w:rsid w:val="00CA2C06"/>
    <w:rsid w:val="00CA48E4"/>
    <w:rsid w:val="00CA4A04"/>
    <w:rsid w:val="00CA5321"/>
    <w:rsid w:val="00CA67C9"/>
    <w:rsid w:val="00CB402D"/>
    <w:rsid w:val="00CB42B3"/>
    <w:rsid w:val="00CB554D"/>
    <w:rsid w:val="00CB568B"/>
    <w:rsid w:val="00CB6AD0"/>
    <w:rsid w:val="00CB7261"/>
    <w:rsid w:val="00CC022C"/>
    <w:rsid w:val="00CC08CD"/>
    <w:rsid w:val="00CC4628"/>
    <w:rsid w:val="00CC6270"/>
    <w:rsid w:val="00CC650E"/>
    <w:rsid w:val="00CC6C82"/>
    <w:rsid w:val="00CC7BFF"/>
    <w:rsid w:val="00CD20DD"/>
    <w:rsid w:val="00CD446D"/>
    <w:rsid w:val="00CD458C"/>
    <w:rsid w:val="00CD4BAE"/>
    <w:rsid w:val="00CD5A09"/>
    <w:rsid w:val="00CD75BF"/>
    <w:rsid w:val="00CD7F96"/>
    <w:rsid w:val="00CE2C7C"/>
    <w:rsid w:val="00CE3CF9"/>
    <w:rsid w:val="00CE7F17"/>
    <w:rsid w:val="00CF0A07"/>
    <w:rsid w:val="00CF2CBB"/>
    <w:rsid w:val="00CF7585"/>
    <w:rsid w:val="00D05F2C"/>
    <w:rsid w:val="00D07BE4"/>
    <w:rsid w:val="00D11EB1"/>
    <w:rsid w:val="00D11F7C"/>
    <w:rsid w:val="00D12F87"/>
    <w:rsid w:val="00D142DD"/>
    <w:rsid w:val="00D15156"/>
    <w:rsid w:val="00D162E0"/>
    <w:rsid w:val="00D163B5"/>
    <w:rsid w:val="00D205F7"/>
    <w:rsid w:val="00D21A62"/>
    <w:rsid w:val="00D2331B"/>
    <w:rsid w:val="00D24ABA"/>
    <w:rsid w:val="00D25A58"/>
    <w:rsid w:val="00D26C1D"/>
    <w:rsid w:val="00D26D83"/>
    <w:rsid w:val="00D31CCC"/>
    <w:rsid w:val="00D359CB"/>
    <w:rsid w:val="00D41849"/>
    <w:rsid w:val="00D43927"/>
    <w:rsid w:val="00D43EBF"/>
    <w:rsid w:val="00D43EC4"/>
    <w:rsid w:val="00D461B4"/>
    <w:rsid w:val="00D4626F"/>
    <w:rsid w:val="00D46893"/>
    <w:rsid w:val="00D479CD"/>
    <w:rsid w:val="00D51AFD"/>
    <w:rsid w:val="00D52279"/>
    <w:rsid w:val="00D523FE"/>
    <w:rsid w:val="00D60927"/>
    <w:rsid w:val="00D61925"/>
    <w:rsid w:val="00D632F5"/>
    <w:rsid w:val="00D636B9"/>
    <w:rsid w:val="00D64139"/>
    <w:rsid w:val="00D64D83"/>
    <w:rsid w:val="00D66834"/>
    <w:rsid w:val="00D66BA3"/>
    <w:rsid w:val="00D700EA"/>
    <w:rsid w:val="00D7149D"/>
    <w:rsid w:val="00D73E56"/>
    <w:rsid w:val="00D73EB5"/>
    <w:rsid w:val="00D73FA5"/>
    <w:rsid w:val="00D80805"/>
    <w:rsid w:val="00D829C9"/>
    <w:rsid w:val="00D837A0"/>
    <w:rsid w:val="00D851B1"/>
    <w:rsid w:val="00D8691F"/>
    <w:rsid w:val="00D86E0A"/>
    <w:rsid w:val="00D91FCF"/>
    <w:rsid w:val="00D938F9"/>
    <w:rsid w:val="00D95951"/>
    <w:rsid w:val="00D95BFB"/>
    <w:rsid w:val="00D961F4"/>
    <w:rsid w:val="00D96C0E"/>
    <w:rsid w:val="00D96EA6"/>
    <w:rsid w:val="00DA438A"/>
    <w:rsid w:val="00DA492D"/>
    <w:rsid w:val="00DA55D7"/>
    <w:rsid w:val="00DA66D0"/>
    <w:rsid w:val="00DA7FCA"/>
    <w:rsid w:val="00DB14F0"/>
    <w:rsid w:val="00DB293F"/>
    <w:rsid w:val="00DB3858"/>
    <w:rsid w:val="00DB5518"/>
    <w:rsid w:val="00DB5F29"/>
    <w:rsid w:val="00DB609E"/>
    <w:rsid w:val="00DB796B"/>
    <w:rsid w:val="00DC13E7"/>
    <w:rsid w:val="00DC3B70"/>
    <w:rsid w:val="00DC4A4D"/>
    <w:rsid w:val="00DC67DD"/>
    <w:rsid w:val="00DD0807"/>
    <w:rsid w:val="00DD164B"/>
    <w:rsid w:val="00DD1923"/>
    <w:rsid w:val="00DD1C5D"/>
    <w:rsid w:val="00DD41CF"/>
    <w:rsid w:val="00DD4EA1"/>
    <w:rsid w:val="00DE0E6C"/>
    <w:rsid w:val="00DE2D25"/>
    <w:rsid w:val="00DE6749"/>
    <w:rsid w:val="00DE7952"/>
    <w:rsid w:val="00DF0835"/>
    <w:rsid w:val="00DF13F7"/>
    <w:rsid w:val="00DF20A3"/>
    <w:rsid w:val="00DF3E2F"/>
    <w:rsid w:val="00DF61F7"/>
    <w:rsid w:val="00E00280"/>
    <w:rsid w:val="00E0079C"/>
    <w:rsid w:val="00E01D79"/>
    <w:rsid w:val="00E020BD"/>
    <w:rsid w:val="00E04265"/>
    <w:rsid w:val="00E047BF"/>
    <w:rsid w:val="00E066DC"/>
    <w:rsid w:val="00E1100C"/>
    <w:rsid w:val="00E11CF2"/>
    <w:rsid w:val="00E12403"/>
    <w:rsid w:val="00E144A9"/>
    <w:rsid w:val="00E16A30"/>
    <w:rsid w:val="00E173F4"/>
    <w:rsid w:val="00E20AF7"/>
    <w:rsid w:val="00E21817"/>
    <w:rsid w:val="00E27CE5"/>
    <w:rsid w:val="00E30CA3"/>
    <w:rsid w:val="00E31D8E"/>
    <w:rsid w:val="00E32C35"/>
    <w:rsid w:val="00E32FAB"/>
    <w:rsid w:val="00E42C9C"/>
    <w:rsid w:val="00E438CB"/>
    <w:rsid w:val="00E503B0"/>
    <w:rsid w:val="00E507D6"/>
    <w:rsid w:val="00E51F3E"/>
    <w:rsid w:val="00E535B8"/>
    <w:rsid w:val="00E5625A"/>
    <w:rsid w:val="00E56F6F"/>
    <w:rsid w:val="00E602FE"/>
    <w:rsid w:val="00E60603"/>
    <w:rsid w:val="00E641CE"/>
    <w:rsid w:val="00E64DF8"/>
    <w:rsid w:val="00E66720"/>
    <w:rsid w:val="00E70BAB"/>
    <w:rsid w:val="00E74B0A"/>
    <w:rsid w:val="00E770D8"/>
    <w:rsid w:val="00E850F5"/>
    <w:rsid w:val="00E85F84"/>
    <w:rsid w:val="00E8617E"/>
    <w:rsid w:val="00E86987"/>
    <w:rsid w:val="00E87131"/>
    <w:rsid w:val="00E87A3A"/>
    <w:rsid w:val="00E90120"/>
    <w:rsid w:val="00E90985"/>
    <w:rsid w:val="00E978A2"/>
    <w:rsid w:val="00EA081A"/>
    <w:rsid w:val="00EA0DE4"/>
    <w:rsid w:val="00EA1069"/>
    <w:rsid w:val="00EA1919"/>
    <w:rsid w:val="00EA1AEF"/>
    <w:rsid w:val="00EA2DB4"/>
    <w:rsid w:val="00EA6825"/>
    <w:rsid w:val="00EA7984"/>
    <w:rsid w:val="00EB201F"/>
    <w:rsid w:val="00EB210B"/>
    <w:rsid w:val="00EB2572"/>
    <w:rsid w:val="00EB25A5"/>
    <w:rsid w:val="00EC0525"/>
    <w:rsid w:val="00EC06AF"/>
    <w:rsid w:val="00EC089D"/>
    <w:rsid w:val="00EC1847"/>
    <w:rsid w:val="00EC7A81"/>
    <w:rsid w:val="00ED189C"/>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5726"/>
    <w:rsid w:val="00F07CDB"/>
    <w:rsid w:val="00F10770"/>
    <w:rsid w:val="00F15937"/>
    <w:rsid w:val="00F16612"/>
    <w:rsid w:val="00F17E95"/>
    <w:rsid w:val="00F205CE"/>
    <w:rsid w:val="00F2285F"/>
    <w:rsid w:val="00F26406"/>
    <w:rsid w:val="00F2711B"/>
    <w:rsid w:val="00F27BFE"/>
    <w:rsid w:val="00F3181B"/>
    <w:rsid w:val="00F33A09"/>
    <w:rsid w:val="00F3416A"/>
    <w:rsid w:val="00F34373"/>
    <w:rsid w:val="00F3518F"/>
    <w:rsid w:val="00F35BA0"/>
    <w:rsid w:val="00F42678"/>
    <w:rsid w:val="00F42E82"/>
    <w:rsid w:val="00F44438"/>
    <w:rsid w:val="00F467E4"/>
    <w:rsid w:val="00F52A6D"/>
    <w:rsid w:val="00F52D2B"/>
    <w:rsid w:val="00F5380F"/>
    <w:rsid w:val="00F53AAA"/>
    <w:rsid w:val="00F53F0A"/>
    <w:rsid w:val="00F55236"/>
    <w:rsid w:val="00F56772"/>
    <w:rsid w:val="00F60946"/>
    <w:rsid w:val="00F62192"/>
    <w:rsid w:val="00F665C7"/>
    <w:rsid w:val="00F66808"/>
    <w:rsid w:val="00F668CD"/>
    <w:rsid w:val="00F668E3"/>
    <w:rsid w:val="00F67031"/>
    <w:rsid w:val="00F702F5"/>
    <w:rsid w:val="00F70660"/>
    <w:rsid w:val="00F73194"/>
    <w:rsid w:val="00F73F28"/>
    <w:rsid w:val="00F75645"/>
    <w:rsid w:val="00F756A8"/>
    <w:rsid w:val="00F814A8"/>
    <w:rsid w:val="00F871AC"/>
    <w:rsid w:val="00F907D2"/>
    <w:rsid w:val="00F93AA2"/>
    <w:rsid w:val="00F9414E"/>
    <w:rsid w:val="00F94421"/>
    <w:rsid w:val="00F9538D"/>
    <w:rsid w:val="00F9627A"/>
    <w:rsid w:val="00F9662F"/>
    <w:rsid w:val="00FA10FD"/>
    <w:rsid w:val="00FA4B03"/>
    <w:rsid w:val="00FB0EAB"/>
    <w:rsid w:val="00FB5746"/>
    <w:rsid w:val="00FB7A26"/>
    <w:rsid w:val="00FC28E5"/>
    <w:rsid w:val="00FC2BF2"/>
    <w:rsid w:val="00FC5360"/>
    <w:rsid w:val="00FC69F0"/>
    <w:rsid w:val="00FE0C8A"/>
    <w:rsid w:val="00FE153C"/>
    <w:rsid w:val="00FE32D2"/>
    <w:rsid w:val="00FE5008"/>
    <w:rsid w:val="00FE506C"/>
    <w:rsid w:val="00FE649D"/>
    <w:rsid w:val="00FE651F"/>
    <w:rsid w:val="00FF019E"/>
    <w:rsid w:val="00FF1966"/>
    <w:rsid w:val="00FF1B18"/>
    <w:rsid w:val="00FF2592"/>
    <w:rsid w:val="00FF3C9F"/>
    <w:rsid w:val="00FF4B2D"/>
    <w:rsid w:val="00FF4E43"/>
    <w:rsid w:val="00FF5B3F"/>
    <w:rsid w:val="00FF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1"/>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42.wmf"/><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30" Type="http://schemas.openxmlformats.org/officeDocument/2006/relationships/image" Target="media/image26.jpeg"/><Relationship Id="rId31" Type="http://schemas.openxmlformats.org/officeDocument/2006/relationships/image" Target="media/image27.wmf"/><Relationship Id="rId32" Type="http://schemas.openxmlformats.org/officeDocument/2006/relationships/image" Target="media/image28.wmf"/><Relationship Id="rId9" Type="http://schemas.openxmlformats.org/officeDocument/2006/relationships/image" Target="media/image5.jpeg"/><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image" Target="media/image4.jpeg"/><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image" Target="media/image37.wmf"/><Relationship Id="rId42" Type="http://schemas.openxmlformats.org/officeDocument/2006/relationships/image" Target="media/image38.wmf"/><Relationship Id="rId43" Type="http://schemas.openxmlformats.org/officeDocument/2006/relationships/image" Target="media/image39.wmf"/><Relationship Id="rId44" Type="http://schemas.openxmlformats.org/officeDocument/2006/relationships/image" Target="media/image40.wmf"/><Relationship Id="rId45"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29</Pages>
  <Words>7873</Words>
  <Characters>44882</Characters>
  <Application>Microsoft Macintosh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Louis</dc:creator>
  <cp:lastModifiedBy>Jason McNeill</cp:lastModifiedBy>
  <cp:revision>15</cp:revision>
  <dcterms:created xsi:type="dcterms:W3CDTF">2015-09-18T20:24:00Z</dcterms:created>
  <dcterms:modified xsi:type="dcterms:W3CDTF">2015-09-22T03:35:00Z</dcterms:modified>
</cp:coreProperties>
</file>